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pStyle w:val="Heading1"/>
        <w:spacing w:after="120"/>
        <w:jc w:val="center"/>
      </w:pPr>
      <w:r>
        <w:t xml:space="preserve">Corpus Analysis &amp; Preprocessing Recommendations</w:t>
      </w:r>
    </w:p>
    <w:p>
      <w:pPr>
        <w:spacing w:after="240"/>
        <w:jc w:val="center"/>
      </w:pPr>
      <w:r>
        <w:rPr>
          <w:i/>
          <w:iCs/>
        </w:rPr>
        <w:t xml:space="preserve">EU Commission Enlargement Reports (2021–2025)</w:t>
      </w:r>
    </w:p>
    <w:p>
      <w:pPr>
        <w:pStyle w:val="Heading2"/>
      </w:pPr>
      <w:r>
        <w:t xml:space="preserve">Executive Summary</w:t>
      </w:r>
    </w:p>
    <w:p>
      <w:pPr>
        <w:spacing w:after="240"/>
      </w:pPr>
      <w:r>
        <w:t xml:space="preserve">Your research on reform vs. criticism language in EU reports is highly feasible. The corpus contains 4 countries × 5 years = 20 documents with 2,805–8,520 words each. A critical finding: the 2023→2024 transition introduces a major structural reorganization from narrative sections to standardized EU acquis chapters, which will require careful handling in preprocessing.</w:t>
      </w:r>
    </w:p>
    <w:p>
      <w:pPr>
        <w:pStyle w:val="Heading2"/>
      </w:pPr>
      <w:r>
        <w:t xml:space="preserve">1. Corpus Overview</w:t>
      </w:r>
    </w:p>
    <w:p>
      <w:pPr>
        <w:spacing w:after="80"/>
      </w:pPr>
      <w:r>
        <w:t xml:space="preserve">Your corpus includes 20 documents (4 Western Balkan countries, 5 years):</w:t>
      </w:r>
    </w:p>
    <w:p>
      <w:pPr>
        <w:spacing w:after="240"/>
      </w:pPr>
      <w:r>
        <w:t xml:space="preserve">Albania (2021–2025), Bosnia &amp; Herzegovina (2021–2025), Kosovo (2021–2025), Montenegro (2021–2025). Total: ~18,000 lines of text across all files.</w:t>
      </w:r>
    </w:p>
    <w:p>
      <w:pPr>
        <w:pStyle w:val="Heading2"/>
      </w:pPr>
      <w:r>
        <w:t xml:space="preserve">2. Key Findings</w:t>
      </w:r>
    </w:p>
    <w:p>
      <w:pPr>
        <w:pStyle w:val="Heading3"/>
      </w:pPr>
      <w:r>
        <w:t xml:space="preserve">2.1 Major Structural Break (2023→2024)</w:t>
      </w:r>
    </w:p>
    <w:p>
      <w:pPr>
        <w:spacing w:after="120"/>
      </w:pPr>
      <w:r>
        <w:t xml:space="preserve">The most critical finding: EU reports underwent a comprehensive reorganization in 2024, changing from </w:t>
      </w:r>
      <w:r>
        <w:rPr>
          <w:b/>
          <w:bCs/>
        </w:rPr>
        <w:t xml:space="preserve">narrative structure</w:t>
      </w:r>
      <w:r>
        <w:t xml:space="preserve"> to </w:t>
      </w:r>
      <w:r>
        <w:rPr>
          <w:b/>
          <w:bCs/>
        </w:rPr>
        <w:t xml:space="preserve">standardized acquis chapter structure</w:t>
      </w:r>
      <w:r>
        <w:t xml:space="preserve">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b/>
          <w:bCs/>
        </w:rPr>
        <w:t xml:space="preserve">Pre-2024 (2021–2023):</w:t>
      </w:r>
      <w:r>
        <w:t xml:space="preserve"> Free-form sections like </w:t>
      </w:r>
      <w:r>
        <w:rPr>
          <w:i/>
          <w:iCs/>
        </w:rPr>
        <w:t xml:space="preserve">2.1.1 Democracy</w:t>
      </w:r>
      <w:r>
        <w:t xml:space="preserve">. Average: 2,900–3,600 words.</w:t>
      </w:r>
    </w:p>
    <w:p>
      <w:pPr>
        <w:pStyle w:val="ListParagraph"/>
        <w:numPr>
          <w:ilvl w:val="0"/>
          <w:numId w:val="2"/>
        </w:numPr>
        <w:spacing w:after="120"/>
      </w:pPr>
      <w:r>
        <w:rPr>
          <w:b/>
          <w:bCs/>
        </w:rPr>
        <w:t xml:space="preserve">Post-2024 (2024–2025):</w:t>
      </w:r>
      <w:r>
        <w:t xml:space="preserve"> Systematic </w:t>
      </w:r>
      <w:r>
        <w:rPr>
          <w:i/>
          <w:iCs/>
        </w:rPr>
        <w:t xml:space="preserve">Chapter [1–32]</w:t>
      </w:r>
      <w:r>
        <w:t xml:space="preserve"> structure aligned with EU acquis. Average: 7,800–8,500 words (~2.5–3x longer).</w:t>
      </w:r>
    </w:p>
    <w:p>
      <w:pPr>
        <w:pStyle w:val="Heading3"/>
      </w:pPr>
      <w:r>
        <w:t xml:space="preserve">2.2 Document Length Implications</w:t>
      </w:r>
    </w:p>
    <w:p>
      <w:pPr>
        <w:spacing w:after="120"/>
      </w:pPr>
      <w:r>
        <w:t xml:space="preserve">The 3x increase in document length affects raw word counts. </w:t>
      </w:r>
      <w:r>
        <w:rPr>
          <w:b/>
          <w:bCs/>
        </w:rPr>
        <w:t xml:space="preserve">However, because you use percentage-based scores, this normalization largely controls for length differences.</w:t>
      </w:r>
      <w:r>
        <w:t xml:space="preserve"> Key points: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Post-2024 reports cover </w:t>
      </w:r>
      <w:r>
        <w:rPr>
          <w:b/>
          <w:bCs/>
        </w:rPr>
        <w:t xml:space="preserve">more chapters and topics</w:t>
      </w:r>
      <w:r>
        <w:t xml:space="preserve"> (32 acquis chapters vs. selective narrative coverage).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Expanded scope means post-2024 reports include </w:t>
      </w:r>
      <w:r>
        <w:rPr>
          <w:b/>
          <w:bCs/>
        </w:rPr>
        <w:t xml:space="preserve">economic and technical domains</w:t>
      </w:r>
      <w:r>
        <w:t xml:space="preserve"> where reform vs. criticism may differ.</w:t>
      </w:r>
    </w:p>
    <w:p>
      <w:pPr>
        <w:pStyle w:val="ListParagraph"/>
        <w:numPr>
          <w:ilvl w:val="0"/>
          <w:numId w:val="2"/>
        </w:numPr>
        <w:spacing w:after="120"/>
      </w:pPr>
      <w:r>
        <w:t xml:space="preserve">Albania and Montenegro show clean 2024 break; Kosovo 2022 is a </w:t>
      </w:r>
      <w:r>
        <w:rPr>
          <w:b/>
          <w:bCs/>
        </w:rPr>
        <w:t xml:space="preserve">transition year</w:t>
      </w:r>
      <w:r>
        <w:t xml:space="preserve"> (~6,700 words).</w:t>
      </w:r>
    </w:p>
    <w:p>
      <w:pPr>
        <w:pStyle w:val="Heading3"/>
      </w:pPr>
      <w:r>
        <w:t xml:space="preserve">2.3 Feasibility Assessment</w:t>
      </w:r>
    </w:p>
    <w:p>
      <w:pPr>
        <w:spacing w:after="120"/>
      </w:pPr>
      <w:r>
        <w:rPr>
          <w:b/>
          <w:bCs/>
        </w:rPr>
        <w:t xml:space="preserve">✓ HIGHLY FEASIBLE.</w:t>
      </w:r>
      <w:r>
        <w:t xml:space="preserve"> Your dataset is ideal for dictionary-based sentiment analysis.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Documents are consistently structured with clear section headers.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Reports use formal, consistent language suitable for dictionary approaches.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Multiple countries and years enable cross-sectional and temporal analysis.</w:t>
      </w:r>
    </w:p>
    <w:p>
      <w:pPr>
        <w:pStyle w:val="ListParagraph"/>
        <w:numPr>
          <w:ilvl w:val="0"/>
          <w:numId w:val="2"/>
        </w:numPr>
        <w:spacing w:after="120"/>
      </w:pPr>
      <w:r>
        <w:t xml:space="preserve">TF-IDF validation will confirm that high-reform and high-criticism reports use systematically different language.</w:t>
      </w:r>
    </w:p>
    <w:p>
      <w:r>
        <w:br w:type="page"/>
      </w:r>
    </w:p>
    <w:p>
      <w:pPr>
        <w:pStyle w:val="Heading2"/>
      </w:pPr>
      <w:r>
        <w:t xml:space="preserve">3. Preprocessing Recommendations</w:t>
      </w:r>
    </w:p>
    <w:p>
      <w:pPr>
        <w:pStyle w:val="Heading3"/>
      </w:pPr>
      <w:r>
        <w:t xml:space="preserve">3.1 Data Selection: Which Text to Include?</w:t>
      </w:r>
    </w:p>
    <w:p>
      <w:pPr>
        <w:spacing w:after="120"/>
      </w:pPr>
      <w:r>
        <w:t xml:space="preserve">You mention extracting </w:t>
      </w:r>
      <w:r>
        <w:rPr>
          <w:b/>
          <w:bCs/>
        </w:rPr>
        <w:t xml:space="preserve">executive summary and core governance sections</w:t>
      </w:r>
      <w:r>
        <w:t xml:space="preserve">. This is prudent. Here is what to include:</w:t>
      </w:r>
    </w:p>
    <w:p>
      <w:pPr>
        <w:spacing w:after="80"/>
      </w:pPr>
      <w:r>
        <w:rPr>
          <w:b/>
          <w:bCs/>
        </w:rPr>
        <w:t xml:space="preserve">INCLUDE: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Executive Summary / Main Findings (all years)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Sections on Democracy, Rule of Law, Judiciary, Corruption (all years)</w:t>
      </w:r>
    </w:p>
    <w:p>
      <w:pPr>
        <w:pStyle w:val="ListParagraph"/>
        <w:numPr>
          <w:ilvl w:val="0"/>
          <w:numId w:val="2"/>
        </w:numPr>
        <w:spacing w:after="120"/>
      </w:pPr>
      <w:r>
        <w:t xml:space="preserve">For post-2024: Chapter 23 (Judiciary), Chapter 24 (Justice), governance-related chapters</w:t>
      </w:r>
    </w:p>
    <w:p>
      <w:pPr>
        <w:spacing w:after="80"/>
      </w:pPr>
      <w:r>
        <w:rPr>
          <w:b/>
          <w:bCs/>
        </w:rPr>
        <w:t xml:space="preserve">EXCLUDE: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Technical chapters (Energy, Agriculture, Customs) – different reform/criticism patterns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Boilerplate text and footnotes – adds noise</w:t>
      </w:r>
    </w:p>
    <w:p>
      <w:pPr>
        <w:pStyle w:val="ListParagraph"/>
        <w:numPr>
          <w:ilvl w:val="0"/>
          <w:numId w:val="2"/>
        </w:numPr>
        <w:spacing w:after="120"/>
      </w:pPr>
      <w:r>
        <w:t xml:space="preserve">Commission recommendations – prescriptive, not evaluative</w:t>
      </w:r>
    </w:p>
    <w:p>
      <w:pPr>
        <w:pStyle w:val="Heading3"/>
      </w:pPr>
      <w:r>
        <w:t xml:space="preserve">3.2 Standard Preprocessing Steps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b/>
          <w:bCs/>
        </w:rPr>
        <w:t xml:space="preserve">Lowercasing:</w:t>
      </w:r>
      <w:r>
        <w:t xml:space="preserve"> Convert all text to lowercase.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b/>
          <w:bCs/>
        </w:rPr>
        <w:t xml:space="preserve">Punctuation removal:</w:t>
      </w:r>
      <w:r>
        <w:t xml:space="preserve"> Remove punctuation but preserve hyphens in compound words (e.g., anti-corruption).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b/>
          <w:bCs/>
        </w:rPr>
        <w:t xml:space="preserve">Stopword removal:</w:t>
      </w:r>
      <w:r>
        <w:t xml:space="preserve"> Use standard English stopwords. Keep domain-specific sentiment words.</w:t>
      </w:r>
    </w:p>
    <w:p>
      <w:pPr>
        <w:pStyle w:val="ListParagraph"/>
        <w:numPr>
          <w:ilvl w:val="0"/>
          <w:numId w:val="2"/>
        </w:numPr>
        <w:spacing w:after="120"/>
      </w:pPr>
      <w:r>
        <w:rPr>
          <w:b/>
          <w:bCs/>
        </w:rPr>
        <w:t xml:space="preserve">Tokenization:</w:t>
      </w:r>
      <w:r>
        <w:t xml:space="preserve"> Simple whitespace tokenization is sufficient.</w:t>
      </w:r>
    </w:p>
    <w:p>
      <w:pPr>
        <w:pStyle w:val="Heading3"/>
      </w:pPr>
      <w:r>
        <w:t xml:space="preserve">3.3 Dictionary Design</w:t>
      </w:r>
    </w:p>
    <w:p>
      <w:pPr>
        <w:spacing w:after="120"/>
      </w:pPr>
      <w:r>
        <w:t xml:space="preserve">Based on sample analysis, expected word frequency patterns:</w:t>
      </w:r>
    </w:p>
    <w:p>
      <w:pPr>
        <w:spacing w:after="80"/>
      </w:pPr>
      <w:r>
        <w:rPr>
          <w:b/>
          <w:bCs/>
        </w:rPr>
        <w:t xml:space="preserve">Reform-oriented words:</w:t>
      </w:r>
      <w:r>
        <w:t xml:space="preserve"> progress, advanced, adopted, implemented, strengthened, improved, established, achieved, accelerated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Sample: </w:t>
      </w:r>
      <w:r>
        <w:rPr>
          <w:i/>
          <w:iCs/>
        </w:rPr>
        <w:t xml:space="preserve">"Kosovo adopted a new programme... advanced on administrative burden reduction"</w:t>
      </w:r>
    </w:p>
    <w:p>
      <w:pPr>
        <w:spacing w:after="80"/>
      </w:pPr>
      <w:r>
        <w:rPr>
          <w:b/>
          <w:bCs/>
        </w:rPr>
        <w:t xml:space="preserve">Criticism-oriented words:</w:t>
      </w:r>
      <w:r>
        <w:t xml:space="preserve"> concern, weak, lack, delayed, limited, incomplete, decreased, insufficient, challenges, persisting, backsliding</w:t>
      </w:r>
    </w:p>
    <w:p>
      <w:pPr>
        <w:pStyle w:val="ListParagraph"/>
        <w:numPr>
          <w:ilvl w:val="0"/>
          <w:numId w:val="2"/>
        </w:numPr>
        <w:spacing w:after="120"/>
      </w:pPr>
      <w:r>
        <w:t xml:space="preserve">Sample: </w:t>
      </w:r>
      <w:r>
        <w:rPr>
          <w:i/>
          <w:iCs/>
        </w:rPr>
        <w:t xml:space="preserve">"Kosovo is between early stage... made limited progress... considerable delays"</w:t>
      </w:r>
    </w:p>
    <w:p>
      <w:pPr>
        <w:pStyle w:val="ListParagraph"/>
        <w:numPr>
          <w:ilvl w:val="0"/>
          <w:numId w:val="2"/>
        </w:numPr>
        <w:spacing w:after="120"/>
      </w:pPr>
      <w:r>
        <w:rPr>
          <w:b/>
          <w:bCs/>
        </w:rPr>
        <w:t xml:space="preserve">Validation:</w:t>
      </w:r>
      <w:r>
        <w:t xml:space="preserve"> Manually review ~5 highest and ~5 lowest-scoring documents to confirm dictionary alignment.</w:t>
      </w:r>
    </w:p>
    <w:p>
      <w:r>
        <w:br w:type="page"/>
      </w:r>
    </w:p>
    <w:p>
      <w:pPr>
        <w:pStyle w:val="Heading2"/>
      </w:pPr>
      <w:r>
        <w:t xml:space="preserve">4. Final Corpus Design</w:t>
      </w:r>
    </w:p>
    <w:p>
      <w:pPr>
        <w:pStyle w:val="Heading3"/>
      </w:pPr>
      <w:r>
        <w:t xml:space="preserve">4.1 Recommended Approach: Stratified Corpus</w:t>
      </w:r>
    </w:p>
    <w:p>
      <w:pPr>
        <w:spacing w:after="120"/>
      </w:pPr>
      <w:r>
        <w:t xml:space="preserve">To handle the structural break, create </w:t>
      </w:r>
      <w:r>
        <w:rPr>
          <w:b/>
          <w:bCs/>
        </w:rPr>
        <w:t xml:space="preserve">two sub-corpora</w:t>
      </w:r>
      <w:r>
        <w:t xml:space="preserve"> for separate or controlled analysis:</w:t>
      </w:r>
    </w:p>
    <w:p>
      <w:pPr>
        <w:spacing w:after="80"/>
      </w:pPr>
      <w:r>
        <w:rPr>
          <w:b/>
          <w:bCs/>
        </w:rPr>
        <w:t xml:space="preserve">Sub-Corpus A (2021–2023): Pre-Standardization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Years: 2021, 2022, 2023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Sections: Governance-focused narrative sections</w:t>
      </w:r>
    </w:p>
    <w:p>
      <w:pPr>
        <w:pStyle w:val="ListParagraph"/>
        <w:numPr>
          <w:ilvl w:val="0"/>
          <w:numId w:val="2"/>
        </w:numPr>
        <w:spacing w:after="120"/>
      </w:pPr>
      <w:r>
        <w:t xml:space="preserve">Size: 4 countries × 3 years = 12 documents</w:t>
      </w:r>
    </w:p>
    <w:p>
      <w:pPr>
        <w:spacing w:after="80"/>
      </w:pPr>
      <w:r>
        <w:rPr>
          <w:b/>
          <w:bCs/>
        </w:rPr>
        <w:t xml:space="preserve">Sub-Corpus B (2024–2025): Standardized Acquis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Years: 2024, 2025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Chapters: Rule-of-law and governance-specific chapters from EU acquis</w:t>
      </w:r>
    </w:p>
    <w:p>
      <w:pPr>
        <w:pStyle w:val="ListParagraph"/>
        <w:numPr>
          <w:ilvl w:val="0"/>
          <w:numId w:val="2"/>
        </w:numPr>
        <w:spacing w:after="120"/>
      </w:pPr>
      <w:r>
        <w:t xml:space="preserve">Size: 4 countries × 2 years = 8 documents</w:t>
      </w:r>
    </w:p>
    <w:p>
      <w:pPr>
        <w:spacing w:after="120"/>
      </w:pPr>
      <w:r>
        <w:t xml:space="preserve">This stratified approach lets you capture temporal trends within each era and control for structural differences in analysis.</w:t>
      </w:r>
    </w:p>
    <w:p>
      <w:pPr>
        <w:pStyle w:val="Heading3"/>
      </w:pPr>
      <w:r>
        <w:t xml:space="preserve">4.2 Corpus Metadata to Record</w:t>
      </w:r>
    </w:p>
    <w:p>
      <w:pPr>
        <w:spacing w:after="120"/>
      </w:pPr>
      <w:r>
        <w:t xml:space="preserve">For each document, track: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Country, Year, Corpus Sub (A or B)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Word count (after preprocessing)</w:t>
      </w:r>
    </w:p>
    <w:p>
      <w:pPr>
        <w:pStyle w:val="ListParagraph"/>
        <w:numPr>
          <w:ilvl w:val="0"/>
          <w:numId w:val="2"/>
        </w:numPr>
        <w:spacing w:after="120"/>
      </w:pPr>
      <w:r>
        <w:t xml:space="preserve">Reporting period (e.g., Sept 2024–Sept 2025)</w:t>
      </w:r>
    </w:p>
    <w:p>
      <w:pPr>
        <w:pStyle w:val="Heading3"/>
      </w:pPr>
      <w:r>
        <w:t xml:space="preserve">4.3 Example Data Structure</w:t>
      </w:r>
    </w:p>
    <w:p>
      <w:pPr>
        <w:spacing w:after="120"/>
      </w:pPr>
      <w:r>
        <w:t xml:space="preserve">Your final dataset should resemble:</w:t>
      </w:r>
    </w:p>
    <w:p>
      <w:pPr>
        <w:spacing w:after="80"/>
      </w:pPr>
      <w:r>
        <w:t xml:space="preserve">Country | Year | Corpus | Total Words | Reform Words | Reform % | Crit Words | Net Score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Kosovo | 2021 | A | 2,805 | 156 | 5.6% | 89 | +0.031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Kosovo | 2025 | B | 6,845 | 412 | 6.0% | 243 | +0.025</w:t>
      </w:r>
    </w:p>
    <w:p>
      <w:pPr>
        <w:pStyle w:val="ListParagraph"/>
        <w:numPr>
          <w:ilvl w:val="0"/>
          <w:numId w:val="2"/>
        </w:numPr>
        <w:spacing w:after="240"/>
      </w:pPr>
      <w:r>
        <w:t xml:space="preserve">Albania | 2024 | B | 7,830 | 480 | 6.1% | 320 | +0.020</w:t>
      </w:r>
    </w:p>
    <w:p>
      <w:pPr>
        <w:pStyle w:val="Heading2"/>
      </w:pPr>
      <w:r>
        <w:t xml:space="preserve">5. Validation: TF-IDF Check</w:t>
      </w:r>
    </w:p>
    <w:p>
      <w:pPr>
        <w:spacing w:after="120"/>
      </w:pPr>
      <w:r>
        <w:t xml:space="preserve">After scoring, validate with TF-IDF: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Identify ~5 documents with highest ReformScore and ~5 with highest CriticismScore.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Compute TF-IDF for these two groups.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High-reform documents should show: </w:t>
      </w:r>
      <w:r>
        <w:rPr>
          <w:i/>
          <w:iCs/>
        </w:rPr>
        <w:t xml:space="preserve">progress, adopted, implemented</w:t>
      </w:r>
    </w:p>
    <w:p>
      <w:pPr>
        <w:pStyle w:val="ListParagraph"/>
        <w:numPr>
          <w:ilvl w:val="0"/>
          <w:numId w:val="2"/>
        </w:numPr>
        <w:spacing w:after="120"/>
      </w:pPr>
      <w:r>
        <w:t xml:space="preserve">High-criticism documents should show: </w:t>
      </w:r>
      <w:r>
        <w:rPr>
          <w:i/>
          <w:iCs/>
        </w:rPr>
        <w:t xml:space="preserve">concern, lack, limited</w:t>
      </w:r>
    </w:p>
    <w:p>
      <w:pPr>
        <w:pStyle w:val="Heading2"/>
      </w:pPr>
      <w:r>
        <w:t xml:space="preserve">6. Key Implementation Considerations</w:t>
      </w:r>
    </w:p>
    <w:p>
      <w:pPr>
        <w:pStyle w:val="Heading3"/>
      </w:pPr>
      <w:r>
        <w:t xml:space="preserve">6.1 Handling Kosovo 2022</w:t>
      </w:r>
    </w:p>
    <w:p>
      <w:pPr>
        <w:spacing w:after="120"/>
      </w:pPr>
      <w:r>
        <w:t xml:space="preserve">Kosovo 2022 is a transition year (~6,700 words, mixed structure). </w:t>
      </w:r>
      <w:r>
        <w:rPr>
          <w:b/>
          <w:bCs/>
        </w:rPr>
        <w:t xml:space="preserve">Recommendation: Include in Sub-Corpus A but flag in analysis.</w:t>
      </w:r>
      <w:r>
        <w:t xml:space="preserve"> Its intermediate properties are useful for testing robustness.</w:t>
      </w:r>
    </w:p>
    <w:p>
      <w:pPr>
        <w:pStyle w:val="Heading3"/>
      </w:pPr>
      <w:r>
        <w:t xml:space="preserve">6.2 Controlling for Document Length</w:t>
      </w:r>
    </w:p>
    <w:p>
      <w:pPr>
        <w:spacing w:after="120"/>
      </w:pPr>
      <w:r>
        <w:t xml:space="preserve">Your percentage-based scores normalize for length. In regression, include log(word count) as a control to account for scope differences.</w:t>
      </w:r>
    </w:p>
    <w:p>
      <w:pPr>
        <w:pStyle w:val="Heading3"/>
      </w:pPr>
      <w:r>
        <w:t xml:space="preserve">6.3 Cross-Country Consistency</w:t>
      </w:r>
    </w:p>
    <w:p>
      <w:pPr>
        <w:spacing w:after="120"/>
      </w:pPr>
      <w:r>
        <w:t xml:space="preserve">All countries show similar word count patterns (low 2021–2023, high 2024–2025), suggesting the structural change is systematic, not country-specific. This strengthens your comparative analysis.</w:t>
      </w:r>
    </w:p>
    <w:p>
      <w:pPr>
        <w:pStyle w:val="Heading3"/>
      </w:pPr>
      <w:r>
        <w:t xml:space="preserve">6.4 Dictionary Refinement</w:t>
      </w:r>
    </w:p>
    <w:p>
      <w:pPr>
        <w:spacing w:after="120"/>
      </w:pPr>
      <w:r>
        <w:t xml:space="preserve">Start conservative, then expand based on manual review. If </w:t>
      </w:r>
      <w:r>
        <w:rPr>
          <w:i/>
          <w:iCs/>
        </w:rPr>
        <w:t xml:space="preserve">"progress"</w:t>
      </w:r>
      <w:r>
        <w:t xml:space="preserve"> is highly predictive, check if related words appear in similar documents.</w:t>
      </w:r>
    </w:p>
    <w:p>
      <w:pPr>
        <w:pStyle w:val="Heading2"/>
      </w:pPr>
      <w:r>
        <w:t xml:space="preserve">7. Feasibility Checklist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☑ Documents have consistent formatting with clear section headers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☑ Temporal coverage (2021–2025) and cross-country data (4 countries) enable robust analysis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☑ Structural break (2023→2024) is identified and planned for (Sub-Corpora A &amp; B)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☑ Document length normalization via percentages is appropriate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☑ Dictionary design grounded in EU assessment language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☑ TF-IDF validation planned to confirm dictionary captures variation</w:t>
      </w:r>
    </w:p>
    <w:p>
      <w:pPr>
        <w:pStyle w:val="ListParagraph"/>
        <w:numPr>
          <w:ilvl w:val="0"/>
          <w:numId w:val="2"/>
        </w:numPr>
        <w:spacing w:after="120"/>
      </w:pPr>
      <w:r>
        <w:t xml:space="preserve">☑ Governance-focused text selection is feasible with clear headers</w:t>
      </w:r>
    </w:p>
    <w:p>
      <w:pPr>
        <w:pStyle w:val="Heading2"/>
      </w:pPr>
      <w:r>
        <w:t xml:space="preserve">8. Conclusion</w:t>
      </w:r>
    </w:p>
    <w:p>
      <w:pPr>
        <w:spacing w:after="120"/>
      </w:pPr>
      <w:r>
        <w:t xml:space="preserve">Your research question—whether EU reports systematically differ in reform vs. criticism language across countries and time—is </w:t>
      </w:r>
      <w:r>
        <w:rPr>
          <w:b/>
          <w:bCs/>
        </w:rPr>
        <w:t xml:space="preserve">highly feasible.</w:t>
      </w:r>
      <w:r>
        <w:t xml:space="preserve"> The 2023→2024 structural break is manageable through stratified corpus design (Sub-Corpora A &amp; B). Proceed with: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Extract governance-focused sections from each document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Apply standard preprocessing (lowercase, punctuation removal, stopwords)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Score using your reform/criticism dictionary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Validate with TF-IDF to confirm word patterns align with scores</w:t>
      </w:r>
    </w:p>
    <w:p>
      <w:pPr>
        <w:pStyle w:val="ListParagraph"/>
        <w:numPr>
          <w:ilvl w:val="0"/>
          <w:numId w:val="2"/>
        </w:numPr>
        <w:spacing w:after="120"/>
      </w:pPr>
      <w:r>
        <w:t xml:space="preserve">Analyze temporal and cross-country variation (separately for Sub-Corpora A &amp; B)</w:t>
      </w:r>
    </w:p>
    <w:p>
      <w:pPr>
        <w:spacing w:after="120"/>
      </w:pPr>
      <w:r>
        <w:t xml:space="preserve">You will have a robust quantitative measure of EU assessment tone that reveals consistent patterns in how the EU evaluates different countries over time.</w:t>
      </w:r>
    </w:p>
    <w:sectPr>
      <w:pgSz w:w="12240" w:h="15840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after="120" w:before="240"/>
      <w:outlineLvl w:val="0"/>
    </w:pPr>
    <w:rPr>
      <w:rFonts w:ascii="Arial" w:cs="Arial" w:eastAsia="Arial" w:hAnsi="Arial"/>
      <w:b/>
      <w:bCs/>
      <w:color w:val="1F4E78"/>
      <w:sz w:val="32"/>
      <w:szCs w:val="32"/>
    </w:rPr>
  </w:style>
  <w:style w:type="paragraph" w:styleId="Heading2">
    <w:name w:val="Heading 2"/>
    <w:basedOn w:val="Normal"/>
    <w:next w:val="Normal"/>
    <w:qFormat/>
    <w:pPr>
      <w:spacing w:after="80" w:before="180"/>
      <w:outlineLvl w:val="1"/>
    </w:pPr>
    <w:rPr>
      <w:rFonts w:ascii="Arial" w:cs="Arial" w:eastAsia="Arial" w:hAnsi="Arial"/>
      <w:b/>
      <w:bCs/>
      <w:color w:val="2E5C8A"/>
      <w:sz w:val="28"/>
      <w:szCs w:val="28"/>
    </w:rPr>
  </w:style>
  <w:style w:type="paragraph" w:styleId="Heading3">
    <w:name w:val="Heading 3"/>
    <w:basedOn w:val="Normal"/>
    <w:next w:val="Normal"/>
    <w:qFormat/>
    <w:pPr>
      <w:spacing w:after="60" w:before="120"/>
      <w:outlineLvl w:val="2"/>
    </w:pPr>
    <w:rPr>
      <w:rFonts w:ascii="Arial" w:cs="Arial" w:eastAsia="Arial" w:hAnsi="Arial"/>
      <w:b/>
      <w:bCs/>
      <w:color w:val="3D6D9A"/>
      <w:sz w:val="24"/>
      <w:szCs w:val="24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2026-03-28T10:47:44.616Z</dcterms:created>
  <dcterms:modified xsi:type="dcterms:W3CDTF">2026-03-28T10:47:44.616Z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