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Azure Backup and Restore Lab</w:t>
      </w:r>
    </w:p>
    <w:p>
      <w:pPr>
        <w:pStyle w:val="Subtitle"/>
      </w:pPr>
      <w:r>
        <w:t>Project 5 Portfolio Report</w:t>
      </w:r>
    </w:p>
    <w:p>
      <w:r>
        <w:t>Samuel Gebu | Implementation 13 to 14 October 2026</w:t>
      </w:r>
    </w:p>
    <w:p>
      <w:pPr>
        <w:pStyle w:val="Heading1"/>
      </w:pPr>
      <w:r>
        <w:t>Project outcome</w:t>
      </w:r>
    </w:p>
    <w:p>
      <w:r>
        <w:t>I configured Azure VM backup and recovered a deliberately deleted sample business file. After the backup succeeded, I deleted BusinessRecords.txt, accessed the selected recovery point through Azure File Recovery, copied the file back to its original folder, and checked its contents. I then unmounted the temporary recovery disks.</w:t>
      </w:r>
    </w:p>
    <w:p>
      <w:r>
        <w:t>This report documents a personal lab for portfolio review. It demonstrates VM protection and file recovery within one Azure region. It does not represent a production deployment or a tested regional disaster recovery solution.</w:t>
      </w:r>
    </w:p>
    <w:p>
      <w:pPr>
        <w:pStyle w:val="Heading1"/>
      </w:pPr>
      <w:r>
        <w:t>Environment</w:t>
      </w:r>
    </w:p>
    <w:tbl>
      <w:tblPr>
        <w:tblW w:type="auto" w:w="0"/>
        <w:tblLayout w:type="fixed"/>
        <w:tblLook w:firstColumn="1" w:firstRow="1" w:lastColumn="0" w:lastRow="0" w:noHBand="0" w:noVBand="1" w:val="04A0"/>
      </w:tblPr>
      <w:tblGrid>
        <w:gridCol w:w="3024"/>
        <w:gridCol w:w="7056"/>
      </w:tblGrid>
      <w:tr>
        <w:tc>
          <w:tcPr>
            <w:tcW w:type="dxa" w:w="3024"/>
            <w:tcBorders>
              <w:top w:val="single" w:sz="4" w:color="D9D9D9"/>
              <w:left w:val="single" w:sz="4" w:color="D9D9D9"/>
              <w:bottom w:val="single" w:sz="4" w:color="D9D9D9"/>
              <w:right w:val="single" w:sz="4" w:color="D9D9D9"/>
            </w:tcBorders>
            <w:shd w:fill="DCE6EF"/>
            <w:vAlign w:val="center"/>
          </w:tcPr>
          <w:p>
            <w:pPr>
              <w:spacing w:before="20" w:after="40"/>
            </w:pPr>
            <w:r>
              <w:rPr>
                <w:b/>
              </w:rPr>
              <w:t>Component</w:t>
            </w:r>
          </w:p>
        </w:tc>
        <w:tc>
          <w:tcPr>
            <w:tcW w:type="dxa" w:w="7056"/>
            <w:tcBorders>
              <w:top w:val="single" w:sz="4" w:color="D9D9D9"/>
              <w:left w:val="single" w:sz="4" w:color="D9D9D9"/>
              <w:bottom w:val="single" w:sz="4" w:color="D9D9D9"/>
              <w:right w:val="single" w:sz="4" w:color="D9D9D9"/>
            </w:tcBorders>
            <w:shd w:fill="DCE6EF"/>
            <w:vAlign w:val="center"/>
          </w:tcPr>
          <w:p>
            <w:pPr>
              <w:spacing w:before="20" w:after="40"/>
            </w:pPr>
            <w:r>
              <w:rPr>
                <w:b/>
              </w:rPr>
              <w:t>Configuration</w:t>
            </w:r>
          </w:p>
        </w:tc>
      </w:tr>
      <w:tr>
        <w:tc>
          <w:tcPr>
            <w:tcW w:type="dxa" w:w="3024"/>
            <w:tcBorders>
              <w:top w:val="single" w:sz="4" w:color="D9D9D9"/>
              <w:left w:val="single" w:sz="4" w:color="D9D9D9"/>
              <w:bottom w:val="single" w:sz="4" w:color="D9D9D9"/>
              <w:right w:val="single" w:sz="4" w:color="D9D9D9"/>
            </w:tcBorders>
            <w:shd w:fill="FFFFFF"/>
            <w:vAlign w:val="center"/>
          </w:tcPr>
          <w:p>
            <w:pPr>
              <w:spacing w:before="20" w:after="40"/>
            </w:pPr>
            <w:r>
              <w:t>Resource group</w:t>
            </w:r>
          </w:p>
        </w:tc>
        <w:tc>
          <w:tcPr>
            <w:tcW w:type="dxa" w:w="7056"/>
            <w:tcBorders>
              <w:top w:val="single" w:sz="4" w:color="D9D9D9"/>
              <w:left w:val="single" w:sz="4" w:color="D9D9D9"/>
              <w:bottom w:val="single" w:sz="4" w:color="D9D9D9"/>
              <w:right w:val="single" w:sz="4" w:color="D9D9D9"/>
            </w:tcBorders>
            <w:shd w:fill="FFFFFF"/>
            <w:vAlign w:val="center"/>
          </w:tcPr>
          <w:p>
            <w:pPr>
              <w:spacing w:before="20" w:after="40"/>
            </w:pPr>
            <w:r>
              <w:t>rg-backup-restore-lab</w:t>
            </w:r>
          </w:p>
        </w:tc>
      </w:tr>
      <w:tr>
        <w:tc>
          <w:tcPr>
            <w:tcW w:type="dxa" w:w="3024"/>
            <w:tcBorders>
              <w:top w:val="single" w:sz="4" w:color="D9D9D9"/>
              <w:left w:val="single" w:sz="4" w:color="D9D9D9"/>
              <w:bottom w:val="single" w:sz="4" w:color="D9D9D9"/>
              <w:right w:val="single" w:sz="4" w:color="D9D9D9"/>
            </w:tcBorders>
            <w:shd w:fill="F4F6F8"/>
            <w:vAlign w:val="center"/>
          </w:tcPr>
          <w:p>
            <w:pPr>
              <w:spacing w:before="20" w:after="40"/>
            </w:pPr>
            <w:r>
              <w:t>Virtual machine</w:t>
            </w:r>
          </w:p>
        </w:tc>
        <w:tc>
          <w:tcPr>
            <w:tcW w:type="dxa" w:w="7056"/>
            <w:tcBorders>
              <w:top w:val="single" w:sz="4" w:color="D9D9D9"/>
              <w:left w:val="single" w:sz="4" w:color="D9D9D9"/>
              <w:bottom w:val="single" w:sz="4" w:color="D9D9D9"/>
              <w:right w:val="single" w:sz="4" w:color="D9D9D9"/>
            </w:tcBorders>
            <w:shd w:fill="F4F6F8"/>
            <w:vAlign w:val="center"/>
          </w:tcPr>
          <w:p>
            <w:pPr>
              <w:spacing w:before="20" w:after="40"/>
            </w:pPr>
            <w:r>
              <w:t>vm-backup-lab</w:t>
            </w:r>
          </w:p>
        </w:tc>
      </w:tr>
      <w:tr>
        <w:tc>
          <w:tcPr>
            <w:tcW w:type="dxa" w:w="3024"/>
            <w:tcBorders>
              <w:top w:val="single" w:sz="4" w:color="D9D9D9"/>
              <w:left w:val="single" w:sz="4" w:color="D9D9D9"/>
              <w:bottom w:val="single" w:sz="4" w:color="D9D9D9"/>
              <w:right w:val="single" w:sz="4" w:color="D9D9D9"/>
            </w:tcBorders>
            <w:shd w:fill="FFFFFF"/>
            <w:vAlign w:val="center"/>
          </w:tcPr>
          <w:p>
            <w:pPr>
              <w:spacing w:before="20" w:after="40"/>
            </w:pPr>
            <w:r>
              <w:t>Region</w:t>
            </w:r>
          </w:p>
        </w:tc>
        <w:tc>
          <w:tcPr>
            <w:tcW w:type="dxa" w:w="7056"/>
            <w:tcBorders>
              <w:top w:val="single" w:sz="4" w:color="D9D9D9"/>
              <w:left w:val="single" w:sz="4" w:color="D9D9D9"/>
              <w:bottom w:val="single" w:sz="4" w:color="D9D9D9"/>
              <w:right w:val="single" w:sz="4" w:color="D9D9D9"/>
            </w:tcBorders>
            <w:shd w:fill="FFFFFF"/>
            <w:vAlign w:val="center"/>
          </w:tcPr>
          <w:p>
            <w:pPr>
              <w:spacing w:before="20" w:after="40"/>
            </w:pPr>
            <w:r>
              <w:t>South Africa North Zone 1</w:t>
            </w:r>
          </w:p>
        </w:tc>
      </w:tr>
      <w:tr>
        <w:tc>
          <w:tcPr>
            <w:tcW w:type="dxa" w:w="3024"/>
            <w:tcBorders>
              <w:top w:val="single" w:sz="4" w:color="D9D9D9"/>
              <w:left w:val="single" w:sz="4" w:color="D9D9D9"/>
              <w:bottom w:val="single" w:sz="4" w:color="D9D9D9"/>
              <w:right w:val="single" w:sz="4" w:color="D9D9D9"/>
            </w:tcBorders>
            <w:shd w:fill="F4F6F8"/>
            <w:vAlign w:val="center"/>
          </w:tcPr>
          <w:p>
            <w:pPr>
              <w:spacing w:before="20" w:after="40"/>
            </w:pPr>
            <w:r>
              <w:t>Operating system</w:t>
            </w:r>
          </w:p>
        </w:tc>
        <w:tc>
          <w:tcPr>
            <w:tcW w:type="dxa" w:w="7056"/>
            <w:tcBorders>
              <w:top w:val="single" w:sz="4" w:color="D9D9D9"/>
              <w:left w:val="single" w:sz="4" w:color="D9D9D9"/>
              <w:bottom w:val="single" w:sz="4" w:color="D9D9D9"/>
              <w:right w:val="single" w:sz="4" w:color="D9D9D9"/>
            </w:tcBorders>
            <w:shd w:fill="F4F6F8"/>
            <w:vAlign w:val="center"/>
          </w:tcPr>
          <w:p>
            <w:pPr>
              <w:spacing w:before="20" w:after="40"/>
            </w:pPr>
            <w:r>
              <w:t>Windows Server 2025 Datacenter Azure Edition</w:t>
            </w:r>
          </w:p>
        </w:tc>
      </w:tr>
      <w:tr>
        <w:tc>
          <w:tcPr>
            <w:tcW w:type="dxa" w:w="3024"/>
            <w:tcBorders>
              <w:top w:val="single" w:sz="4" w:color="D9D9D9"/>
              <w:left w:val="single" w:sz="4" w:color="D9D9D9"/>
              <w:bottom w:val="single" w:sz="4" w:color="D9D9D9"/>
              <w:right w:val="single" w:sz="4" w:color="D9D9D9"/>
            </w:tcBorders>
            <w:shd w:fill="FFFFFF"/>
            <w:vAlign w:val="center"/>
          </w:tcPr>
          <w:p>
            <w:pPr>
              <w:spacing w:before="20" w:after="40"/>
            </w:pPr>
            <w:r>
              <w:t>Compute size</w:t>
            </w:r>
          </w:p>
        </w:tc>
        <w:tc>
          <w:tcPr>
            <w:tcW w:type="dxa" w:w="7056"/>
            <w:tcBorders>
              <w:top w:val="single" w:sz="4" w:color="D9D9D9"/>
              <w:left w:val="single" w:sz="4" w:color="D9D9D9"/>
              <w:bottom w:val="single" w:sz="4" w:color="D9D9D9"/>
              <w:right w:val="single" w:sz="4" w:color="D9D9D9"/>
            </w:tcBorders>
            <w:shd w:fill="FFFFFF"/>
            <w:vAlign w:val="center"/>
          </w:tcPr>
          <w:p>
            <w:pPr>
              <w:spacing w:before="20" w:after="40"/>
            </w:pPr>
            <w:r>
              <w:t>Standard DS1_v2</w:t>
            </w:r>
          </w:p>
        </w:tc>
      </w:tr>
      <w:tr>
        <w:tc>
          <w:tcPr>
            <w:tcW w:type="dxa" w:w="3024"/>
            <w:tcBorders>
              <w:top w:val="single" w:sz="4" w:color="D9D9D9"/>
              <w:left w:val="single" w:sz="4" w:color="D9D9D9"/>
              <w:bottom w:val="single" w:sz="4" w:color="D9D9D9"/>
              <w:right w:val="single" w:sz="4" w:color="D9D9D9"/>
            </w:tcBorders>
            <w:shd w:fill="F4F6F8"/>
            <w:vAlign w:val="center"/>
          </w:tcPr>
          <w:p>
            <w:pPr>
              <w:spacing w:before="20" w:after="40"/>
            </w:pPr>
            <w:r>
              <w:t>OS disk</w:t>
            </w:r>
          </w:p>
        </w:tc>
        <w:tc>
          <w:tcPr>
            <w:tcW w:type="dxa" w:w="7056"/>
            <w:tcBorders>
              <w:top w:val="single" w:sz="4" w:color="D9D9D9"/>
              <w:left w:val="single" w:sz="4" w:color="D9D9D9"/>
              <w:bottom w:val="single" w:sz="4" w:color="D9D9D9"/>
              <w:right w:val="single" w:sz="4" w:color="D9D9D9"/>
            </w:tcBorders>
            <w:shd w:fill="F4F6F8"/>
            <w:vAlign w:val="center"/>
          </w:tcPr>
          <w:p>
            <w:pPr>
              <w:spacing w:before="20" w:after="40"/>
            </w:pPr>
            <w:r>
              <w:t>Standard SSD with platform managed key</w:t>
            </w:r>
          </w:p>
        </w:tc>
      </w:tr>
      <w:tr>
        <w:tc>
          <w:tcPr>
            <w:tcW w:type="dxa" w:w="3024"/>
            <w:tcBorders>
              <w:top w:val="single" w:sz="4" w:color="D9D9D9"/>
              <w:left w:val="single" w:sz="4" w:color="D9D9D9"/>
              <w:bottom w:val="single" w:sz="4" w:color="D9D9D9"/>
              <w:right w:val="single" w:sz="4" w:color="D9D9D9"/>
            </w:tcBorders>
            <w:shd w:fill="FFFFFF"/>
            <w:vAlign w:val="center"/>
          </w:tcPr>
          <w:p>
            <w:pPr>
              <w:spacing w:before="20" w:after="40"/>
            </w:pPr>
            <w:r>
              <w:t>Network security group</w:t>
            </w:r>
          </w:p>
        </w:tc>
        <w:tc>
          <w:tcPr>
            <w:tcW w:type="dxa" w:w="7056"/>
            <w:tcBorders>
              <w:top w:val="single" w:sz="4" w:color="D9D9D9"/>
              <w:left w:val="single" w:sz="4" w:color="D9D9D9"/>
              <w:bottom w:val="single" w:sz="4" w:color="D9D9D9"/>
              <w:right w:val="single" w:sz="4" w:color="D9D9D9"/>
            </w:tcBorders>
            <w:shd w:fill="FFFFFF"/>
            <w:vAlign w:val="center"/>
          </w:tcPr>
          <w:p>
            <w:pPr>
              <w:spacing w:before="20" w:after="40"/>
            </w:pPr>
            <w:r>
              <w:t>nsg-backup-lab</w:t>
            </w:r>
          </w:p>
        </w:tc>
      </w:tr>
      <w:tr>
        <w:tc>
          <w:tcPr>
            <w:tcW w:type="dxa" w:w="3024"/>
            <w:tcBorders>
              <w:top w:val="single" w:sz="4" w:color="D9D9D9"/>
              <w:left w:val="single" w:sz="4" w:color="D9D9D9"/>
              <w:bottom w:val="single" w:sz="4" w:color="D9D9D9"/>
              <w:right w:val="single" w:sz="4" w:color="D9D9D9"/>
            </w:tcBorders>
            <w:shd w:fill="F4F6F8"/>
            <w:vAlign w:val="center"/>
          </w:tcPr>
          <w:p>
            <w:pPr>
              <w:spacing w:before="20" w:after="40"/>
            </w:pPr>
            <w:r>
              <w:t>Recovery Services vault</w:t>
            </w:r>
          </w:p>
        </w:tc>
        <w:tc>
          <w:tcPr>
            <w:tcW w:type="dxa" w:w="7056"/>
            <w:tcBorders>
              <w:top w:val="single" w:sz="4" w:color="D9D9D9"/>
              <w:left w:val="single" w:sz="4" w:color="D9D9D9"/>
              <w:bottom w:val="single" w:sz="4" w:color="D9D9D9"/>
              <w:right w:val="single" w:sz="4" w:color="D9D9D9"/>
            </w:tcBorders>
            <w:shd w:fill="F4F6F8"/>
            <w:vAlign w:val="center"/>
          </w:tcPr>
          <w:p>
            <w:pPr>
              <w:spacing w:before="20" w:after="40"/>
            </w:pPr>
            <w:r>
              <w:t>rsv-backup-lab</w:t>
            </w:r>
          </w:p>
        </w:tc>
      </w:tr>
      <w:tr>
        <w:tc>
          <w:tcPr>
            <w:tcW w:type="dxa" w:w="3024"/>
            <w:tcBorders>
              <w:top w:val="single" w:sz="4" w:color="D9D9D9"/>
              <w:left w:val="single" w:sz="4" w:color="D9D9D9"/>
              <w:bottom w:val="single" w:sz="4" w:color="D9D9D9"/>
              <w:right w:val="single" w:sz="4" w:color="D9D9D9"/>
            </w:tcBorders>
            <w:shd w:fill="FFFFFF"/>
            <w:vAlign w:val="center"/>
          </w:tcPr>
          <w:p>
            <w:pPr>
              <w:spacing w:before="20" w:after="40"/>
            </w:pPr>
            <w:r>
              <w:t>Backup policy</w:t>
            </w:r>
          </w:p>
        </w:tc>
        <w:tc>
          <w:tcPr>
            <w:tcW w:type="dxa" w:w="7056"/>
            <w:tcBorders>
              <w:top w:val="single" w:sz="4" w:color="D9D9D9"/>
              <w:left w:val="single" w:sz="4" w:color="D9D9D9"/>
              <w:bottom w:val="single" w:sz="4" w:color="D9D9D9"/>
              <w:right w:val="single" w:sz="4" w:color="D9D9D9"/>
            </w:tcBorders>
            <w:shd w:fill="FFFFFF"/>
            <w:vAlign w:val="center"/>
          </w:tcPr>
          <w:p>
            <w:pPr>
              <w:spacing w:before="20" w:after="40"/>
            </w:pPr>
            <w:r>
              <w:t>policy-backup-lab-daily Enhanced</w:t>
            </w:r>
          </w:p>
        </w:tc>
      </w:tr>
    </w:tbl>
    <w:p/>
    <w:p>
      <w:r>
        <w:t>The existing unassociated Standard public IP in South Africa North was reused after the VM creation form reported that no quota remained for a new public IP. Public IP values, subscription identifiers and passwords are omitted from this report.</w:t>
      </w:r>
    </w:p>
    <w:p>
      <w:r/>
    </w:p>
    <w:p>
      <w:pPr>
        <w:pStyle w:val="Heading1"/>
      </w:pPr>
      <w:r>
        <w:t>Implementation</w:t>
      </w:r>
    </w:p>
    <w:p>
      <w:pPr>
        <w:pStyle w:val="Heading2"/>
      </w:pPr>
      <w:r>
        <w:t>Server and sample data</w:t>
      </w:r>
    </w:p>
    <w:p>
      <w:r>
        <w:t>I deployed the VM, connected through Remote Desktop as labadmin, and created C:\BackupLab\BusinessRecords.txt. The file contained fictional invoice data for the recovery exercise, including record INV-001, amount GHS 1500 and status Paid.</w:t>
      </w:r>
    </w:p>
    <w:p>
      <w:r>
        <w:t>Managed disks remained encrypted at rest. Secure Boot and vTPM were enabled through Trusted Launch. Boot diagnostics used managed storage. Backup was configured separately after the sample file had been created.</w:t>
      </w:r>
    </w:p>
    <w:p>
      <w:pPr>
        <w:pStyle w:val="Heading2"/>
      </w:pPr>
      <w:r>
        <w:t>Network access and tags</w:t>
      </w:r>
    </w:p>
    <w:p>
      <w:r>
        <w:t>I selected a dedicated network security group. The intended inbound rule was Allow-RDP-MyIP for TCP port 3389, restricted to the administrator internet connection public IP. A final inbound rule screenshot was not supplied, so the exact deployed source restriction is not independently verified in this report.</w:t>
      </w:r>
    </w:p>
    <w:tbl>
      <w:tblPr>
        <w:tblW w:type="auto" w:w="0"/>
        <w:tblLayout w:type="fixed"/>
        <w:tblLook w:firstColumn="1" w:firstRow="1" w:lastColumn="0" w:lastRow="0" w:noHBand="0" w:noVBand="1" w:val="04A0"/>
      </w:tblPr>
      <w:tblGrid>
        <w:gridCol w:w="3024"/>
        <w:gridCol w:w="7056"/>
      </w:tblGrid>
      <w:tr>
        <w:tc>
          <w:tcPr>
            <w:tcW w:type="dxa" w:w="3024"/>
            <w:tcBorders>
              <w:top w:val="single" w:sz="4" w:color="D9D9D9"/>
              <w:left w:val="single" w:sz="4" w:color="D9D9D9"/>
              <w:bottom w:val="single" w:sz="4" w:color="D9D9D9"/>
              <w:right w:val="single" w:sz="4" w:color="D9D9D9"/>
            </w:tcBorders>
            <w:shd w:fill="DCE6EF"/>
            <w:vAlign w:val="center"/>
          </w:tcPr>
          <w:p>
            <w:pPr>
              <w:spacing w:before="20" w:after="40"/>
            </w:pPr>
            <w:r>
              <w:rPr>
                <w:b/>
              </w:rPr>
              <w:t>Tag</w:t>
            </w:r>
          </w:p>
        </w:tc>
        <w:tc>
          <w:tcPr>
            <w:tcW w:type="dxa" w:w="7056"/>
            <w:tcBorders>
              <w:top w:val="single" w:sz="4" w:color="D9D9D9"/>
              <w:left w:val="single" w:sz="4" w:color="D9D9D9"/>
              <w:bottom w:val="single" w:sz="4" w:color="D9D9D9"/>
              <w:right w:val="single" w:sz="4" w:color="D9D9D9"/>
            </w:tcBorders>
            <w:shd w:fill="DCE6EF"/>
            <w:vAlign w:val="center"/>
          </w:tcPr>
          <w:p>
            <w:pPr>
              <w:spacing w:before="20" w:after="40"/>
            </w:pPr>
            <w:r>
              <w:rPr>
                <w:b/>
              </w:rPr>
              <w:t>Value</w:t>
            </w:r>
          </w:p>
        </w:tc>
      </w:tr>
      <w:tr>
        <w:tc>
          <w:tcPr>
            <w:tcW w:type="dxa" w:w="3024"/>
            <w:tcBorders>
              <w:top w:val="single" w:sz="4" w:color="D9D9D9"/>
              <w:left w:val="single" w:sz="4" w:color="D9D9D9"/>
              <w:bottom w:val="single" w:sz="4" w:color="D9D9D9"/>
              <w:right w:val="single" w:sz="4" w:color="D9D9D9"/>
            </w:tcBorders>
            <w:shd w:fill="FFFFFF"/>
            <w:vAlign w:val="center"/>
          </w:tcPr>
          <w:p>
            <w:pPr>
              <w:spacing w:before="20" w:after="40"/>
            </w:pPr>
            <w:r>
              <w:t>Project</w:t>
            </w:r>
          </w:p>
        </w:tc>
        <w:tc>
          <w:tcPr>
            <w:tcW w:type="dxa" w:w="7056"/>
            <w:tcBorders>
              <w:top w:val="single" w:sz="4" w:color="D9D9D9"/>
              <w:left w:val="single" w:sz="4" w:color="D9D9D9"/>
              <w:bottom w:val="single" w:sz="4" w:color="D9D9D9"/>
              <w:right w:val="single" w:sz="4" w:color="D9D9D9"/>
            </w:tcBorders>
            <w:shd w:fill="FFFFFF"/>
            <w:vAlign w:val="center"/>
          </w:tcPr>
          <w:p>
            <w:pPr>
              <w:spacing w:before="20" w:after="40"/>
            </w:pPr>
            <w:r>
              <w:t>Azure-Backup-Restore-Lab</w:t>
            </w:r>
          </w:p>
        </w:tc>
      </w:tr>
      <w:tr>
        <w:tc>
          <w:tcPr>
            <w:tcW w:type="dxa" w:w="3024"/>
            <w:tcBorders>
              <w:top w:val="single" w:sz="4" w:color="D9D9D9"/>
              <w:left w:val="single" w:sz="4" w:color="D9D9D9"/>
              <w:bottom w:val="single" w:sz="4" w:color="D9D9D9"/>
              <w:right w:val="single" w:sz="4" w:color="D9D9D9"/>
            </w:tcBorders>
            <w:shd w:fill="F4F6F8"/>
            <w:vAlign w:val="center"/>
          </w:tcPr>
          <w:p>
            <w:pPr>
              <w:spacing w:before="20" w:after="40"/>
            </w:pPr>
            <w:r>
              <w:t>Environment</w:t>
            </w:r>
          </w:p>
        </w:tc>
        <w:tc>
          <w:tcPr>
            <w:tcW w:type="dxa" w:w="7056"/>
            <w:tcBorders>
              <w:top w:val="single" w:sz="4" w:color="D9D9D9"/>
              <w:left w:val="single" w:sz="4" w:color="D9D9D9"/>
              <w:bottom w:val="single" w:sz="4" w:color="D9D9D9"/>
              <w:right w:val="single" w:sz="4" w:color="D9D9D9"/>
            </w:tcBorders>
            <w:shd w:fill="F4F6F8"/>
            <w:vAlign w:val="center"/>
          </w:tcPr>
          <w:p>
            <w:pPr>
              <w:spacing w:before="20" w:after="40"/>
            </w:pPr>
            <w:r>
              <w:t>Lab</w:t>
            </w:r>
          </w:p>
        </w:tc>
      </w:tr>
      <w:tr>
        <w:tc>
          <w:tcPr>
            <w:tcW w:type="dxa" w:w="3024"/>
            <w:tcBorders>
              <w:top w:val="single" w:sz="4" w:color="D9D9D9"/>
              <w:left w:val="single" w:sz="4" w:color="D9D9D9"/>
              <w:bottom w:val="single" w:sz="4" w:color="D9D9D9"/>
              <w:right w:val="single" w:sz="4" w:color="D9D9D9"/>
            </w:tcBorders>
            <w:shd w:fill="FFFFFF"/>
            <w:vAlign w:val="center"/>
          </w:tcPr>
          <w:p>
            <w:pPr>
              <w:spacing w:before="20" w:after="40"/>
            </w:pPr>
            <w:r>
              <w:t>Owner</w:t>
            </w:r>
          </w:p>
        </w:tc>
        <w:tc>
          <w:tcPr>
            <w:tcW w:type="dxa" w:w="7056"/>
            <w:tcBorders>
              <w:top w:val="single" w:sz="4" w:color="D9D9D9"/>
              <w:left w:val="single" w:sz="4" w:color="D9D9D9"/>
              <w:bottom w:val="single" w:sz="4" w:color="D9D9D9"/>
              <w:right w:val="single" w:sz="4" w:color="D9D9D9"/>
            </w:tcBorders>
            <w:shd w:fill="FFFFFF"/>
            <w:vAlign w:val="center"/>
          </w:tcPr>
          <w:p>
            <w:pPr>
              <w:spacing w:before="20" w:after="40"/>
            </w:pPr>
            <w:r>
              <w:t>Samuel-Gebu</w:t>
            </w:r>
          </w:p>
        </w:tc>
      </w:tr>
      <w:tr>
        <w:tc>
          <w:tcPr>
            <w:tcW w:type="dxa" w:w="3024"/>
            <w:tcBorders>
              <w:top w:val="single" w:sz="4" w:color="D9D9D9"/>
              <w:left w:val="single" w:sz="4" w:color="D9D9D9"/>
              <w:bottom w:val="single" w:sz="4" w:color="D9D9D9"/>
              <w:right w:val="single" w:sz="4" w:color="D9D9D9"/>
            </w:tcBorders>
            <w:shd w:fill="F4F6F8"/>
            <w:vAlign w:val="center"/>
          </w:tcPr>
          <w:p>
            <w:pPr>
              <w:spacing w:before="20" w:after="40"/>
            </w:pPr>
            <w:r>
              <w:t>Purpose</w:t>
            </w:r>
          </w:p>
        </w:tc>
        <w:tc>
          <w:tcPr>
            <w:tcW w:type="dxa" w:w="7056"/>
            <w:tcBorders>
              <w:top w:val="single" w:sz="4" w:color="D9D9D9"/>
              <w:left w:val="single" w:sz="4" w:color="D9D9D9"/>
              <w:bottom w:val="single" w:sz="4" w:color="D9D9D9"/>
              <w:right w:val="single" w:sz="4" w:color="D9D9D9"/>
            </w:tcBorders>
            <w:shd w:fill="F4F6F8"/>
            <w:vAlign w:val="center"/>
          </w:tcPr>
          <w:p>
            <w:pPr>
              <w:spacing w:before="20" w:after="40"/>
            </w:pPr>
            <w:r>
              <w:t>Portfolio</w:t>
            </w:r>
          </w:p>
        </w:tc>
      </w:tr>
    </w:tbl>
    <w:p/>
    <w:p>
      <w:r>
        <w:t>The VM review showed the Project tag entered as Aazure-Backup-Restore-Lab. This differs from the intended value above and should be corrected when reviewing resource tags. Resource group tags do not automatically propagate to resources.</w:t>
      </w:r>
    </w:p>
    <w:p>
      <w:pPr>
        <w:pStyle w:val="Heading2"/>
      </w:pPr>
      <w:r>
        <w:t>Vault and backup policy</w:t>
      </w:r>
    </w:p>
    <w:p>
      <w:r>
        <w:t>I created rsv-backup-lab in South Africa North and confirmed that locally redundant storage was saved before enabling protection. LRS keeps redundant backup copies within the region; it does not provide recovery from a whole-region outage.</w:t>
      </w:r>
    </w:p>
    <w:tbl>
      <w:tblPr>
        <w:tblW w:type="auto" w:w="0"/>
        <w:tblLayout w:type="fixed"/>
        <w:tblLook w:firstColumn="1" w:firstRow="1" w:lastColumn="0" w:lastRow="0" w:noHBand="0" w:noVBand="1" w:val="04A0"/>
      </w:tblPr>
      <w:tblGrid>
        <w:gridCol w:w="3024"/>
        <w:gridCol w:w="7056"/>
      </w:tblGrid>
      <w:tr>
        <w:tc>
          <w:tcPr>
            <w:tcW w:type="dxa" w:w="3024"/>
            <w:tcBorders>
              <w:top w:val="single" w:sz="4" w:color="D9D9D9"/>
              <w:left w:val="single" w:sz="4" w:color="D9D9D9"/>
              <w:bottom w:val="single" w:sz="4" w:color="D9D9D9"/>
              <w:right w:val="single" w:sz="4" w:color="D9D9D9"/>
            </w:tcBorders>
            <w:shd w:fill="DCE6EF"/>
            <w:vAlign w:val="center"/>
          </w:tcPr>
          <w:p>
            <w:pPr>
              <w:spacing w:before="20" w:after="40"/>
            </w:pPr>
            <w:r>
              <w:rPr>
                <w:b/>
              </w:rPr>
              <w:t>Policy setting</w:t>
            </w:r>
          </w:p>
        </w:tc>
        <w:tc>
          <w:tcPr>
            <w:tcW w:type="dxa" w:w="7056"/>
            <w:tcBorders>
              <w:top w:val="single" w:sz="4" w:color="D9D9D9"/>
              <w:left w:val="single" w:sz="4" w:color="D9D9D9"/>
              <w:bottom w:val="single" w:sz="4" w:color="D9D9D9"/>
              <w:right w:val="single" w:sz="4" w:color="D9D9D9"/>
            </w:tcBorders>
            <w:shd w:fill="DCE6EF"/>
            <w:vAlign w:val="center"/>
          </w:tcPr>
          <w:p>
            <w:pPr>
              <w:spacing w:before="20" w:after="40"/>
            </w:pPr>
            <w:r>
              <w:rPr>
                <w:b/>
              </w:rPr>
              <w:t>Configured lab value</w:t>
            </w:r>
          </w:p>
        </w:tc>
      </w:tr>
      <w:tr>
        <w:tc>
          <w:tcPr>
            <w:tcW w:type="dxa" w:w="3024"/>
            <w:tcBorders>
              <w:top w:val="single" w:sz="4" w:color="D9D9D9"/>
              <w:left w:val="single" w:sz="4" w:color="D9D9D9"/>
              <w:bottom w:val="single" w:sz="4" w:color="D9D9D9"/>
              <w:right w:val="single" w:sz="4" w:color="D9D9D9"/>
            </w:tcBorders>
            <w:shd w:fill="FFFFFF"/>
            <w:vAlign w:val="center"/>
          </w:tcPr>
          <w:p>
            <w:pPr>
              <w:spacing w:before="20" w:after="40"/>
            </w:pPr>
            <w:r>
              <w:t>Policy subtype</w:t>
            </w:r>
          </w:p>
        </w:tc>
        <w:tc>
          <w:tcPr>
            <w:tcW w:type="dxa" w:w="7056"/>
            <w:tcBorders>
              <w:top w:val="single" w:sz="4" w:color="D9D9D9"/>
              <w:left w:val="single" w:sz="4" w:color="D9D9D9"/>
              <w:bottom w:val="single" w:sz="4" w:color="D9D9D9"/>
              <w:right w:val="single" w:sz="4" w:color="D9D9D9"/>
            </w:tcBorders>
            <w:shd w:fill="FFFFFF"/>
            <w:vAlign w:val="center"/>
          </w:tcPr>
          <w:p>
            <w:pPr>
              <w:spacing w:before="20" w:after="40"/>
            </w:pPr>
            <w:r>
              <w:t>Enhanced</w:t>
            </w:r>
          </w:p>
        </w:tc>
      </w:tr>
      <w:tr>
        <w:tc>
          <w:tcPr>
            <w:tcW w:type="dxa" w:w="3024"/>
            <w:tcBorders>
              <w:top w:val="single" w:sz="4" w:color="D9D9D9"/>
              <w:left w:val="single" w:sz="4" w:color="D9D9D9"/>
              <w:bottom w:val="single" w:sz="4" w:color="D9D9D9"/>
              <w:right w:val="single" w:sz="4" w:color="D9D9D9"/>
            </w:tcBorders>
            <w:shd w:fill="F4F6F8"/>
            <w:vAlign w:val="center"/>
          </w:tcPr>
          <w:p>
            <w:pPr>
              <w:spacing w:before="20" w:after="40"/>
            </w:pPr>
            <w:r>
              <w:t>Schedule</w:t>
            </w:r>
          </w:p>
        </w:tc>
        <w:tc>
          <w:tcPr>
            <w:tcW w:type="dxa" w:w="7056"/>
            <w:tcBorders>
              <w:top w:val="single" w:sz="4" w:color="D9D9D9"/>
              <w:left w:val="single" w:sz="4" w:color="D9D9D9"/>
              <w:bottom w:val="single" w:sz="4" w:color="D9D9D9"/>
              <w:right w:val="single" w:sz="4" w:color="D9D9D9"/>
            </w:tcBorders>
            <w:shd w:fill="F4F6F8"/>
            <w:vAlign w:val="center"/>
          </w:tcPr>
          <w:p>
            <w:pPr>
              <w:spacing w:before="20" w:after="40"/>
            </w:pPr>
            <w:r>
              <w:t>Daily at 2200 UTC</w:t>
            </w:r>
          </w:p>
        </w:tc>
      </w:tr>
      <w:tr>
        <w:tc>
          <w:tcPr>
            <w:tcW w:type="dxa" w:w="3024"/>
            <w:tcBorders>
              <w:top w:val="single" w:sz="4" w:color="D9D9D9"/>
              <w:left w:val="single" w:sz="4" w:color="D9D9D9"/>
              <w:bottom w:val="single" w:sz="4" w:color="D9D9D9"/>
              <w:right w:val="single" w:sz="4" w:color="D9D9D9"/>
            </w:tcBorders>
            <w:shd w:fill="FFFFFF"/>
            <w:vAlign w:val="center"/>
          </w:tcPr>
          <w:p>
            <w:pPr>
              <w:spacing w:before="20" w:after="40"/>
            </w:pPr>
            <w:r>
              <w:t>Instant recovery snapshots</w:t>
            </w:r>
          </w:p>
        </w:tc>
        <w:tc>
          <w:tcPr>
            <w:tcW w:type="dxa" w:w="7056"/>
            <w:tcBorders>
              <w:top w:val="single" w:sz="4" w:color="D9D9D9"/>
              <w:left w:val="single" w:sz="4" w:color="D9D9D9"/>
              <w:bottom w:val="single" w:sz="4" w:color="D9D9D9"/>
              <w:right w:val="single" w:sz="4" w:color="D9D9D9"/>
            </w:tcBorders>
            <w:shd w:fill="FFFFFF"/>
            <w:vAlign w:val="center"/>
          </w:tcPr>
          <w:p>
            <w:pPr>
              <w:spacing w:before="20" w:after="40"/>
            </w:pPr>
            <w:r>
              <w:t>2 days instructed during setup</w:t>
            </w:r>
          </w:p>
        </w:tc>
      </w:tr>
      <w:tr>
        <w:tc>
          <w:tcPr>
            <w:tcW w:type="dxa" w:w="3024"/>
            <w:tcBorders>
              <w:top w:val="single" w:sz="4" w:color="D9D9D9"/>
              <w:left w:val="single" w:sz="4" w:color="D9D9D9"/>
              <w:bottom w:val="single" w:sz="4" w:color="D9D9D9"/>
              <w:right w:val="single" w:sz="4" w:color="D9D9D9"/>
            </w:tcBorders>
            <w:shd w:fill="F4F6F8"/>
            <w:vAlign w:val="center"/>
          </w:tcPr>
          <w:p>
            <w:pPr>
              <w:spacing w:before="20" w:after="40"/>
            </w:pPr>
            <w:r>
              <w:t>Daily retention</w:t>
            </w:r>
          </w:p>
        </w:tc>
        <w:tc>
          <w:tcPr>
            <w:tcW w:type="dxa" w:w="7056"/>
            <w:tcBorders>
              <w:top w:val="single" w:sz="4" w:color="D9D9D9"/>
              <w:left w:val="single" w:sz="4" w:color="D9D9D9"/>
              <w:bottom w:val="single" w:sz="4" w:color="D9D9D9"/>
              <w:right w:val="single" w:sz="4" w:color="D9D9D9"/>
            </w:tcBorders>
            <w:shd w:fill="F4F6F8"/>
            <w:vAlign w:val="center"/>
          </w:tcPr>
          <w:p>
            <w:pPr>
              <w:spacing w:before="20" w:after="40"/>
            </w:pPr>
            <w:r>
              <w:t>30 days</w:t>
            </w:r>
          </w:p>
        </w:tc>
      </w:tr>
      <w:tr>
        <w:tc>
          <w:tcPr>
            <w:tcW w:type="dxa" w:w="3024"/>
            <w:tcBorders>
              <w:top w:val="single" w:sz="4" w:color="D9D9D9"/>
              <w:left w:val="single" w:sz="4" w:color="D9D9D9"/>
              <w:bottom w:val="single" w:sz="4" w:color="D9D9D9"/>
              <w:right w:val="single" w:sz="4" w:color="D9D9D9"/>
            </w:tcBorders>
            <w:shd w:fill="FFFFFF"/>
            <w:vAlign w:val="center"/>
          </w:tcPr>
          <w:p>
            <w:pPr>
              <w:spacing w:before="20" w:after="40"/>
            </w:pPr>
            <w:r>
              <w:t>Long term retention</w:t>
            </w:r>
          </w:p>
        </w:tc>
        <w:tc>
          <w:tcPr>
            <w:tcW w:type="dxa" w:w="7056"/>
            <w:tcBorders>
              <w:top w:val="single" w:sz="4" w:color="D9D9D9"/>
              <w:left w:val="single" w:sz="4" w:color="D9D9D9"/>
              <w:bottom w:val="single" w:sz="4" w:color="D9D9D9"/>
              <w:right w:val="single" w:sz="4" w:color="D9D9D9"/>
            </w:tcBorders>
            <w:shd w:fill="FFFFFF"/>
            <w:vAlign w:val="center"/>
          </w:tcPr>
          <w:p>
            <w:pPr>
              <w:spacing w:before="20" w:after="40"/>
            </w:pPr>
            <w:r>
              <w:t>Weekly monthly and yearly retention left off as instructed</w:t>
            </w:r>
          </w:p>
        </w:tc>
      </w:tr>
    </w:tbl>
    <w:p/>
    <w:p>
      <w:r>
        <w:t>The policy name and schedule were visible in the configuration screen. Protection was subsequently enabled. The final saved retention settings should be corroborated with a policy screenshot.</w:t>
      </w:r>
    </w:p>
    <w:p>
      <w:r/>
    </w:p>
    <w:p>
      <w:pPr>
        <w:pStyle w:val="Heading1"/>
      </w:pPr>
      <w:r>
        <w:t>Troubleshooting and recovery test</w:t>
      </w:r>
    </w:p>
    <w:p>
      <w:pPr>
        <w:pStyle w:val="Heading2"/>
      </w:pPr>
      <w:r>
        <w:t>Overlapping backup requests</w:t>
      </w:r>
    </w:p>
    <w:p>
      <w:r>
        <w:t>Several manual backup attempts showed Failed while earlier jobs remained In progress. The job details confirmed error code UserErrorBackupOperationInProgress and stated that another backup operation was currently running. The failed request finished in one second with no backup data transferred.</w:t>
      </w:r>
    </w:p>
    <w:p>
      <w:r>
        <w:t>I stopped issuing additional requests and allowed the existing backup operation to finish. A later VM Backup screen showed Last backup status Success on 14 October 2026 at 12:55:35 AM. This confirmed successful protection before the deletion test.</w:t>
      </w:r>
    </w:p>
    <w:p>
      <w:pPr>
        <w:pStyle w:val="Heading2"/>
      </w:pPr>
      <w:r>
        <w:t>File recovery procedure</w:t>
      </w:r>
    </w:p>
    <w:p>
      <w:pPr>
        <w:pStyle w:val="ListNumber"/>
      </w:pPr>
      <w:r>
        <w:t>Confirmed the successful backup and selected a recovery point from before deletion.</w:t>
      </w:r>
    </w:p>
    <w:p>
      <w:pPr>
        <w:pStyle w:val="ListNumber"/>
      </w:pPr>
      <w:r>
        <w:t>Deleted only C:\BackupLab\BusinessRecords.txt to simulate loss of the sample data.</w:t>
      </w:r>
    </w:p>
    <w:p>
      <w:pPr>
        <w:pStyle w:val="ListNumber"/>
      </w:pPr>
      <w:r>
        <w:t>Opened VM Backup then File Recovery and selected the application consistent recovery point dated 14 October 2026 at 12:55:51 AM as displayed in the portal.</w:t>
      </w:r>
    </w:p>
    <w:p>
      <w:pPr>
        <w:pStyle w:val="ListNumber"/>
      </w:pPr>
      <w:r>
        <w:t>Downloaded the Azure recovery executable. When clipboard transfer failed, enabled local drive redirection in Remote Desktop and copied the executable onto the VM.</w:t>
      </w:r>
    </w:p>
    <w:p>
      <w:pPr>
        <w:pStyle w:val="ListNumber"/>
      </w:pPr>
      <w:r>
        <w:t>Ran the executable as administrator and used the Azure generated recovery password to mount the backed up volumes.</w:t>
      </w:r>
    </w:p>
    <w:p>
      <w:pPr>
        <w:pStyle w:val="ListNumber"/>
      </w:pPr>
      <w:r>
        <w:t>Located BackupLab on a mounted recovery drive and copied BusinessRecords.txt back to the VM local C:\BackupLab folder.</w:t>
      </w:r>
    </w:p>
    <w:p>
      <w:pPr>
        <w:pStyle w:val="ListNumber"/>
      </w:pPr>
      <w:r>
        <w:t>Opened the restored file and confirmed the contents matched the original sample text.</w:t>
      </w:r>
    </w:p>
    <w:p>
      <w:pPr>
        <w:pStyle w:val="ListNumber"/>
      </w:pPr>
      <w:r>
        <w:t>Closed recovery drive files and used Unmount Disks on the File Recovery page.</w:t>
      </w:r>
    </w:p>
    <w:p>
      <w:pPr>
        <w:pStyle w:val="Heading1"/>
      </w:pPr>
      <w:r>
        <w:t>Validation and recovery objectives</w:t>
      </w:r>
    </w:p>
    <w:tbl>
      <w:tblPr>
        <w:tblW w:type="auto" w:w="0"/>
        <w:tblLayout w:type="fixed"/>
        <w:tblLook w:firstColumn="1" w:firstRow="1" w:lastColumn="0" w:lastRow="0" w:noHBand="0" w:noVBand="1" w:val="04A0"/>
      </w:tblPr>
      <w:tblGrid>
        <w:gridCol w:w="3024"/>
        <w:gridCol w:w="7056"/>
      </w:tblGrid>
      <w:tr>
        <w:tc>
          <w:tcPr>
            <w:tcW w:type="dxa" w:w="3024"/>
            <w:tcBorders>
              <w:top w:val="single" w:sz="4" w:color="D9D9D9"/>
              <w:left w:val="single" w:sz="4" w:color="D9D9D9"/>
              <w:bottom w:val="single" w:sz="4" w:color="D9D9D9"/>
              <w:right w:val="single" w:sz="4" w:color="D9D9D9"/>
            </w:tcBorders>
            <w:shd w:fill="DCE6EF"/>
            <w:vAlign w:val="center"/>
          </w:tcPr>
          <w:p>
            <w:pPr>
              <w:spacing w:before="20" w:after="40"/>
            </w:pPr>
            <w:r>
              <w:rPr>
                <w:b/>
              </w:rPr>
              <w:t>Check</w:t>
            </w:r>
          </w:p>
        </w:tc>
        <w:tc>
          <w:tcPr>
            <w:tcW w:type="dxa" w:w="7056"/>
            <w:tcBorders>
              <w:top w:val="single" w:sz="4" w:color="D9D9D9"/>
              <w:left w:val="single" w:sz="4" w:color="D9D9D9"/>
              <w:bottom w:val="single" w:sz="4" w:color="D9D9D9"/>
              <w:right w:val="single" w:sz="4" w:color="D9D9D9"/>
            </w:tcBorders>
            <w:shd w:fill="DCE6EF"/>
            <w:vAlign w:val="center"/>
          </w:tcPr>
          <w:p>
            <w:pPr>
              <w:spacing w:before="20" w:after="40"/>
            </w:pPr>
            <w:r>
              <w:rPr>
                <w:b/>
              </w:rPr>
              <w:t>Outcome</w:t>
            </w:r>
          </w:p>
        </w:tc>
      </w:tr>
      <w:tr>
        <w:tc>
          <w:tcPr>
            <w:tcW w:type="dxa" w:w="3024"/>
            <w:tcBorders>
              <w:top w:val="single" w:sz="4" w:color="D9D9D9"/>
              <w:left w:val="single" w:sz="4" w:color="D9D9D9"/>
              <w:bottom w:val="single" w:sz="4" w:color="D9D9D9"/>
              <w:right w:val="single" w:sz="4" w:color="D9D9D9"/>
            </w:tcBorders>
            <w:shd w:fill="FFFFFF"/>
            <w:vAlign w:val="center"/>
          </w:tcPr>
          <w:p>
            <w:pPr>
              <w:spacing w:before="20" w:after="40"/>
            </w:pPr>
            <w:r>
              <w:t>Backup precheck</w:t>
            </w:r>
          </w:p>
        </w:tc>
        <w:tc>
          <w:tcPr>
            <w:tcW w:type="dxa" w:w="7056"/>
            <w:tcBorders>
              <w:top w:val="single" w:sz="4" w:color="D9D9D9"/>
              <w:left w:val="single" w:sz="4" w:color="D9D9D9"/>
              <w:bottom w:val="single" w:sz="4" w:color="D9D9D9"/>
              <w:right w:val="single" w:sz="4" w:color="D9D9D9"/>
            </w:tcBorders>
            <w:shd w:fill="FFFFFF"/>
            <w:vAlign w:val="center"/>
          </w:tcPr>
          <w:p>
            <w:pPr>
              <w:spacing w:before="20" w:after="40"/>
            </w:pPr>
            <w:r>
              <w:t>Passed in supplied screenshot</w:t>
            </w:r>
          </w:p>
        </w:tc>
      </w:tr>
      <w:tr>
        <w:tc>
          <w:tcPr>
            <w:tcW w:type="dxa" w:w="3024"/>
            <w:tcBorders>
              <w:top w:val="single" w:sz="4" w:color="D9D9D9"/>
              <w:left w:val="single" w:sz="4" w:color="D9D9D9"/>
              <w:bottom w:val="single" w:sz="4" w:color="D9D9D9"/>
              <w:right w:val="single" w:sz="4" w:color="D9D9D9"/>
            </w:tcBorders>
            <w:shd w:fill="F4F6F8"/>
            <w:vAlign w:val="center"/>
          </w:tcPr>
          <w:p>
            <w:pPr>
              <w:spacing w:before="20" w:after="40"/>
            </w:pPr>
            <w:r>
              <w:t>Last backup status</w:t>
            </w:r>
          </w:p>
        </w:tc>
        <w:tc>
          <w:tcPr>
            <w:tcW w:type="dxa" w:w="7056"/>
            <w:tcBorders>
              <w:top w:val="single" w:sz="4" w:color="D9D9D9"/>
              <w:left w:val="single" w:sz="4" w:color="D9D9D9"/>
              <w:bottom w:val="single" w:sz="4" w:color="D9D9D9"/>
              <w:right w:val="single" w:sz="4" w:color="D9D9D9"/>
            </w:tcBorders>
            <w:shd w:fill="F4F6F8"/>
            <w:vAlign w:val="center"/>
          </w:tcPr>
          <w:p>
            <w:pPr>
              <w:spacing w:before="20" w:after="40"/>
            </w:pPr>
            <w:r>
              <w:t>Success in supplied screenshot</w:t>
            </w:r>
          </w:p>
        </w:tc>
      </w:tr>
      <w:tr>
        <w:tc>
          <w:tcPr>
            <w:tcW w:type="dxa" w:w="3024"/>
            <w:tcBorders>
              <w:top w:val="single" w:sz="4" w:color="D9D9D9"/>
              <w:left w:val="single" w:sz="4" w:color="D9D9D9"/>
              <w:bottom w:val="single" w:sz="4" w:color="D9D9D9"/>
              <w:right w:val="single" w:sz="4" w:color="D9D9D9"/>
            </w:tcBorders>
            <w:shd w:fill="FFFFFF"/>
            <w:vAlign w:val="center"/>
          </w:tcPr>
          <w:p>
            <w:pPr>
              <w:spacing w:before="20" w:after="40"/>
            </w:pPr>
            <w:r>
              <w:t>File located in recovery volume</w:t>
            </w:r>
          </w:p>
        </w:tc>
        <w:tc>
          <w:tcPr>
            <w:tcW w:type="dxa" w:w="7056"/>
            <w:tcBorders>
              <w:top w:val="single" w:sz="4" w:color="D9D9D9"/>
              <w:left w:val="single" w:sz="4" w:color="D9D9D9"/>
              <w:bottom w:val="single" w:sz="4" w:color="D9D9D9"/>
              <w:right w:val="single" w:sz="4" w:color="D9D9D9"/>
            </w:tcBorders>
            <w:shd w:fill="FFFFFF"/>
            <w:vAlign w:val="center"/>
          </w:tcPr>
          <w:p>
            <w:pPr>
              <w:spacing w:before="20" w:after="40"/>
            </w:pPr>
            <w:r>
              <w:t>Confirmed during guided exercise</w:t>
            </w:r>
          </w:p>
        </w:tc>
      </w:tr>
      <w:tr>
        <w:tc>
          <w:tcPr>
            <w:tcW w:type="dxa" w:w="3024"/>
            <w:tcBorders>
              <w:top w:val="single" w:sz="4" w:color="D9D9D9"/>
              <w:left w:val="single" w:sz="4" w:color="D9D9D9"/>
              <w:bottom w:val="single" w:sz="4" w:color="D9D9D9"/>
              <w:right w:val="single" w:sz="4" w:color="D9D9D9"/>
            </w:tcBorders>
            <w:shd w:fill="F4F6F8"/>
            <w:vAlign w:val="center"/>
          </w:tcPr>
          <w:p>
            <w:pPr>
              <w:spacing w:before="20" w:after="40"/>
            </w:pPr>
            <w:r>
              <w:t>File restored and contents checked</w:t>
            </w:r>
          </w:p>
        </w:tc>
        <w:tc>
          <w:tcPr>
            <w:tcW w:type="dxa" w:w="7056"/>
            <w:tcBorders>
              <w:top w:val="single" w:sz="4" w:color="D9D9D9"/>
              <w:left w:val="single" w:sz="4" w:color="D9D9D9"/>
              <w:bottom w:val="single" w:sz="4" w:color="D9D9D9"/>
              <w:right w:val="single" w:sz="4" w:color="D9D9D9"/>
            </w:tcBorders>
            <w:shd w:fill="F4F6F8"/>
            <w:vAlign w:val="center"/>
          </w:tcPr>
          <w:p>
            <w:pPr>
              <w:spacing w:before="20" w:after="40"/>
            </w:pPr>
            <w:r>
              <w:t>Confirmed by user</w:t>
            </w:r>
          </w:p>
        </w:tc>
      </w:tr>
      <w:tr>
        <w:tc>
          <w:tcPr>
            <w:tcW w:type="dxa" w:w="3024"/>
            <w:tcBorders>
              <w:top w:val="single" w:sz="4" w:color="D9D9D9"/>
              <w:left w:val="single" w:sz="4" w:color="D9D9D9"/>
              <w:bottom w:val="single" w:sz="4" w:color="D9D9D9"/>
              <w:right w:val="single" w:sz="4" w:color="D9D9D9"/>
            </w:tcBorders>
            <w:shd w:fill="FFFFFF"/>
            <w:vAlign w:val="center"/>
          </w:tcPr>
          <w:p>
            <w:pPr>
              <w:spacing w:before="20" w:after="40"/>
            </w:pPr>
            <w:r>
              <w:t>Temporary disks unmounted</w:t>
            </w:r>
          </w:p>
        </w:tc>
        <w:tc>
          <w:tcPr>
            <w:tcW w:type="dxa" w:w="7056"/>
            <w:tcBorders>
              <w:top w:val="single" w:sz="4" w:color="D9D9D9"/>
              <w:left w:val="single" w:sz="4" w:color="D9D9D9"/>
              <w:bottom w:val="single" w:sz="4" w:color="D9D9D9"/>
              <w:right w:val="single" w:sz="4" w:color="D9D9D9"/>
            </w:tcBorders>
            <w:shd w:fill="FFFFFF"/>
            <w:vAlign w:val="center"/>
          </w:tcPr>
          <w:p>
            <w:pPr>
              <w:spacing w:before="20" w:after="40"/>
            </w:pPr>
            <w:r>
              <w:t>Confirmed by user</w:t>
            </w:r>
          </w:p>
        </w:tc>
      </w:tr>
      <w:tr>
        <w:tc>
          <w:tcPr>
            <w:tcW w:type="dxa" w:w="3024"/>
            <w:tcBorders>
              <w:top w:val="single" w:sz="4" w:color="D9D9D9"/>
              <w:left w:val="single" w:sz="4" w:color="D9D9D9"/>
              <w:bottom w:val="single" w:sz="4" w:color="D9D9D9"/>
              <w:right w:val="single" w:sz="4" w:color="D9D9D9"/>
            </w:tcBorders>
            <w:shd w:fill="F4F6F8"/>
            <w:vAlign w:val="center"/>
          </w:tcPr>
          <w:p>
            <w:pPr>
              <w:spacing w:before="20" w:after="40"/>
            </w:pPr>
            <w:r>
              <w:t>Measured recovery duration</w:t>
            </w:r>
          </w:p>
        </w:tc>
        <w:tc>
          <w:tcPr>
            <w:tcW w:type="dxa" w:w="7056"/>
            <w:tcBorders>
              <w:top w:val="single" w:sz="4" w:color="D9D9D9"/>
              <w:left w:val="single" w:sz="4" w:color="D9D9D9"/>
              <w:bottom w:val="single" w:sz="4" w:color="D9D9D9"/>
              <w:right w:val="single" w:sz="4" w:color="D9D9D9"/>
            </w:tcBorders>
            <w:shd w:fill="F4F6F8"/>
            <w:vAlign w:val="center"/>
          </w:tcPr>
          <w:p>
            <w:pPr>
              <w:spacing w:before="20" w:after="40"/>
            </w:pPr>
            <w:r>
              <w:t>Not recorded</w:t>
            </w:r>
          </w:p>
        </w:tc>
      </w:tr>
      <w:tr>
        <w:tc>
          <w:tcPr>
            <w:tcW w:type="dxa" w:w="3024"/>
            <w:tcBorders>
              <w:top w:val="single" w:sz="4" w:color="D9D9D9"/>
              <w:left w:val="single" w:sz="4" w:color="D9D9D9"/>
              <w:bottom w:val="single" w:sz="4" w:color="D9D9D9"/>
              <w:right w:val="single" w:sz="4" w:color="D9D9D9"/>
            </w:tcBorders>
            <w:shd w:fill="FFFFFF"/>
            <w:vAlign w:val="center"/>
          </w:tcPr>
          <w:p>
            <w:pPr>
              <w:spacing w:before="20" w:after="40"/>
            </w:pPr>
            <w:r>
              <w:t>Measured data loss interval</w:t>
            </w:r>
          </w:p>
        </w:tc>
        <w:tc>
          <w:tcPr>
            <w:tcW w:type="dxa" w:w="7056"/>
            <w:tcBorders>
              <w:top w:val="single" w:sz="4" w:color="D9D9D9"/>
              <w:left w:val="single" w:sz="4" w:color="D9D9D9"/>
              <w:bottom w:val="single" w:sz="4" w:color="D9D9D9"/>
              <w:right w:val="single" w:sz="4" w:color="D9D9D9"/>
            </w:tcBorders>
            <w:shd w:fill="FFFFFF"/>
            <w:vAlign w:val="center"/>
          </w:tcPr>
          <w:p>
            <w:pPr>
              <w:spacing w:before="20" w:after="40"/>
            </w:pPr>
            <w:r>
              <w:t>Not recorded</w:t>
            </w:r>
          </w:p>
        </w:tc>
      </w:tr>
    </w:tbl>
    <w:p/>
    <w:p>
      <w:r>
        <w:t>A daily schedule suggests a nominal recovery point objective of up to 24 hours when scheduled backups succeed. Actual data loss depends on the last usable recovery point. No measured RPO or RTO is claimed. File contents were checked manually; no before and after hash comparison was recorded.</w:t>
      </w:r>
    </w:p>
    <w:p>
      <w:r/>
    </w:p>
    <w:p>
      <w:pPr>
        <w:pStyle w:val="Heading1"/>
      </w:pPr>
      <w:r>
        <w:t>Evidence and project closeout</w:t>
      </w:r>
    </w:p>
    <w:p>
      <w:r>
        <w:t>Configuration screenshots and the backup success screen were reviewed during the exercise. Screenshots are not embedded here because the supplied portal images contain account or subscription details. Final restoration and unmounting were confirmed in conversation rather than independently verified from screenshots.</w:t>
      </w:r>
    </w:p>
    <w:tbl>
      <w:tblPr>
        <w:tblW w:type="auto" w:w="0"/>
        <w:tblLayout w:type="fixed"/>
        <w:tblLook w:firstColumn="1" w:firstRow="1" w:lastColumn="0" w:lastRow="0" w:noHBand="0" w:noVBand="1" w:val="04A0"/>
      </w:tblPr>
      <w:tblGrid>
        <w:gridCol w:w="3024"/>
        <w:gridCol w:w="7056"/>
      </w:tblGrid>
      <w:tr>
        <w:tc>
          <w:tcPr>
            <w:tcW w:type="dxa" w:w="3024"/>
            <w:tcBorders>
              <w:top w:val="single" w:sz="4" w:color="D9D9D9"/>
              <w:left w:val="single" w:sz="4" w:color="D9D9D9"/>
              <w:bottom w:val="single" w:sz="4" w:color="D9D9D9"/>
              <w:right w:val="single" w:sz="4" w:color="D9D9D9"/>
            </w:tcBorders>
            <w:shd w:fill="DCE6EF"/>
            <w:vAlign w:val="center"/>
          </w:tcPr>
          <w:p>
            <w:pPr>
              <w:spacing w:before="20" w:after="40"/>
            </w:pPr>
            <w:r>
              <w:rPr>
                <w:b/>
              </w:rPr>
              <w:t>Evidence to retain</w:t>
            </w:r>
          </w:p>
        </w:tc>
        <w:tc>
          <w:tcPr>
            <w:tcW w:type="dxa" w:w="7056"/>
            <w:tcBorders>
              <w:top w:val="single" w:sz="4" w:color="D9D9D9"/>
              <w:left w:val="single" w:sz="4" w:color="D9D9D9"/>
              <w:bottom w:val="single" w:sz="4" w:color="D9D9D9"/>
              <w:right w:val="single" w:sz="4" w:color="D9D9D9"/>
            </w:tcBorders>
            <w:shd w:fill="DCE6EF"/>
            <w:vAlign w:val="center"/>
          </w:tcPr>
          <w:p>
            <w:pPr>
              <w:spacing w:before="20" w:after="40"/>
            </w:pPr>
            <w:r>
              <w:rPr>
                <w:b/>
              </w:rPr>
              <w:t>Review purpose</w:t>
            </w:r>
          </w:p>
        </w:tc>
      </w:tr>
      <w:tr>
        <w:tc>
          <w:tcPr>
            <w:tcW w:type="dxa" w:w="3024"/>
            <w:tcBorders>
              <w:top w:val="single" w:sz="4" w:color="D9D9D9"/>
              <w:left w:val="single" w:sz="4" w:color="D9D9D9"/>
              <w:bottom w:val="single" w:sz="4" w:color="D9D9D9"/>
              <w:right w:val="single" w:sz="4" w:color="D9D9D9"/>
            </w:tcBorders>
            <w:shd w:fill="FFFFFF"/>
            <w:vAlign w:val="center"/>
          </w:tcPr>
          <w:p>
            <w:pPr>
              <w:spacing w:before="20" w:after="40"/>
            </w:pPr>
            <w:r>
              <w:t>VM overview</w:t>
            </w:r>
          </w:p>
        </w:tc>
        <w:tc>
          <w:tcPr>
            <w:tcW w:type="dxa" w:w="7056"/>
            <w:tcBorders>
              <w:top w:val="single" w:sz="4" w:color="D9D9D9"/>
              <w:left w:val="single" w:sz="4" w:color="D9D9D9"/>
              <w:bottom w:val="single" w:sz="4" w:color="D9D9D9"/>
              <w:right w:val="single" w:sz="4" w:color="D9D9D9"/>
            </w:tcBorders>
            <w:shd w:fill="FFFFFF"/>
            <w:vAlign w:val="center"/>
          </w:tcPr>
          <w:p>
            <w:pPr>
              <w:spacing w:before="20" w:after="40"/>
            </w:pPr>
            <w:r>
              <w:t>Region operating system and compute size</w:t>
            </w:r>
          </w:p>
        </w:tc>
      </w:tr>
      <w:tr>
        <w:tc>
          <w:tcPr>
            <w:tcW w:type="dxa" w:w="3024"/>
            <w:tcBorders>
              <w:top w:val="single" w:sz="4" w:color="D9D9D9"/>
              <w:left w:val="single" w:sz="4" w:color="D9D9D9"/>
              <w:bottom w:val="single" w:sz="4" w:color="D9D9D9"/>
              <w:right w:val="single" w:sz="4" w:color="D9D9D9"/>
            </w:tcBorders>
            <w:shd w:fill="F4F6F8"/>
            <w:vAlign w:val="center"/>
          </w:tcPr>
          <w:p>
            <w:pPr>
              <w:spacing w:before="20" w:after="40"/>
            </w:pPr>
            <w:r>
              <w:t>NSG inbound rules</w:t>
            </w:r>
          </w:p>
        </w:tc>
        <w:tc>
          <w:tcPr>
            <w:tcW w:type="dxa" w:w="7056"/>
            <w:tcBorders>
              <w:top w:val="single" w:sz="4" w:color="D9D9D9"/>
              <w:left w:val="single" w:sz="4" w:color="D9D9D9"/>
              <w:bottom w:val="single" w:sz="4" w:color="D9D9D9"/>
              <w:right w:val="single" w:sz="4" w:color="D9D9D9"/>
            </w:tcBorders>
            <w:shd w:fill="F4F6F8"/>
            <w:vAlign w:val="center"/>
          </w:tcPr>
          <w:p>
            <w:pPr>
              <w:spacing w:before="20" w:after="40"/>
            </w:pPr>
            <w:r>
              <w:t>Verify RDP source IP restriction</w:t>
            </w:r>
          </w:p>
        </w:tc>
      </w:tr>
      <w:tr>
        <w:tc>
          <w:tcPr>
            <w:tcW w:type="dxa" w:w="3024"/>
            <w:tcBorders>
              <w:top w:val="single" w:sz="4" w:color="D9D9D9"/>
              <w:left w:val="single" w:sz="4" w:color="D9D9D9"/>
              <w:bottom w:val="single" w:sz="4" w:color="D9D9D9"/>
              <w:right w:val="single" w:sz="4" w:color="D9D9D9"/>
            </w:tcBorders>
            <w:shd w:fill="FFFFFF"/>
            <w:vAlign w:val="center"/>
          </w:tcPr>
          <w:p>
            <w:pPr>
              <w:spacing w:before="20" w:after="40"/>
            </w:pPr>
            <w:r>
              <w:t>Vault and policy settings</w:t>
            </w:r>
          </w:p>
        </w:tc>
        <w:tc>
          <w:tcPr>
            <w:tcW w:type="dxa" w:w="7056"/>
            <w:tcBorders>
              <w:top w:val="single" w:sz="4" w:color="D9D9D9"/>
              <w:left w:val="single" w:sz="4" w:color="D9D9D9"/>
              <w:bottom w:val="single" w:sz="4" w:color="D9D9D9"/>
              <w:right w:val="single" w:sz="4" w:color="D9D9D9"/>
            </w:tcBorders>
            <w:shd w:fill="FFFFFF"/>
            <w:vAlign w:val="center"/>
          </w:tcPr>
          <w:p>
            <w:pPr>
              <w:spacing w:before="20" w:after="40"/>
            </w:pPr>
            <w:r>
              <w:t>Verify LRS schedule and final retention</w:t>
            </w:r>
          </w:p>
        </w:tc>
      </w:tr>
      <w:tr>
        <w:tc>
          <w:tcPr>
            <w:tcW w:type="dxa" w:w="3024"/>
            <w:tcBorders>
              <w:top w:val="single" w:sz="4" w:color="D9D9D9"/>
              <w:left w:val="single" w:sz="4" w:color="D9D9D9"/>
              <w:bottom w:val="single" w:sz="4" w:color="D9D9D9"/>
              <w:right w:val="single" w:sz="4" w:color="D9D9D9"/>
            </w:tcBorders>
            <w:shd w:fill="F4F6F8"/>
            <w:vAlign w:val="center"/>
          </w:tcPr>
          <w:p>
            <w:pPr>
              <w:spacing w:before="20" w:after="40"/>
            </w:pPr>
            <w:r>
              <w:t>Backup job marked Completed</w:t>
            </w:r>
          </w:p>
        </w:tc>
        <w:tc>
          <w:tcPr>
            <w:tcW w:type="dxa" w:w="7056"/>
            <w:tcBorders>
              <w:top w:val="single" w:sz="4" w:color="D9D9D9"/>
              <w:left w:val="single" w:sz="4" w:color="D9D9D9"/>
              <w:bottom w:val="single" w:sz="4" w:color="D9D9D9"/>
              <w:right w:val="single" w:sz="4" w:color="D9D9D9"/>
            </w:tcBorders>
            <w:shd w:fill="F4F6F8"/>
            <w:vAlign w:val="center"/>
          </w:tcPr>
          <w:p>
            <w:pPr>
              <w:spacing w:before="20" w:after="40"/>
            </w:pPr>
            <w:r>
              <w:t>Corroborate successful job and duration</w:t>
            </w:r>
          </w:p>
        </w:tc>
      </w:tr>
      <w:tr>
        <w:tc>
          <w:tcPr>
            <w:tcW w:type="dxa" w:w="3024"/>
            <w:tcBorders>
              <w:top w:val="single" w:sz="4" w:color="D9D9D9"/>
              <w:left w:val="single" w:sz="4" w:color="D9D9D9"/>
              <w:bottom w:val="single" w:sz="4" w:color="D9D9D9"/>
              <w:right w:val="single" w:sz="4" w:color="D9D9D9"/>
            </w:tcBorders>
            <w:shd w:fill="FFFFFF"/>
            <w:vAlign w:val="center"/>
          </w:tcPr>
          <w:p>
            <w:pPr>
              <w:spacing w:before="20" w:after="40"/>
            </w:pPr>
            <w:r>
              <w:t>Backup success screen</w:t>
            </w:r>
          </w:p>
        </w:tc>
        <w:tc>
          <w:tcPr>
            <w:tcW w:type="dxa" w:w="7056"/>
            <w:tcBorders>
              <w:top w:val="single" w:sz="4" w:color="D9D9D9"/>
              <w:left w:val="single" w:sz="4" w:color="D9D9D9"/>
              <w:bottom w:val="single" w:sz="4" w:color="D9D9D9"/>
              <w:right w:val="single" w:sz="4" w:color="D9D9D9"/>
            </w:tcBorders>
            <w:shd w:fill="FFFFFF"/>
            <w:vAlign w:val="center"/>
          </w:tcPr>
          <w:p>
            <w:pPr>
              <w:spacing w:before="20" w:after="40"/>
            </w:pPr>
            <w:r>
              <w:t>Confirm protected VM and vault</w:t>
            </w:r>
          </w:p>
        </w:tc>
      </w:tr>
      <w:tr>
        <w:tc>
          <w:tcPr>
            <w:tcW w:type="dxa" w:w="3024"/>
            <w:tcBorders>
              <w:top w:val="single" w:sz="4" w:color="D9D9D9"/>
              <w:left w:val="single" w:sz="4" w:color="D9D9D9"/>
              <w:bottom w:val="single" w:sz="4" w:color="D9D9D9"/>
              <w:right w:val="single" w:sz="4" w:color="D9D9D9"/>
            </w:tcBorders>
            <w:shd w:fill="F4F6F8"/>
            <w:vAlign w:val="center"/>
          </w:tcPr>
          <w:p>
            <w:pPr>
              <w:spacing w:before="20" w:after="40"/>
            </w:pPr>
            <w:r>
              <w:t>File before deletion and empty folder</w:t>
            </w:r>
          </w:p>
        </w:tc>
        <w:tc>
          <w:tcPr>
            <w:tcW w:type="dxa" w:w="7056"/>
            <w:tcBorders>
              <w:top w:val="single" w:sz="4" w:color="D9D9D9"/>
              <w:left w:val="single" w:sz="4" w:color="D9D9D9"/>
              <w:bottom w:val="single" w:sz="4" w:color="D9D9D9"/>
              <w:right w:val="single" w:sz="4" w:color="D9D9D9"/>
            </w:tcBorders>
            <w:shd w:fill="F4F6F8"/>
            <w:vAlign w:val="center"/>
          </w:tcPr>
          <w:p>
            <w:pPr>
              <w:spacing w:before="20" w:after="40"/>
            </w:pPr>
            <w:r>
              <w:t>Show controlled loss of sample data</w:t>
            </w:r>
          </w:p>
        </w:tc>
      </w:tr>
      <w:tr>
        <w:tc>
          <w:tcPr>
            <w:tcW w:type="dxa" w:w="3024"/>
            <w:tcBorders>
              <w:top w:val="single" w:sz="4" w:color="D9D9D9"/>
              <w:left w:val="single" w:sz="4" w:color="D9D9D9"/>
              <w:bottom w:val="single" w:sz="4" w:color="D9D9D9"/>
              <w:right w:val="single" w:sz="4" w:color="D9D9D9"/>
            </w:tcBorders>
            <w:shd w:fill="FFFFFF"/>
            <w:vAlign w:val="center"/>
          </w:tcPr>
          <w:p>
            <w:pPr>
              <w:spacing w:before="20" w:after="40"/>
            </w:pPr>
            <w:r>
              <w:t>Restored file and contents</w:t>
            </w:r>
          </w:p>
        </w:tc>
        <w:tc>
          <w:tcPr>
            <w:tcW w:type="dxa" w:w="7056"/>
            <w:tcBorders>
              <w:top w:val="single" w:sz="4" w:color="D9D9D9"/>
              <w:left w:val="single" w:sz="4" w:color="D9D9D9"/>
              <w:bottom w:val="single" w:sz="4" w:color="D9D9D9"/>
              <w:right w:val="single" w:sz="4" w:color="D9D9D9"/>
            </w:tcBorders>
            <w:shd w:fill="FFFFFF"/>
            <w:vAlign w:val="center"/>
          </w:tcPr>
          <w:p>
            <w:pPr>
              <w:spacing w:before="20" w:after="40"/>
            </w:pPr>
            <w:r>
              <w:t>Show recovery to original location</w:t>
            </w:r>
          </w:p>
        </w:tc>
      </w:tr>
      <w:tr>
        <w:tc>
          <w:tcPr>
            <w:tcW w:type="dxa" w:w="3024"/>
            <w:tcBorders>
              <w:top w:val="single" w:sz="4" w:color="D9D9D9"/>
              <w:left w:val="single" w:sz="4" w:color="D9D9D9"/>
              <w:bottom w:val="single" w:sz="4" w:color="D9D9D9"/>
              <w:right w:val="single" w:sz="4" w:color="D9D9D9"/>
            </w:tcBorders>
            <w:shd w:fill="F4F6F8"/>
            <w:vAlign w:val="center"/>
          </w:tcPr>
          <w:p>
            <w:pPr>
              <w:spacing w:before="20" w:after="40"/>
            </w:pPr>
            <w:r>
              <w:t>Unmount confirmation</w:t>
            </w:r>
          </w:p>
        </w:tc>
        <w:tc>
          <w:tcPr>
            <w:tcW w:type="dxa" w:w="7056"/>
            <w:tcBorders>
              <w:top w:val="single" w:sz="4" w:color="D9D9D9"/>
              <w:left w:val="single" w:sz="4" w:color="D9D9D9"/>
              <w:bottom w:val="single" w:sz="4" w:color="D9D9D9"/>
              <w:right w:val="single" w:sz="4" w:color="D9D9D9"/>
            </w:tcBorders>
            <w:shd w:fill="F4F6F8"/>
            <w:vAlign w:val="center"/>
          </w:tcPr>
          <w:p>
            <w:pPr>
              <w:spacing w:before="20" w:after="40"/>
            </w:pPr>
            <w:r>
              <w:t>Show recovery session closed</w:t>
            </w:r>
          </w:p>
        </w:tc>
      </w:tr>
    </w:tbl>
    <w:p/>
    <w:p>
      <w:pPr>
        <w:pStyle w:val="Heading1"/>
      </w:pPr>
      <w:r>
        <w:t>Cleanup status</w:t>
      </w:r>
    </w:p>
    <w:p>
      <w:r>
        <w:t>Cleanup is pending. The VM, disks, backup storage and existing public IP may continue to incur charges. Resource deletion and backup retention handling have not been confirmed.</w:t>
      </w:r>
    </w:p>
    <w:p>
      <w:pPr>
        <w:pStyle w:val="ListBullet"/>
      </w:pPr>
      <w:r>
        <w:t>Retain the final evidence and documentation before removing resources.</w:t>
      </w:r>
    </w:p>
    <w:p>
      <w:pPr>
        <w:pStyle w:val="ListBullet"/>
      </w:pPr>
      <w:r>
        <w:t>Confirm the recovery drives are disconnected and the restored sample file is no longer needed.</w:t>
      </w:r>
    </w:p>
    <w:p>
      <w:pPr>
        <w:pStyle w:val="ListBullet"/>
      </w:pPr>
      <w:r>
        <w:t>Review backup protection and retained recovery points before deleting lab resources. Follow the vault security and soft delete requirements shown in Azure.</w:t>
      </w:r>
    </w:p>
    <w:p>
      <w:pPr>
        <w:pStyle w:val="ListBullet"/>
      </w:pPr>
      <w:r>
        <w:t>Remove only resources belonging to this lab. The reused public IP belongs to RG-CORP-NETWORK-LAB and must be reviewed separately.</w:t>
      </w:r>
    </w:p>
    <w:p>
      <w:pPr>
        <w:pStyle w:val="ListBullet"/>
      </w:pPr>
      <w:r>
        <w:t>Check for leftover disks snapshots network resources and backup charges after cleanup.</w:t>
      </w:r>
    </w:p>
    <w:p>
      <w:pPr>
        <w:pStyle w:val="Heading1"/>
      </w:pPr>
      <w:r>
        <w:t>Skills demonstrated</w:t>
      </w:r>
    </w:p>
    <w:p>
      <w:r>
        <w:t>Azure VM administration, Recovery Services vault configuration, Enhanced backup policy setup, recovery point selection, backup job diagnosis, Remote Desktop drive redirection, file recovery and recovery session cleanup.</w:t>
      </w:r>
    </w:p>
    <w:p>
      <w:pPr>
        <w:pStyle w:val="Heading1"/>
      </w:pPr>
      <w:r>
        <w:t>Scope limitations</w:t>
      </w:r>
    </w:p>
    <w:p>
      <w:r>
        <w:t>This exercise tested a single sample text file. It did not validate full VM restoration, application database recovery, cross-region failover, production recovery objectives or a complete disaster recovery plan.</w:t>
      </w:r>
    </w:p>
    <w:sectPr w:rsidR="00FC693F" w:rsidRPr="0006063C" w:rsidSect="00034616">
      <w:foot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Samuel Gebu  |  Azure Backup and Restore Lab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