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Exhibit 18: Vulnerability-to-Compliance Assessment Tool (Discovery → CVE/KEV/EPSS → NIST SP 800-53)</w:t>
      </w:r>
    </w:p>
    <w:p>
      <w:r>
        <w:rPr>
          <w:b/>
          <w:i w:val="0"/>
        </w:rPr>
        <w:t>Petitioner: Samuel Gbli Tetteh</w:t>
      </w:r>
    </w:p>
    <w:p>
      <w:r>
        <w:rPr>
          <w:b w:val="0"/>
          <w:i/>
        </w:rPr>
        <w:t>NIW Proposed Endeavor — Extending the platform across the full cyber-risk lifecycle: discovering assets, identifying and prioritizing their vulnerabilities, and mapping those findings to the exact security controls an organization must implement.</w:t>
      </w:r>
    </w:p>
    <w:p>
      <w:pPr>
        <w:pStyle w:val="Heading1"/>
      </w:pPr>
      <w:r>
        <w:t>1. Purpose</w:t>
      </w:r>
    </w:p>
    <w:p>
      <w:r>
        <w:rPr>
          <w:b w:val="0"/>
          <w:i w:val="0"/>
        </w:rPr>
        <w:t>Earlier exhibits covered detection (identity, OT/ICS), compliance mapping (RegMap), and the real-time decisioning platform. This exhibit documents the assessment tool I built to complete the lifecycle: a single browser workflow that goes from 'what do I have and what's wrong with it' (asset discovery + vulnerabilities) to 'what must I do about it' (prioritized NIST SP 800-53 controls and a compliance report). It is designed to be usable by organizations that cannot afford commercial vulnerability-management suites.</w:t>
      </w:r>
    </w:p>
    <w:p>
      <w:pPr>
        <w:pStyle w:val="Heading1"/>
      </w:pPr>
      <w:r>
        <w:t>2. Design principle — orchestrate and ingest, then add the compliance layer</w:t>
      </w:r>
    </w:p>
    <w:p>
      <w:r>
        <w:rPr>
          <w:b w:val="0"/>
          <w:i w:val="0"/>
        </w:rPr>
        <w:t>The tool does not attempt to replace mature vulnerability scanners such as Nessus or OpenVAS, which maintain large, curated detection feeds. Instead it orchestrates open-source discovery, ingests those scanners' reports, and adds the layer that is my own contribution: prioritization by real-world exploitability and mapping to NIST controls. This is both more achievable and more defensible than re-implementing vulnerability detection, and it interoperates with tools organizations already run.</w:t>
      </w:r>
    </w:p>
    <w:p>
      <w:pPr>
        <w:pStyle w:val="Heading1"/>
      </w:pPr>
      <w:r>
        <w:t>3. What it does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Capability</w:t>
            </w:r>
          </w:p>
        </w:tc>
      </w:tr>
      <w:tr>
        <w:tc>
          <w:tcPr>
            <w:tcW w:type="dxa" w:w="4320"/>
          </w:tcPr>
          <w:p>
            <w:r>
              <w:t>Discover</w:t>
            </w:r>
          </w:p>
        </w:tc>
        <w:tc>
          <w:tcPr>
            <w:tcW w:type="dxa" w:w="4320"/>
          </w:tcPr>
          <w:p>
            <w:r>
              <w:t>Asset/port/service discovery via a built-in dependency-free scanner or nmap; for a private network that a hosted console cannot reach, a lightweight on-prem AGENT is run inside the network and reports results back; alternatively, ingest an existing Nessus / OpenVAS / nuclei report.</w:t>
            </w:r>
          </w:p>
        </w:tc>
      </w:tr>
      <w:tr>
        <w:tc>
          <w:tcPr>
            <w:tcW w:type="dxa" w:w="4320"/>
          </w:tcPr>
          <w:p>
            <w:r>
              <w:t>Identify</w:t>
            </w:r>
          </w:p>
        </w:tc>
        <w:tc>
          <w:tcPr>
            <w:tcW w:type="dxa" w:w="4320"/>
          </w:tcPr>
          <w:p>
            <w:r>
              <w:t>Discovered services are mapped to known CVEs (NVD).</w:t>
            </w:r>
          </w:p>
        </w:tc>
      </w:tr>
      <w:tr>
        <w:tc>
          <w:tcPr>
            <w:tcW w:type="dxa" w:w="4320"/>
          </w:tcPr>
          <w:p>
            <w:r>
              <w:t>Prioritize</w:t>
            </w:r>
          </w:p>
        </w:tc>
        <w:tc>
          <w:tcPr>
            <w:tcW w:type="dxa" w:w="4320"/>
          </w:tcPr>
          <w:p>
            <w:r>
              <w:t>Each CVE is enriched with CISA KEV (is it being actively exploited?) and FIRST EPSS (probability of exploitation) and scored into a blended risk — surfacing what actually matters, not just raw CVSS.</w:t>
            </w:r>
          </w:p>
        </w:tc>
      </w:tr>
      <w:tr>
        <w:tc>
          <w:tcPr>
            <w:tcW w:type="dxa" w:w="4320"/>
          </w:tcPr>
          <w:p>
            <w:r>
              <w:t>Map to controls</w:t>
            </w:r>
          </w:p>
        </w:tc>
        <w:tc>
          <w:tcPr>
            <w:tcW w:type="dxa" w:w="4320"/>
          </w:tcPr>
          <w:p>
            <w:r>
              <w:t>Findings are mapped to the relevant NIST SP 800-53 controls using the RegMap model (Exhibit 11/11A) — the vulnerability view feeds the compliance view.</w:t>
            </w:r>
          </w:p>
        </w:tc>
      </w:tr>
      <w:tr>
        <w:tc>
          <w:tcPr>
            <w:tcW w:type="dxa" w:w="4320"/>
          </w:tcPr>
          <w:p>
            <w:r>
              <w:t>Advise &amp; report</w:t>
            </w:r>
          </w:p>
        </w:tc>
        <w:tc>
          <w:tcPr>
            <w:tcW w:type="dxa" w:w="4320"/>
          </w:tcPr>
          <w:p>
            <w:r>
              <w:t>A conversational interview (local language model) captures the organization's context; the tool then produces prioritized control recommendations and downloadable DOCX / XLSX / JSON reports. The user may stop after discovery (scan-only) or continue to the full compliance package.</w:t>
            </w:r>
          </w:p>
        </w:tc>
      </w:tr>
    </w:tbl>
    <w:p>
      <w:pPr>
        <w:pStyle w:val="Heading1"/>
      </w:pPr>
      <w:r>
        <w:t>4. A single, unified workflow</w:t>
      </w:r>
    </w:p>
    <w:p>
      <w:r>
        <w:rPr>
          <w:b w:val="0"/>
          <w:i w:val="0"/>
        </w:rPr>
        <w:t>Discovery and compliance were consolidated into one tool with one scan engine: the user scans (or imports/agents), REVIEWS and verifies the findings, and then chooses whether to generate the compliance package. Everything runs from the browser — no command line, no separate products — which is the difference between a research demo and something a small security team or a state/local government office could actually operate.</w:t>
      </w:r>
    </w:p>
    <w:p>
      <w:pPr>
        <w:pStyle w:val="Heading1"/>
      </w:pPr>
      <w:r>
        <w:t>5. Safety and authorization</w:t>
      </w:r>
    </w:p>
    <w:p>
      <w:r>
        <w:rPr>
          <w:b w:val="0"/>
          <w:i w:val="0"/>
        </w:rPr>
        <w:t>Active scanning is gated: targets are restricted to authorized ranges by default, an explicit acknowledgement is required before each scan, and posture-changing response actions are recorded stubs rather than live changes. The AI is advisory only; a human confirms findings and decisions. These choices reflect responsible, authorized-use security engineering.</w:t>
      </w:r>
    </w:p>
    <w:p>
      <w:pPr>
        <w:pStyle w:val="Heading1"/>
      </w:pPr>
      <w:r>
        <w:t>6. Reproducibility</w:t>
      </w:r>
    </w:p>
    <w:p>
      <w:r>
        <w:rPr>
          <w:b w:val="0"/>
          <w:i w:val="0"/>
        </w:rPr>
        <w:t>The tool is public and reproducible:</w:t>
      </w:r>
    </w:p>
    <w:p>
      <w:pPr>
        <w:pStyle w:val="ListBullet"/>
      </w:pPr>
      <w:r>
        <w:t>backend/securescan/ — discovery engines, the shared analyzer (CVE mapping + KEV/EPSS + service→control-category derivation), the engine catalog, and report importers.</w:t>
      </w:r>
    </w:p>
    <w:p>
      <w:pPr>
        <w:pStyle w:val="ListBullet"/>
      </w:pPr>
      <w:r>
        <w:t>backend/agent/agent.py — the self-contained on-prem scan agent.</w:t>
      </w:r>
    </w:p>
    <w:p>
      <w:pPr>
        <w:pStyle w:val="ListBullet"/>
      </w:pPr>
      <w:r>
        <w:t>backend/advisor_api.py — the unified scan → analyze → interview → report pipeline, reusing the RegMap model for control mapping. RegMap is itself publicly released — Hugging Face (huggingface.co/stetteh/regmap-embedder) and Docker (ghcr.io/samuelgtetteh/regmap-embedder) — so the control-mapping component is open and reproducible (see Exhibit 11A).</w:t>
      </w:r>
    </w:p>
    <w:p>
      <w:pPr>
        <w:pStyle w:val="ListBullet"/>
      </w:pPr>
      <w:r>
        <w:t>tests/ — automated tests for discovery, enrichment, importers, the agent job lifecycle, and the interview, served from the same reproducible Docker image as the detectors.</w:t>
      </w:r>
    </w:p>
    <w:p>
      <w:r>
        <w:rPr>
          <w:b/>
        </w:rPr>
        <w:t>https://github.com/samuelgtetteh/ai-cybersecurity-portfolio</w:t>
      </w:r>
    </w:p>
    <w:p>
      <w:pPr>
        <w:pStyle w:val="Heading1"/>
      </w:pPr>
      <w:r>
        <w:t>7. Significance for the “Well Positioned” Prong</w:t>
      </w:r>
    </w:p>
    <w:p>
      <w:r>
        <w:rPr>
          <w:b w:val="0"/>
          <w:i w:val="0"/>
        </w:rPr>
        <w:t>This exhibit shows the endeavor carried across the entire cyber-risk lifecycle — discovery, vulnerability identification, exploit-aware prioritization, and control prescription — in one accessible, open tool that reuses my own published research (the RegMap model) and interoperates with the scanners organizations already use. It demonstrates end-to-end capability across research, machine learning, systems engineering, and operational security, and it directly benefits U.S. organizations that lack the budget for commercial platforms. Together with Exhibits 11–17, it is direct evidence that I am well positioned to advance this endeavor.</w:t>
      </w:r>
    </w:p>
    <w:p>
      <w:r>
        <w:rPr>
          <w:b w:val="0"/>
          <w:i w:val="0"/>
        </w:rPr>
      </w:r>
    </w:p>
    <w:p>
      <w:r>
        <w:rPr>
          <w:b w:val="0"/>
          <w:i w:val="0"/>
        </w:rPr>
        <w:t>Date: July 16, 2026</w:t>
      </w:r>
    </w:p>
    <w:p>
      <w:r>
        <w:rPr>
          <w:b w:val="0"/>
          <w:i w:val="0"/>
        </w:rPr>
        <w:t>Prepared by: Samuel Gbli Tetteh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