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Exhibit 11A: RegMap as a Reusable, Published Model</w:t>
      </w:r>
    </w:p>
    <w:p>
      <w:r>
        <w:rPr>
          <w:b/>
          <w:i w:val="0"/>
        </w:rPr>
        <w:t>Petitioner: Samuel Gbli Tetteh</w:t>
      </w:r>
    </w:p>
    <w:p>
      <w:r>
        <w:rPr>
          <w:b w:val="0"/>
          <w:i/>
        </w:rPr>
        <w:t>Addendum to Exhibit 11 (RegMap) — documenting that the RegMap compliance-mapping model has been released as an open, reusable artifact and reused as a component across my security platform.</w:t>
      </w:r>
    </w:p>
    <w:p>
      <w:pPr>
        <w:pStyle w:val="Heading1"/>
      </w:pPr>
      <w:r>
        <w:t>1. From research prototype to a shipped, reusable model</w:t>
      </w:r>
    </w:p>
    <w:p>
      <w:r>
        <w:rPr>
          <w:b w:val="0"/>
          <w:i w:val="0"/>
        </w:rPr>
        <w:t>Exhibit 11 introduced RegMap: a fine-tuned sentence-embedding model that maps NIST SP 800-53 security controls to the most relevant HIPAA Security Rule provisions. Since then I have taken RegMap from a paper artifact to a packaged, publicly usable model and made it a working component of a larger operational platform. This addendum records that progression, which speaks directly to being well positioned to advance the endeavor and to disseminating results for public benefit.</w:t>
      </w:r>
    </w:p>
    <w:p>
      <w:pPr>
        <w:pStyle w:val="Heading1"/>
      </w:pPr>
      <w:r>
        <w:t>2. Packaged for out-of-the-box public use</w:t>
      </w:r>
    </w:p>
    <w:p>
      <w:r>
        <w:rPr>
          <w:b w:val="0"/>
          <w:i w:val="0"/>
        </w:rPr>
        <w:t>RegMap is released in the standard Hugging Face / sentence-transformers format so any practitioner can use it immediately, with an honest model card and an open license:</w:t>
      </w:r>
    </w:p>
    <w:tbl>
      <w:tblPr>
        <w:tblStyle w:val="LightGrid-Accent1"/>
        <w:tblW w:type="auto" w:w="0"/>
        <w:tblLook w:firstColumn="1" w:firstRow="1" w:lastColumn="0" w:lastRow="0" w:noHBand="0" w:noVBand="1" w:val="04A0"/>
      </w:tblPr>
      <w:tblGrid>
        <w:gridCol w:w="4320"/>
        <w:gridCol w:w="4320"/>
      </w:tblGrid>
      <w:tr>
        <w:tc>
          <w:tcPr>
            <w:tcW w:type="dxa" w:w="4320"/>
          </w:tcPr>
          <w:p>
            <w:r>
              <w:rPr>
                <w:b/>
              </w:rPr>
              <w:t>Release element</w:t>
            </w:r>
          </w:p>
        </w:tc>
        <w:tc>
          <w:tcPr>
            <w:tcW w:type="dxa" w:w="4320"/>
          </w:tcPr>
          <w:p>
            <w:r>
              <w:rPr>
                <w:b/>
              </w:rPr>
              <w:t>Detail</w:t>
            </w:r>
          </w:p>
        </w:tc>
      </w:tr>
      <w:tr>
        <w:tc>
          <w:tcPr>
            <w:tcW w:type="dxa" w:w="4320"/>
          </w:tcPr>
          <w:p>
            <w:r>
              <w:t>Model</w:t>
            </w:r>
          </w:p>
        </w:tc>
        <w:tc>
          <w:tcPr>
            <w:tcW w:type="dxa" w:w="4320"/>
          </w:tcPr>
          <w:p>
            <w:r>
              <w:t>Fine-tuned all-MiniLM-L6-v2 (384-dim), MultipleNegativesRankingLoss on curated NIST↔HIPAA pairs; loads with a single line of code.</w:t>
            </w:r>
          </w:p>
        </w:tc>
      </w:tr>
      <w:tr>
        <w:tc>
          <w:tcPr>
            <w:tcW w:type="dxa" w:w="4320"/>
          </w:tcPr>
          <w:p>
            <w:r>
              <w:t>Bundled corpus + wrapper</w:t>
            </w:r>
          </w:p>
        </w:tc>
        <w:tc>
          <w:tcPr>
            <w:tcW w:type="dxa" w:w="4320"/>
          </w:tcPr>
          <w:p>
            <w:r>
              <w:t>The HIPAA provision corpus and a small inference helper (map_control → top-k HIPAA citations) ship with the model, so the NIST→HIPAA mapping works out of the box.</w:t>
            </w:r>
          </w:p>
        </w:tc>
      </w:tr>
      <w:tr>
        <w:tc>
          <w:tcPr>
            <w:tcW w:type="dxa" w:w="4320"/>
          </w:tcPr>
          <w:p>
            <w:r>
              <w:t>Model card</w:t>
            </w:r>
          </w:p>
        </w:tc>
        <w:tc>
          <w:tcPr>
            <w:tcW w:type="dxa" w:w="4320"/>
          </w:tcPr>
          <w:p>
            <w:r>
              <w:t>States intended use, training data, evaluation, and limitations — RegMap is an assistive top-k retriever (correct provision in the top-5 ≈ 74% of the time) for an expert to confirm, not an authoritative single-answer classifier.</w:t>
            </w:r>
          </w:p>
        </w:tc>
      </w:tr>
      <w:tr>
        <w:tc>
          <w:tcPr>
            <w:tcW w:type="dxa" w:w="4320"/>
          </w:tcPr>
          <w:p>
            <w:r>
              <w:t>License</w:t>
            </w:r>
          </w:p>
        </w:tc>
        <w:tc>
          <w:tcPr>
            <w:tcW w:type="dxa" w:w="4320"/>
          </w:tcPr>
          <w:p>
            <w:r>
              <w:t>Apache-2.0 (inherited from the base model), enabling free public and commercial use — reducing dependence on costly proprietary compliance tooling.</w:t>
            </w:r>
          </w:p>
        </w:tc>
      </w:tr>
      <w:tr>
        <w:tc>
          <w:tcPr>
            <w:tcW w:type="dxa" w:w="4320"/>
          </w:tcPr>
          <w:p>
            <w:r>
              <w:t>Distribution (published)</w:t>
            </w:r>
          </w:p>
        </w:tc>
        <w:tc>
          <w:tcPr>
            <w:tcW w:type="dxa" w:w="4320"/>
          </w:tcPr>
          <w:p>
            <w:r>
              <w:t>Released publicly on the Hugging Face Hub (huggingface.co/stetteh/regmap-embedder), as a downloadable GitHub Release (v0.1-regmap), and as a runnable Docker image (ghcr.io/samuelgtetteh/regmap-embedder) that serves the mapping over an API.</w:t>
            </w:r>
          </w:p>
        </w:tc>
      </w:tr>
    </w:tbl>
    <w:p>
      <w:pPr>
        <w:pStyle w:val="Heading1"/>
      </w:pPr>
      <w:r>
        <w:t>2a. Public availability</w:t>
      </w:r>
    </w:p>
    <w:p>
      <w:r>
        <w:rPr>
          <w:b w:val="0"/>
          <w:i w:val="0"/>
        </w:rPr>
        <w:t>RegMap is now publicly available for anyone to use immediately, through three channels:</w:t>
      </w:r>
    </w:p>
    <w:p>
      <w:pPr>
        <w:pStyle w:val="ListBullet"/>
      </w:pPr>
      <w:r>
        <w:t>Hugging Face Hub — https://huggingface.co/stetteh/regmap-embedder (load with one line of sentence-transformers).</w:t>
      </w:r>
    </w:p>
    <w:p>
      <w:pPr>
        <w:pStyle w:val="ListBullet"/>
      </w:pPr>
      <w:r>
        <w:t>GitHub Release v0.1-regmap — a self-contained archive (model + HIPAA corpus + inference wrapper) that runs offline.</w:t>
      </w:r>
    </w:p>
    <w:p>
      <w:pPr>
        <w:pStyle w:val="ListBullet"/>
      </w:pPr>
      <w:r>
        <w:t>Docker image — ghcr.io/samuelgtetteh/regmap-embedder:0.1, a serving container exposing a POST /map endpoint that returns the top-ranked HIPAA provisions for a NIST control.</w:t>
      </w:r>
    </w:p>
    <w:p>
      <w:pPr>
        <w:pStyle w:val="Heading1"/>
      </w:pPr>
      <w:r>
        <w:t>3. Reused as a component across the platform</w:t>
      </w:r>
    </w:p>
    <w:p>
      <w:r>
        <w:rPr>
          <w:b w:val="0"/>
          <w:i w:val="0"/>
        </w:rPr>
        <w:t>RegMap is not a one-off: the same model now powers multiple capabilities of the operational system, demonstrating durable, transferable value:</w:t>
      </w:r>
    </w:p>
    <w:p>
      <w:pPr>
        <w:pStyle w:val="ListBullet"/>
      </w:pPr>
      <w:r>
        <w:t>Assessment tool — RegMap maps discovered assets/services to the NIST 800-53 controls an organization should implement (see Exhibit 18).</w:t>
      </w:r>
    </w:p>
    <w:p>
      <w:pPr>
        <w:pStyle w:val="ListBullet"/>
      </w:pPr>
      <w:r>
        <w:t>Compliance advisor interview — the same embedder interprets a user's plain-English answers, matching them to the correct environment characteristics without brittle keyword rules.</w:t>
      </w:r>
    </w:p>
    <w:p>
      <w:pPr>
        <w:pStyle w:val="ListBullet"/>
      </w:pPr>
      <w:r>
        <w:t>Real-time triage — the retrieval approach that RegMap validated is reused to surface the most relevant compliance controls for a live alert (Exhibit 16).</w:t>
      </w:r>
    </w:p>
    <w:p>
      <w:pPr>
        <w:pStyle w:val="Heading1"/>
      </w:pPr>
      <w:r>
        <w:t>4. Significance</w:t>
      </w:r>
    </w:p>
    <w:p>
      <w:r>
        <w:rPr>
          <w:b w:val="0"/>
          <w:i w:val="0"/>
        </w:rPr>
        <w:t>Releasing RegMap as an open, documented, reusable model — and embedding it as infrastructure across a working security platform — shows the proposed endeavor producing artifacts that others in the United States can adopt directly, and shows me carrying research through to dissemination and operational reuse. The full model, release tooling, and model card are public:</w:t>
      </w:r>
    </w:p>
    <w:p>
      <w:r>
        <w:rPr>
          <w:b/>
        </w:rPr>
        <w:t>https://github.com/samuelgtetteh/ai-cybersecurity-portfolio</w:t>
      </w:r>
    </w:p>
    <w:p>
      <w:r>
        <w:rPr>
          <w:b w:val="0"/>
          <w:i w:val="0"/>
        </w:rPr>
      </w:r>
    </w:p>
    <w:p>
      <w:r>
        <w:rPr>
          <w:b w:val="0"/>
          <w:i w:val="0"/>
        </w:rPr>
        <w:t>Date: July 16, 2026</w:t>
      </w:r>
    </w:p>
    <w:p>
      <w:r>
        <w:rPr>
          <w:b w:val="0"/>
          <w:i w:val="0"/>
        </w:rPr>
        <w:t>Prepared by: Samuel Gbli Tetteh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