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Exhibit 17: Analyst Case-Management Workflow (Human-in-the-Loop Decisioning with a Learning Feedback Loop)</w:t>
      </w:r>
    </w:p>
    <w:p>
      <w:r>
        <w:rPr>
          <w:b/>
          <w:i w:val="0"/>
        </w:rPr>
        <w:t>Petitioner: Samuel Gbli Tetteh</w:t>
      </w:r>
    </w:p>
    <w:p>
      <w:r>
        <w:rPr>
          <w:b w:val="0"/>
          <w:i/>
        </w:rPr>
        <w:t>NIW Proposed Endeavor — Elevating the real-time decisioning platform (Exhibit 16) into an operational analyst workstation: turning raised alerts into managed cases that a human investigates and resolves, with each resolution feeding back to improve the system.</w:t>
      </w:r>
    </w:p>
    <w:p>
      <w:pPr>
        <w:pStyle w:val="Heading1"/>
      </w:pPr>
      <w:r>
        <w:t>1. Purpose</w:t>
      </w:r>
    </w:p>
    <w:p>
      <w:r>
        <w:rPr>
          <w:b w:val="0"/>
          <w:i w:val="0"/>
        </w:rPr>
        <w:t>Exhibit 16 documented the platform that records, decides, acts, and triages. A detection platform, however, is only operational if a human analyst can act on its output. This exhibit documents the case-management workflow I built directly into the live browser console so that an analyst can open an alert, see the underlying evidence, and make and record a decision — without touching the API, the command line, or the database. It closes the last gap between an automated detector and a usable security-operations tool, and it does so with a design principle throughout: the human's decision is authoritative and is fed back to improve the system, while the language model remains strictly advisory.</w:t>
      </w:r>
    </w:p>
    <w:p>
      <w:pPr>
        <w:pStyle w:val="Heading1"/>
      </w:pPr>
      <w:r>
        <w:t>2. From a Read-Only Queue to a Managed Case</w:t>
      </w:r>
    </w:p>
    <w:p>
      <w:r>
        <w:rPr>
          <w:b w:val="0"/>
          <w:i w:val="0"/>
        </w:rPr>
        <w:t>Previously the alert queue supported only two operations — view the AI rationale and close. The workflow now supports the full lifecycle of a security case. Clicking an alert opens a case drawer that presents the evidence and offers a decision toolbar: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the analyst can do</w:t>
            </w:r>
          </w:p>
        </w:tc>
        <w:tc>
          <w:tcPr>
            <w:tcW w:type="dxa" w:w="2880"/>
          </w:tcPr>
          <w:p>
            <w:r>
              <w:rPr>
                <w:b/>
              </w:rPr>
              <w:t>Endpoint</w:t>
            </w:r>
          </w:p>
        </w:tc>
      </w:tr>
      <w:tr>
        <w:tc>
          <w:tcPr>
            <w:tcW w:type="dxa" w:w="2880"/>
          </w:tcPr>
          <w:p>
            <w:r>
              <w:t>Open / drill-down</w:t>
            </w:r>
          </w:p>
        </w:tc>
        <w:tc>
          <w:tcPr>
            <w:tcW w:type="dxa" w:w="2880"/>
          </w:tcPr>
          <w:p>
            <w:r>
              <w:t>Inspect the contributing verdicts (the actual events), the subject's confirmed malicious/benign history, the responder actions already taken, and the full case audit trail.</w:t>
            </w:r>
          </w:p>
        </w:tc>
        <w:tc>
          <w:tcPr>
            <w:tcW w:type="dxa" w:w="2880"/>
          </w:tcPr>
          <w:p>
            <w:r>
              <w:t>GET /decision/alerts/{id}</w:t>
            </w:r>
          </w:p>
        </w:tc>
      </w:tr>
      <w:tr>
        <w:tc>
          <w:tcPr>
            <w:tcW w:type="dxa" w:w="2880"/>
          </w:tcPr>
          <w:p>
            <w:r>
              <w:t>Acknowledge / assign</w:t>
            </w:r>
          </w:p>
        </w:tc>
        <w:tc>
          <w:tcPr>
            <w:tcW w:type="dxa" w:w="2880"/>
          </w:tcPr>
          <w:p>
            <w:r>
              <w:t>Take ownership of a case (in-progress) or assign it to a named analyst; the case stays visible in the active queue.</w:t>
            </w:r>
          </w:p>
        </w:tc>
        <w:tc>
          <w:tcPr>
            <w:tcW w:type="dxa" w:w="2880"/>
          </w:tcPr>
          <w:p>
            <w:r>
              <w:t>POST /decision/alerts/{id}/acknowledge, /assign</w:t>
            </w:r>
          </w:p>
        </w:tc>
      </w:tr>
      <w:tr>
        <w:tc>
          <w:tcPr>
            <w:tcW w:type="dxa" w:w="2880"/>
          </w:tcPr>
          <w:p>
            <w:r>
              <w:t>Resolve (disposition)</w:t>
            </w:r>
          </w:p>
        </w:tc>
        <w:tc>
          <w:tcPr>
            <w:tcW w:type="dxa" w:w="2880"/>
          </w:tcPr>
          <w:p>
            <w:r>
              <w:t>Close the case as true positive, false positive, or benign — which writes ground truth back to every contributing verdict (see section 3).</w:t>
            </w:r>
          </w:p>
        </w:tc>
        <w:tc>
          <w:tcPr>
            <w:tcW w:type="dxa" w:w="2880"/>
          </w:tcPr>
          <w:p>
            <w:r>
              <w:t>POST /decision/alerts/{id}/resolve</w:t>
            </w:r>
          </w:p>
        </w:tc>
      </w:tr>
      <w:tr>
        <w:tc>
          <w:tcPr>
            <w:tcW w:type="dxa" w:w="2880"/>
          </w:tcPr>
          <w:p>
            <w:r>
              <w:t>Suppress / allowlist</w:t>
            </w:r>
          </w:p>
        </w:tc>
        <w:tc>
          <w:tcPr>
            <w:tcW w:type="dxa" w:w="2880"/>
          </w:tcPr>
          <w:p>
            <w:r>
              <w:t>Mute a confirmed known-good subject (e.g. a service account) for a chosen window; the Decide layer consults the allowlist before raising that subject again.</w:t>
            </w:r>
          </w:p>
        </w:tc>
        <w:tc>
          <w:tcPr>
            <w:tcW w:type="dxa" w:w="2880"/>
          </w:tcPr>
          <w:p>
            <w:r>
              <w:t>POST /decision/alerts/{id}/suppress; GET/DELETE /decision/suppressions</w:t>
            </w:r>
          </w:p>
        </w:tc>
      </w:tr>
      <w:tr>
        <w:tc>
          <w:tcPr>
            <w:tcW w:type="dxa" w:w="2880"/>
          </w:tcPr>
          <w:p>
            <w:r>
              <w:t>Notes / audit trail</w:t>
            </w:r>
          </w:p>
        </w:tc>
        <w:tc>
          <w:tcPr>
            <w:tcW w:type="dxa" w:w="2880"/>
          </w:tcPr>
          <w:p>
            <w:r>
              <w:t>Attach free-text notes; every action (who, what, when, why) is journalled to an immutable case history.</w:t>
            </w:r>
          </w:p>
        </w:tc>
        <w:tc>
          <w:tcPr>
            <w:tcW w:type="dxa" w:w="2880"/>
          </w:tcPr>
          <w:p>
            <w:r>
              <w:t>POST /decision/alerts/{id}/note</w:t>
            </w:r>
          </w:p>
        </w:tc>
      </w:tr>
      <w:tr>
        <w:tc>
          <w:tcPr>
            <w:tcW w:type="dxa" w:w="2880"/>
          </w:tcPr>
          <w:p>
            <w:r>
              <w:t>Manual response</w:t>
            </w:r>
          </w:p>
        </w:tc>
        <w:tc>
          <w:tcPr>
            <w:tcW w:type="dxa" w:w="2880"/>
          </w:tcPr>
          <w:p>
            <w:r>
              <w:t>Fire a responder on demand — ticket, webhook, or a posture-change action (disable account, require step-up auth).</w:t>
            </w:r>
          </w:p>
        </w:tc>
        <w:tc>
          <w:tcPr>
            <w:tcW w:type="dxa" w:w="2880"/>
          </w:tcPr>
          <w:p>
            <w:r>
              <w:t>POST /decision/alerts/{id}/act</w:t>
            </w:r>
          </w:p>
        </w:tc>
      </w:tr>
    </w:tbl>
    <w:p>
      <w:pPr>
        <w:pStyle w:val="Heading1"/>
      </w:pPr>
      <w:r>
        <w:t>3. The Decision Trains the System</w:t>
      </w:r>
    </w:p>
    <w:p>
      <w:r>
        <w:rPr>
          <w:b w:val="0"/>
          <w:i w:val="0"/>
        </w:rPr>
        <w:t>The defining feature of the workflow is that an analyst's resolution is not merely filed — it improves future decisions. When a case is resolved as a true positive, every verdict that contributed to the alert is labelled malicious; when it is resolved as a false positive, they are labelled benign. That ground truth flows into the same outcome-weighting the Decide layer already uses (Exhibit 16, section 4): a subject repeatedly confirmed benign is thereafter suppressed as a chronic false positive, while one confirmed malicious is escalated. The human closes the loop, and the alert queue becomes more trustworthy the more it is used. This reuses the platform's existing feedback channel — the same mechanism the live event sources use to report ground truth — now driven from the analyst's console.</w:t>
      </w:r>
    </w:p>
    <w:p>
      <w:r>
        <w:rPr>
          <w:b w:val="0"/>
          <w:i/>
        </w:rPr>
        <w:t>This is also why the workflow keeps the language model advisory only. The model assists triage (it summarizes and prioritizes), but it never resolves a case or executes a posture-changing action. Those decisions are reserved for the human, both because the model reads attacker-controllable fields (a prompt-injection surface) and because accountable security decisions must rest with an accountable operator.</w:t>
      </w:r>
    </w:p>
    <w:p>
      <w:pPr>
        <w:pStyle w:val="Heading1"/>
      </w:pPr>
      <w:r>
        <w:t>4. Safe-by-Design Response Actions</w:t>
      </w:r>
    </w:p>
    <w:p>
      <w:r>
        <w:rPr>
          <w:b w:val="0"/>
          <w:i w:val="0"/>
        </w:rPr>
        <w:t>The manual response menu includes posture-changing actions — disable account and require step-up authentication — that a premium product must offer. In this deployment they are implemented as recorded stubs: the intent and target are written to the audit trail, but no live directory/identity-provider integration is wired, so the console cannot be induced (by a malicious input or a model error) to lock out a real account. The seam where a production deployment would call Azure AD / Okta / ServiceNow is explicit in the code. The console is therefore fully featured without becoming an attack surface.</w:t>
      </w:r>
    </w:p>
    <w:p>
      <w:pPr>
        <w:pStyle w:val="Heading1"/>
      </w:pPr>
      <w:r>
        <w:t>5. Operable Entirely from the Browser</w:t>
      </w:r>
    </w:p>
    <w:p>
      <w:r>
        <w:rPr>
          <w:b w:val="0"/>
          <w:i w:val="0"/>
        </w:rPr>
        <w:t>The whole workflow is driven from the live Server-Sent-Events console that replaced the raw API view: the queue updates in real time, and each case is opened and resolved in a drawer with the evidence in front of the analyst. No command-line access, no direct database queries, and no API client are required to run a security investigation end to end. This is the first stage of a broader effort to make the entire platform configurable and operable from the browser (planned: an in-console settings panel for the system's operational limits, and browser-triggered compliance scans).</w:t>
      </w:r>
    </w:p>
    <w:p>
      <w:pPr>
        <w:pStyle w:val="Heading1"/>
      </w:pPr>
      <w:r>
        <w:t>6. Reproducibility and Verifiability</w:t>
      </w:r>
    </w:p>
    <w:p>
      <w:r>
        <w:rPr>
          <w:b w:val="0"/>
          <w:i w:val="0"/>
        </w:rPr>
        <w:t>The workflow is public and independently reproducible:</w:t>
      </w:r>
    </w:p>
    <w:p>
      <w:pPr>
        <w:pStyle w:val="ListBullet"/>
      </w:pPr>
      <w:r>
        <w:t>backend/decision_api.py — the analyst endpoints (alert detail, acknowledge, assign, resolve, note, suppress, act, suppressions management).</w:t>
      </w:r>
    </w:p>
    <w:p>
      <w:pPr>
        <w:pStyle w:val="ListBullet"/>
      </w:pPr>
      <w:r>
        <w:t>backend/verdict_store.py — the alert lifecycle fields, the alert_events audit trail, the suppression/allowlist store, and label_alert_verdicts (the loop-closing feedback).</w:t>
      </w:r>
    </w:p>
    <w:p>
      <w:pPr>
        <w:pStyle w:val="ListBullet"/>
      </w:pPr>
      <w:r>
        <w:t>backend/policy.py — honours the allowlist before raising a subject's alert.</w:t>
      </w:r>
    </w:p>
    <w:p>
      <w:pPr>
        <w:pStyle w:val="ListBullet"/>
      </w:pPr>
      <w:r>
        <w:t>backend/actions.py — the manual responders, including the safe posture-change stubs.</w:t>
      </w:r>
    </w:p>
    <w:p>
      <w:pPr>
        <w:pStyle w:val="ListBullet"/>
      </w:pPr>
      <w:r>
        <w:t>backend/dashboard/index.html — the case drawer, decision toolbar, evidence view, and audit trail in the live console.</w:t>
      </w:r>
    </w:p>
    <w:p>
      <w:pPr>
        <w:pStyle w:val="ListBullet"/>
      </w:pPr>
      <w:r>
        <w:t>tests/test_decision_layer.py — automated tests covering alert drill-down, the acknowledge/assign/note journal, true-positive resolution labelling the evidence, suppression blocking a re-alert, and the recorded manual-action stub.</w:t>
      </w:r>
    </w:p>
    <w:p>
      <w:r>
        <w:rPr>
          <w:b/>
        </w:rPr>
        <w:t>https://github.com/samuelgtetteh/ai-cybersecurity-portfolio</w:t>
      </w:r>
    </w:p>
    <w:p>
      <w:pPr>
        <w:pStyle w:val="Heading1"/>
      </w:pPr>
      <w:r>
        <w:t>7. Significance for the “Well Positioned” Prong</w:t>
      </w:r>
    </w:p>
    <w:p>
      <w:r>
        <w:rPr>
          <w:b w:val="0"/>
          <w:i w:val="0"/>
        </w:rPr>
        <w:t>This exhibit shows that I have taken the endeavor beyond detection and automated decisioning into the human-facing operations layer that determines whether such a system is actually usable in a security operations center: a case-management workflow with evidence, auditable decisions, safe response actions, and — distinctively — a feedback loop in which the analyst's judgment continuously improves the model's future decisions. It demonstrates product-level systems and UX engineering on top of my own research artifacts, and it reflects mature security judgment (advisory-only AI, safe-by-design actions, full auditability). Together with Exhibits 11–16, it is direct evidence that I am well positioned to advance this endeavor independently.</w:t>
      </w:r>
    </w:p>
    <w:p>
      <w:r>
        <w:rPr>
          <w:b w:val="0"/>
          <w:i w:val="0"/>
        </w:rPr>
      </w:r>
    </w:p>
    <w:p>
      <w:r>
        <w:rPr>
          <w:b w:val="0"/>
          <w:i w:val="0"/>
        </w:rPr>
        <w:t>Date: July 12, 2026</w:t>
      </w:r>
    </w:p>
    <w:p>
      <w:r>
        <w:rPr>
          <w:b w:val="0"/>
          <w:i w:val="0"/>
        </w:rPr>
        <w:t>Prepared by: Samuel Gbli Tetteh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