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Exhibit 15: Summary of Research Progress and Body of Work</w:t>
      </w:r>
    </w:p>
    <w:p>
      <w:r>
        <w:rPr>
          <w:b/>
          <w:i w:val="0"/>
        </w:rPr>
        <w:t>Petitioner: Samuel Gbli Tetteh</w:t>
      </w:r>
    </w:p>
    <w:p>
      <w:r>
        <w:rPr>
          <w:b w:val="0"/>
          <w:i/>
        </w:rPr>
        <w:t>NIW Proposed Endeavor — Cumulative evidence across all three research pathways: a documented record of sustained, independent execution and of the advancement of that work from validated prototypes to peer-reviewed scientific research.</w:t>
      </w:r>
    </w:p>
    <w:p>
      <w:pPr>
        <w:pStyle w:val="Heading1"/>
      </w:pPr>
      <w:r>
        <w:t>1. Purpose</w:t>
      </w:r>
    </w:p>
    <w:p>
      <w:r>
        <w:rPr>
          <w:b w:val="0"/>
          <w:i w:val="0"/>
        </w:rPr>
        <w:t>Exhibits 11–14 documented three functional research prototypes—one for each pathway of my proposed endeavor—and their validation as live, containerized services. This exhibit serves two further purposes. First, it consolidates the full body of work into a single, quantified record so that the scope and sustained nature of my independent effort can be assessed at a glance. Second, and most importantly, it documents a decisive advancement that post-dates those earlier exhibits: each of the three prototype systems has since been developed into a rigorous scientific manuscript, and all three are now under peer review at established venues. This progression—from working prototype, to live-validated system, to peer-reviewed scholarship—is direct evidence for the second prong of Matter of Dhanasar: that I am well positioned to advance the proposed endeavor. It reflects not an intention to conduct research, but a demonstrated and continuing record of executing it.</w:t>
      </w:r>
    </w:p>
    <w:p>
      <w:pPr>
        <w:pStyle w:val="Heading1"/>
      </w:pPr>
      <w:r>
        <w:t>2. Principal Advancement: Three Manuscripts Under Peer Review</w:t>
      </w:r>
    </w:p>
    <w:p>
      <w:r>
        <w:rPr>
          <w:b w:val="0"/>
          <w:i w:val="0"/>
        </w:rPr>
        <w:t>In July 2026 I completed and submitted three original scientific manuscripts for peer review, one corresponding to each research pathway. Each manuscript takes the prototype documented in the referenced exhibit and subjects it to a rigorous, independently reproducible scientific evaluation. Their submission moves this work from the category of engineering prototypes into the category of contributions to the peer-reviewed scholarly record.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Manuscript</w:t>
            </w:r>
          </w:p>
        </w:tc>
        <w:tc>
          <w:tcPr>
            <w:tcW w:type="dxa" w:w="2160"/>
          </w:tcPr>
          <w:p>
            <w:r/>
            <w:r>
              <w:rPr>
                <w:b/>
              </w:rPr>
              <w:t>Pathway</w:t>
            </w:r>
          </w:p>
        </w:tc>
        <w:tc>
          <w:tcPr>
            <w:tcW w:type="dxa" w:w="2160"/>
          </w:tcPr>
          <w:p>
            <w:r/>
            <w:r>
              <w:rPr>
                <w:b/>
              </w:rPr>
              <w:t>Venue (peer-reviewed)</w:t>
            </w:r>
          </w:p>
        </w:tc>
        <w:tc>
          <w:tcPr>
            <w:tcW w:type="dxa" w:w="2160"/>
          </w:tcPr>
          <w:p>
            <w:r/>
            <w:r>
              <w:rPr>
                <w:b/>
              </w:rPr>
              <w:t>Status (as of July 11, 2026)</w:t>
            </w:r>
          </w:p>
        </w:tc>
      </w:tr>
      <w:tr>
        <w:tc>
          <w:tcPr>
            <w:tcW w:type="dxa" w:w="2160"/>
          </w:tcPr>
          <w:p>
            <w:r>
              <w:t>Access Breadth as a Robust Signal for Credential-Based Lateral Movement: A Red-Team Feature-Attribution Study on the LANL Dataset</w:t>
            </w:r>
          </w:p>
        </w:tc>
        <w:tc>
          <w:tcPr>
            <w:tcW w:type="dxa" w:w="2160"/>
          </w:tcPr>
          <w:p>
            <w:r>
              <w:t>Pathway 1 (Exhibit 12)</w:t>
            </w:r>
          </w:p>
        </w:tc>
        <w:tc>
          <w:tcPr>
            <w:tcW w:type="dxa" w:w="2160"/>
          </w:tcPr>
          <w:p>
            <w:r>
              <w:t>Transactions on Machine Learning Research (TMLR)</w:t>
            </w:r>
          </w:p>
        </w:tc>
        <w:tc>
          <w:tcPr>
            <w:tcW w:type="dxa" w:w="2160"/>
          </w:tcPr>
          <w:p>
            <w:r>
              <w:t>Submitted; under review</w:t>
            </w:r>
          </w:p>
        </w:tc>
      </w:tr>
      <w:tr>
        <w:tc>
          <w:tcPr>
            <w:tcW w:type="dxa" w:w="2160"/>
          </w:tcPr>
          <w:p>
            <w:r>
              <w:t>Label Leakage in ICS Anomaly Detection: A Reproducible Re-Evaluation of an Autoencoder Detector on the HAI Testbed</w:t>
            </w:r>
          </w:p>
        </w:tc>
        <w:tc>
          <w:tcPr>
            <w:tcW w:type="dxa" w:w="2160"/>
          </w:tcPr>
          <w:p>
            <w:r>
              <w:t>Pathway 2 (Exhibit 13)</w:t>
            </w:r>
          </w:p>
        </w:tc>
        <w:tc>
          <w:tcPr>
            <w:tcW w:type="dxa" w:w="2160"/>
          </w:tcPr>
          <w:p>
            <w:r>
              <w:t>ACM Digital Threats: Research and Practice (DTRAP)</w:t>
            </w:r>
          </w:p>
        </w:tc>
        <w:tc>
          <w:tcPr>
            <w:tcW w:type="dxa" w:w="2160"/>
          </w:tcPr>
          <w:p>
            <w:r>
              <w:t>Submitted; under review</w:t>
            </w:r>
          </w:p>
        </w:tc>
      </w:tr>
      <w:tr>
        <w:tc>
          <w:tcPr>
            <w:tcW w:type="dxa" w:w="2160"/>
          </w:tcPr>
          <w:p>
            <w:r>
              <w:t>Automated Regulatory Crosswalking: Fine-Tuned Semantic Retrieval for NIST SP 800-53 to HIPAA Mapping</w:t>
            </w:r>
          </w:p>
        </w:tc>
        <w:tc>
          <w:tcPr>
            <w:tcW w:type="dxa" w:w="2160"/>
          </w:tcPr>
          <w:p>
            <w:r>
              <w:t>Pathway 3 (Exhibit 11)</w:t>
            </w:r>
          </w:p>
        </w:tc>
        <w:tc>
          <w:tcPr>
            <w:tcW w:type="dxa" w:w="2160"/>
          </w:tcPr>
          <w:p>
            <w:r>
              <w:t>ACM Digital Threats: Research and Practice (DTRAP)</w:t>
            </w:r>
          </w:p>
        </w:tc>
        <w:tc>
          <w:tcPr>
            <w:tcW w:type="dxa" w:w="2160"/>
          </w:tcPr>
          <w:p>
            <w:r>
              <w:t>Submitted; under review</w:t>
            </w:r>
          </w:p>
        </w:tc>
      </w:tr>
    </w:tbl>
    <w:p>
      <w:r>
        <w:rPr>
          <w:b w:val="0"/>
          <w:i w:val="0"/>
        </w:rPr>
        <w:t>Transactions on Machine Learning Research is a peer-reviewed journal for machine learning research; ACM Digital Threats: Research and Practice is a peer-reviewed journal of the Association for Computing Machinery dedicated to the science and practice of countering digital threats. Submitting to venues of this standing, and preparing each manuscript to their double-anonymous review requirements, is itself evidence of research maturity and of engagement with the professional scientific community central to the national interest my endeavor serves.</w:t>
      </w:r>
    </w:p>
    <w:p>
      <w:pPr>
        <w:pStyle w:val="Heading1"/>
      </w:pPr>
      <w:r>
        <w:t>3. Quantitative Summary of the Body of Work</w:t>
      </w:r>
    </w:p>
    <w:p>
      <w:r>
        <w:rPr>
          <w:b w:val="0"/>
          <w:i w:val="0"/>
        </w:rPr>
        <w:t>The following figures were measured directly from the public repository as of July 11, 2026. They are fully verifiable: the repository, its complete version-control history, and every artifact below are publicly accessible.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Dimension</w:t>
            </w:r>
          </w:p>
        </w:tc>
        <w:tc>
          <w:tcPr>
            <w:tcW w:type="dxa" w:w="4320"/>
          </w:tcPr>
          <w:p>
            <w:r/>
            <w:r>
              <w:rPr>
                <w:b/>
              </w:rPr>
              <w:t>Measured extent</w:t>
            </w:r>
          </w:p>
        </w:tc>
      </w:tr>
      <w:tr>
        <w:tc>
          <w:tcPr>
            <w:tcW w:type="dxa" w:w="4320"/>
          </w:tcPr>
          <w:p>
            <w:r>
              <w:t>Active development period</w:t>
            </w:r>
          </w:p>
        </w:tc>
        <w:tc>
          <w:tcPr>
            <w:tcW w:type="dxa" w:w="4320"/>
          </w:tcPr>
          <w:p>
            <w:r>
              <w:t>2026-06-08 to 2026-07-11 (building on prior academic work)</w:t>
            </w:r>
          </w:p>
        </w:tc>
      </w:tr>
      <w:tr>
        <w:tc>
          <w:tcPr>
            <w:tcW w:type="dxa" w:w="4320"/>
          </w:tcPr>
          <w:p>
            <w:r>
              <w:t>Version-control commits</w:t>
            </w:r>
          </w:p>
        </w:tc>
        <w:tc>
          <w:tcPr>
            <w:tcW w:type="dxa" w:w="4320"/>
          </w:tcPr>
          <w:p>
            <w:r>
              <w:t>31 commits across 9 distinct active days</w:t>
            </w:r>
          </w:p>
        </w:tc>
      </w:tr>
      <w:tr>
        <w:tc>
          <w:tcPr>
            <w:tcW w:type="dxa" w:w="4320"/>
          </w:tcPr>
          <w:p>
            <w:r>
              <w:t>Version-controlled files</w:t>
            </w:r>
          </w:p>
        </w:tc>
        <w:tc>
          <w:tcPr>
            <w:tcW w:type="dxa" w:w="4320"/>
          </w:tcPr>
          <w:p>
            <w:r>
              <w:t>78 files</w:t>
            </w:r>
          </w:p>
        </w:tc>
      </w:tr>
      <w:tr>
        <w:tc>
          <w:tcPr>
            <w:tcW w:type="dxa" w:w="4320"/>
          </w:tcPr>
          <w:p>
            <w:r>
              <w:t>Python source</w:t>
            </w:r>
          </w:p>
        </w:tc>
        <w:tc>
          <w:tcPr>
            <w:tcW w:type="dxa" w:w="4320"/>
          </w:tcPr>
          <w:p>
            <w:r>
              <w:t>48 modules; over 8,000 lines (excluding third-party dependencies)</w:t>
            </w:r>
          </w:p>
        </w:tc>
      </w:tr>
      <w:tr>
        <w:tc>
          <w:tcPr>
            <w:tcW w:type="dxa" w:w="4320"/>
          </w:tcPr>
          <w:p>
            <w:r>
              <w:t>Jupyter notebooks</w:t>
            </w:r>
          </w:p>
        </w:tc>
        <w:tc>
          <w:tcPr>
            <w:tcW w:type="dxa" w:w="4320"/>
          </w:tcPr>
          <w:p>
            <w:r>
              <w:t>10 documented, executable notebooks (~2,050 lines of code)</w:t>
            </w:r>
          </w:p>
        </w:tc>
      </w:tr>
      <w:tr>
        <w:tc>
          <w:tcPr>
            <w:tcW w:type="dxa" w:w="4320"/>
          </w:tcPr>
          <w:p>
            <w:r>
              <w:t>Scientific manuscripts</w:t>
            </w:r>
          </w:p>
        </w:tc>
        <w:tc>
          <w:tcPr>
            <w:tcW w:type="dxa" w:w="4320"/>
          </w:tcPr>
          <w:p>
            <w:r>
              <w:t>3 manuscripts; ~16,000 words; 88 cited-reference entries</w:t>
            </w:r>
          </w:p>
        </w:tc>
      </w:tr>
      <w:tr>
        <w:tc>
          <w:tcPr>
            <w:tcW w:type="dxa" w:w="4320"/>
          </w:tcPr>
          <w:p>
            <w:r>
              <w:t>Trained / fine-tuned models</w:t>
            </w:r>
          </w:p>
        </w:tc>
        <w:tc>
          <w:tcPr>
            <w:tcW w:type="dxa" w:w="4320"/>
          </w:tcPr>
          <w:p>
            <w:r>
              <w:t>Deep autoencoder (OT/ICS); Isolation Forest (identity); fine-tuned Sentence-BERT retriever (compliance); plus preserved leaked/strict autoencoder variants retained for the reproducibility audit</w:t>
            </w:r>
          </w:p>
        </w:tc>
      </w:tr>
      <w:tr>
        <w:tc>
          <w:tcPr>
            <w:tcW w:type="dxa" w:w="4320"/>
          </w:tcPr>
          <w:p>
            <w:r>
              <w:t>Public benchmark datasets used</w:t>
            </w:r>
          </w:p>
        </w:tc>
        <w:tc>
          <w:tcPr>
            <w:tcW w:type="dxa" w:w="4320"/>
          </w:tcPr>
          <w:p>
            <w:r>
              <w:t>HAI ICS testbed; LANL authentication + red-team logs; NIST SP 800-53 – HIPAA crosswalk</w:t>
            </w:r>
          </w:p>
        </w:tc>
      </w:tr>
      <w:tr>
        <w:tc>
          <w:tcPr>
            <w:tcW w:type="dxa" w:w="4320"/>
          </w:tcPr>
          <w:p>
            <w:r>
              <w:t>Deployed systems</w:t>
            </w:r>
          </w:p>
        </w:tc>
        <w:tc>
          <w:tcPr>
            <w:tcW w:type="dxa" w:w="4320"/>
          </w:tcPr>
          <w:p>
            <w:r>
              <w:t>One containerized multi-model REST API serving all three detectors; one natural-language Control Advisor CLI; two supporting live-simulation repositories</w:t>
            </w:r>
          </w:p>
        </w:tc>
      </w:tr>
      <w:tr>
        <w:tc>
          <w:tcPr>
            <w:tcW w:type="dxa" w:w="4320"/>
          </w:tcPr>
          <w:p>
            <w:r>
              <w:t>Supporting documentation</w:t>
            </w:r>
          </w:p>
        </w:tc>
        <w:tc>
          <w:tcPr>
            <w:tcW w:type="dxa" w:w="4320"/>
          </w:tcPr>
          <w:p>
            <w:r>
              <w:t>Four prior evidence exhibits (11–14); reproducibility runbooks; dated progress log</w:t>
            </w:r>
          </w:p>
        </w:tc>
      </w:tr>
    </w:tbl>
    <w:p>
      <w:pPr>
        <w:pStyle w:val="Heading1"/>
      </w:pPr>
      <w:r>
        <w:t>4. Development Timeline</w:t>
      </w:r>
    </w:p>
    <w:p>
      <w:r>
        <w:rPr>
          <w:b w:val="0"/>
          <w:i w:val="0"/>
        </w:rPr>
        <w:t>The chronology below is drawn from the repository's version-control history and documents continuous, self-directed progress over the period.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Date (2026)</w:t>
            </w:r>
          </w:p>
        </w:tc>
        <w:tc>
          <w:tcPr>
            <w:tcW w:type="dxa" w:w="4320"/>
          </w:tcPr>
          <w:p>
            <w:r/>
            <w:r>
              <w:rPr>
                <w:b/>
              </w:rPr>
              <w:t>Milestone</w:t>
            </w:r>
          </w:p>
        </w:tc>
      </w:tr>
      <w:tr>
        <w:tc>
          <w:tcPr>
            <w:tcW w:type="dxa" w:w="4320"/>
          </w:tcPr>
          <w:p>
            <w:r>
              <w:t>Jun 8</w:t>
            </w:r>
          </w:p>
        </w:tc>
        <w:tc>
          <w:tcPr>
            <w:tcW w:type="dxa" w:w="4320"/>
          </w:tcPr>
          <w:p>
            <w:r>
              <w:t>Project structure initialized</w:t>
            </w:r>
          </w:p>
        </w:tc>
      </w:tr>
      <w:tr>
        <w:tc>
          <w:tcPr>
            <w:tcW w:type="dxa" w:w="4320"/>
          </w:tcPr>
          <w:p>
            <w:r>
              <w:t>Jun 15–17</w:t>
            </w:r>
          </w:p>
        </w:tc>
        <w:tc>
          <w:tcPr>
            <w:tcW w:type="dxa" w:w="4320"/>
          </w:tcPr>
          <w:p>
            <w:r>
              <w:t>Pathway 3 (compliance): NIST–HIPAA data preparation; Sentence-BERT model trained and evaluated; demonstration interface</w:t>
            </w:r>
          </w:p>
        </w:tc>
      </w:tr>
      <w:tr>
        <w:tc>
          <w:tcPr>
            <w:tcW w:type="dxa" w:w="4320"/>
          </w:tcPr>
          <w:p>
            <w:r>
              <w:t>Jun 25</w:t>
            </w:r>
          </w:p>
        </w:tc>
        <w:tc>
          <w:tcPr>
            <w:tcW w:type="dxa" w:w="4320"/>
          </w:tcPr>
          <w:p>
            <w:r>
              <w:t>Compliance crosswalk data pipeline finalized</w:t>
            </w:r>
          </w:p>
        </w:tc>
      </w:tr>
      <w:tr>
        <w:tc>
          <w:tcPr>
            <w:tcW w:type="dxa" w:w="4320"/>
          </w:tcPr>
          <w:p>
            <w:r>
              <w:t>Jul 3</w:t>
            </w:r>
          </w:p>
        </w:tc>
        <w:tc>
          <w:tcPr>
            <w:tcW w:type="dxa" w:w="4320"/>
          </w:tcPr>
          <w:p>
            <w:r>
              <w:t>Pathway 2 (OT/ICS): deep autoencoder built on the HAI testbed; Pathway 1 (identity) notebook on 2M LANL events; Exhibit 13 prepared</w:t>
            </w:r>
          </w:p>
        </w:tc>
      </w:tr>
      <w:tr>
        <w:tc>
          <w:tcPr>
            <w:tcW w:type="dxa" w:w="4320"/>
          </w:tcPr>
          <w:p>
            <w:r>
              <w:t>Jul 4</w:t>
            </w:r>
          </w:p>
        </w:tc>
        <w:tc>
          <w:tcPr>
            <w:tcW w:type="dxa" w:w="4320"/>
          </w:tcPr>
          <w:p>
            <w:r>
              <w:t>All three models engineered into live REST APIs; OT/ICS data-leak identified and corrected; Control Advisor tool built</w:t>
            </w:r>
          </w:p>
        </w:tc>
      </w:tr>
      <w:tr>
        <w:tc>
          <w:tcPr>
            <w:tcW w:type="dxa" w:w="4320"/>
          </w:tcPr>
          <w:p>
            <w:r>
              <w:t>Jul 4–5</w:t>
            </w:r>
          </w:p>
        </w:tc>
        <w:tc>
          <w:tcPr>
            <w:tcW w:type="dxa" w:w="4320"/>
          </w:tcPr>
          <w:p>
            <w:r>
              <w:t>System landscape documented; live-testing environment, tally tooling, automated test suite, and backend hardening</w:t>
            </w:r>
          </w:p>
        </w:tc>
      </w:tr>
      <w:tr>
        <w:tc>
          <w:tcPr>
            <w:tcW w:type="dxa" w:w="4320"/>
          </w:tcPr>
          <w:p>
            <w:r>
              <w:t>Jul 5</w:t>
            </w:r>
          </w:p>
        </w:tc>
        <w:tc>
          <w:tcPr>
            <w:tcW w:type="dxa" w:w="4320"/>
          </w:tcPr>
          <w:p>
            <w:r>
              <w:t>Live-environment validation captured (Exhibit 14); scientific-paper program planned; first drafts of all three papers</w:t>
            </w:r>
          </w:p>
        </w:tc>
      </w:tr>
      <w:tr>
        <w:tc>
          <w:tcPr>
            <w:tcW w:type="dxa" w:w="4320"/>
          </w:tcPr>
          <w:p>
            <w:r>
              <w:t>Jul 10–11</w:t>
            </w:r>
          </w:p>
        </w:tc>
        <w:tc>
          <w:tcPr>
            <w:tcW w:type="dxa" w:w="4320"/>
          </w:tcPr>
          <w:p>
            <w:r>
              <w:t>Rigorous extended re-evaluations: exact label-leakage quantification, session-disjoint retraining, determinism fixes, group-split and nDCG robustness; three self-contained reproducible evaluation notebooks; all three manuscripts expanded to scholarly standard</w:t>
            </w:r>
          </w:p>
        </w:tc>
      </w:tr>
      <w:tr>
        <w:tc>
          <w:tcPr>
            <w:tcW w:type="dxa" w:w="4320"/>
          </w:tcPr>
          <w:p>
            <w:r>
              <w:t>Jul 11</w:t>
            </w:r>
          </w:p>
        </w:tc>
        <w:tc>
          <w:tcPr>
            <w:tcW w:type="dxa" w:w="4320"/>
          </w:tcPr>
          <w:p>
            <w:r>
              <w:t>All three manuscripts submitted for peer review (Pathway 1 → TMLR; Pathways 2 and 3 → ACM DTRAP)</w:t>
            </w:r>
          </w:p>
        </w:tc>
      </w:tr>
    </w:tbl>
    <w:p>
      <w:pPr>
        <w:pStyle w:val="Heading1"/>
      </w:pPr>
      <w:r>
        <w:t>5. Advancement of Each Pathway: Prototype → Rigorous Science → Peer Review</w:t>
      </w:r>
    </w:p>
    <w:p>
      <w:pPr>
        <w:pStyle w:val="Heading2"/>
      </w:pPr>
      <w:r>
        <w:t>5.1 Pathway 1 — Context-Aware Identity Anomaly Detection</w:t>
      </w:r>
    </w:p>
    <w:p>
      <w:r>
        <w:rPr>
          <w:b w:val="0"/>
          <w:i w:val="0"/>
        </w:rPr>
        <w:t>The prototype in Exhibit 12 detected anomalies across two million LANL authentication events. It has since been advanced into a controlled scientific study evaluated against the LANL red-team ground truth—a rare source of real, labelled attack activity—with bootstrap confidence intervals and a full feature-attribution analysis identifying access breadth as the robust, interpretable signal that drives detection. That study is the manuscript now under review at TMLR.</w:t>
      </w:r>
    </w:p>
    <w:p>
      <w:pPr>
        <w:pStyle w:val="Heading2"/>
      </w:pPr>
      <w:r>
        <w:t>5.2 Pathway 2 — OT/ICS Intrusion Detection</w:t>
      </w:r>
    </w:p>
    <w:p>
      <w:r>
        <w:rPr>
          <w:b w:val="0"/>
          <w:i w:val="0"/>
        </w:rPr>
        <w:t>The Exhibit 13 autoencoder was subjected to a full audit of my own pipeline. The audit exactly quantified a label-leakage flaw (a literally perfect, and therefore meaningless, ROC AUC of 1.000000), demonstrated the contamination to be model-deep, identified a second cross-session contamination flaw, and re-evaluated the detector under a strict session-disjoint protocol with calibration and alarm-aggregation analyses. The resulting reproducibility study is the manuscript now under review at ACM DTRAP.</w:t>
      </w:r>
    </w:p>
    <w:p>
      <w:pPr>
        <w:pStyle w:val="Heading2"/>
      </w:pPr>
      <w:r>
        <w:t>5.3 Pathway 3 — Automated Compliance Validation</w:t>
      </w:r>
    </w:p>
    <w:p>
      <w:r>
        <w:rPr>
          <w:b w:val="0"/>
          <w:i w:val="0"/>
        </w:rPr>
        <w:t>The RegMap prototype in Exhibit 11 was developed into a rigorous retrieval study of NIST SP 800-53 → HIPAA mapping, reporting Recall@k, MRR, MAP, and nDCG with bootstrap confidence intervals, a stricter leakage-free group-split protocol, and an explicit positioning against the current compliance-mapping literature. That study is the manuscript now under review at ACM DTRAP.</w:t>
      </w:r>
    </w:p>
    <w:p>
      <w:pPr>
        <w:pStyle w:val="Heading1"/>
      </w:pPr>
      <w:r>
        <w:t>6. Demonstrated Scientific Rigor and Research Maturity</w:t>
      </w:r>
    </w:p>
    <w:p>
      <w:r>
        <w:rPr>
          <w:b w:val="0"/>
          <w:i w:val="0"/>
        </w:rPr>
        <w:t>A distinguishing feature of this body of work is that its rigor is self-imposed. In preparing the OT/ICS manuscript I audited my own earlier, more favorable results, discovered that they were inflated by a data leak, preserved rather than discarded the flawed artifacts, and reported the corrected numbers as an explicit ‘honesty ladder’ (leaked 1.000 → pooled 0.929 → session-disjoint 0.869). In the identity work I identified and fixed two reproducibility defects that had been silently varying results, and re-derived every reported number deterministically. Finding, disclosing, and exactly quantifying the limitations of one’s own work—rather than reporting only the most flattering result—is the standard of scientific integrity expected of an independent researcher, and it is evidenced throughout this portfolio.</w:t>
      </w:r>
    </w:p>
    <w:p>
      <w:pPr>
        <w:pStyle w:val="Heading1"/>
      </w:pPr>
      <w:r>
        <w:t>7. Reproducibility and Verifiability</w:t>
      </w:r>
    </w:p>
    <w:p>
      <w:r>
        <w:rPr>
          <w:b w:val="0"/>
          <w:i w:val="0"/>
        </w:rPr>
        <w:t>Every claim in this exhibit is independently verifiable. All source code, notebooks, trained models, evaluation scripts, and documentation are publicly available at:</w:t>
      </w:r>
    </w:p>
    <w:p>
      <w:r>
        <w:rPr>
          <w:b/>
        </w:rPr>
        <w:t>https://github.com/samuelgtetteh/ai-cybersecurity-portfolio</w:t>
      </w:r>
    </w:p>
    <w:p>
      <w:r>
        <w:rPr>
          <w:b w:val="0"/>
          <w:i w:val="0"/>
        </w:rPr>
        <w:t>Each reported result is reproducible from tracked, self-contained evaluation notebooks; all datasets are public; and the complete version-control history substantiates the timeline in Section 4. No proprietary tools, data, or employer resources were used at any stage.</w:t>
      </w:r>
    </w:p>
    <w:p>
      <w:pPr>
        <w:pStyle w:val="Heading1"/>
      </w:pPr>
      <w:r>
        <w:t>8. Significance for the ‘Well Positioned’ Prong</w:t>
      </w:r>
    </w:p>
    <w:p>
      <w:r>
        <w:rPr>
          <w:b w:val="0"/>
          <w:i w:val="0"/>
        </w:rPr>
        <w:t>Taken together, this record establishes that I am well positioned to advance the proposed endeavor without an employer-sponsored position:</w:t>
      </w:r>
    </w:p>
    <w:p>
      <w:pPr>
        <w:pStyle w:val="ListBullet"/>
      </w:pPr>
      <w:r>
        <w:t>I have independently executed the full three-pathway research program I proposed—not as concepts, but as built, measured, and publicly released systems.</w:t>
      </w:r>
    </w:p>
    <w:p>
      <w:pPr>
        <w:pStyle w:val="ListBullet"/>
      </w:pPr>
      <w:r>
        <w:t>I have sustained that effort over a continuous period, producing a substantial and verifiable body of software, models, and documentation.</w:t>
      </w:r>
    </w:p>
    <w:p>
      <w:pPr>
        <w:pStyle w:val="ListBullet"/>
      </w:pPr>
      <w:r>
        <w:t>I have demonstrated the engineering maturity to unify independent prototypes into a single deployed, live-validated system (Exhibit 14).</w:t>
      </w:r>
    </w:p>
    <w:p>
      <w:pPr>
        <w:pStyle w:val="ListBullet"/>
      </w:pPr>
      <w:r>
        <w:t>I have demonstrated the scientific maturity to audit, correct, and rigorously re-evaluate my own work to publication standard.</w:t>
      </w:r>
    </w:p>
    <w:p>
      <w:pPr>
        <w:pStyle w:val="ListBullet"/>
      </w:pPr>
      <w:r>
        <w:t>Most significantly, I have advanced all three efforts into original manuscripts now under peer review at established venues, submitting my work for external scientific scrutiny—the clearest available evidence of a genuine and continuing record of progress.</w:t>
      </w:r>
    </w:p>
    <w:p>
      <w:r>
        <w:rPr>
          <w:b w:val="0"/>
          <w:i w:val="0"/>
        </w:rPr>
        <w:t>This exhibit should be read alongside Exhibits 11–14, which document the individual prototypes and their live validation in detail, and alongside my publication record and personal statement.</w:t>
      </w:r>
    </w:p>
    <w:p>
      <w:r>
        <w:rPr>
          <w:b w:val="0"/>
          <w:i w:val="0"/>
        </w:rPr>
      </w:r>
    </w:p>
    <w:p>
      <w:r>
        <w:rPr>
          <w:b w:val="0"/>
          <w:i w:val="0"/>
        </w:rPr>
        <w:t>Date: July 11,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