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Exhibit 16: Real-Time Security Decisioning Platform (Record → Decide → Act, with AI-Assisted Triage)</w:t>
      </w:r>
    </w:p>
    <w:p>
      <w:r>
        <w:rPr>
          <w:b/>
          <w:i w:val="0"/>
        </w:rPr>
        <w:t>Petitioner: Samuel Gbli Tetteh</w:t>
      </w:r>
    </w:p>
    <w:p>
      <w:r>
        <w:rPr>
          <w:b w:val="0"/>
          <w:i/>
        </w:rPr>
        <w:t>NIW Proposed Endeavor — Operationalizing the three detection models into a single real-time decisioning system: turning live anomaly detection (validated in Exhibit 14) into recorded, triaged, and actioned security decisions.</w:t>
      </w:r>
    </w:p>
    <w:p>
      <w:pPr>
        <w:pStyle w:val="Heading1"/>
      </w:pPr>
      <w:r>
        <w:t>1. Purpose</w:t>
      </w:r>
    </w:p>
    <w:p>
      <w:r>
        <w:rPr>
          <w:b w:val="0"/>
          <w:i w:val="0"/>
        </w:rPr>
        <w:t>Exhibit 14 demonstrated that the three detection models operate correctly as live, containerized services. This exhibit documents the next stage I built on top of them: an operational decisioning platform that does not merely score events but keeps an authoritative record of every decision, applies policy to raise prioritized alerts, takes auditable response actions, and produces AI-assisted analyst triage. It is the difference between a detector that flags anomalies and a system that manages them. All results below are measured from an actual live run; the system, code, and reproductions are public.</w:t>
      </w:r>
    </w:p>
    <w:p>
      <w:pPr>
        <w:pStyle w:val="Heading1"/>
      </w:pPr>
      <w:r>
        <w:t>2. Architecture</w:t>
      </w:r>
    </w:p>
    <w:p>
      <w:r>
        <w:rPr>
          <w:b w:val="0"/>
          <w:i w:val="0"/>
        </w:rPr>
        <w:t>A single containerized FastAPI backend (“RedMap”) hosts the pipeline. Each stage is additive and independently auditable: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Interface</w:t>
            </w:r>
          </w:p>
        </w:tc>
      </w:tr>
      <w:tr>
        <w:tc>
          <w:tcPr>
            <w:tcW w:type="dxa" w:w="2880"/>
          </w:tcPr>
          <w:p>
            <w:r>
              <w:t>Record</w:t>
            </w:r>
          </w:p>
        </w:tc>
        <w:tc>
          <w:tcPr>
            <w:tcW w:type="dxa" w:w="2880"/>
          </w:tcPr>
          <w:p>
            <w:r>
              <w:t>Persists every model verdict to a durable trail, enriched with request metadata; a decoupled feedback channel attaches ground truth after the fact, from which live precision/recall are computed.</w:t>
            </w:r>
          </w:p>
        </w:tc>
        <w:tc>
          <w:tcPr>
            <w:tcW w:type="dxa" w:w="2880"/>
          </w:tcPr>
          <w:p>
            <w:r>
              <w:t>/identity/score, /ics/score, /map; /decision/verdicts, /stats, /metrics; X-Verdict-Id header; /decision/verdicts/{id}/feedback</w:t>
            </w:r>
          </w:p>
        </w:tc>
      </w:tr>
      <w:tr>
        <w:tc>
          <w:tcPr>
            <w:tcW w:type="dxa" w:w="2880"/>
          </w:tcPr>
          <w:p>
            <w:r>
              <w:t>Decide</w:t>
            </w:r>
          </w:p>
        </w:tc>
        <w:tc>
          <w:tcPr>
            <w:tcW w:type="dxa" w:w="2880"/>
          </w:tcPr>
          <w:p>
            <w:r>
              <w:t>A configurable policy engine reads the trail and raises durable alerts (identity burst, sustained ICS anomalies, single high-severity events), with severity weighted by each subject’s historical outcomes (chronic false positives suppressed, confirmed-bad escalated).</w:t>
            </w:r>
          </w:p>
        </w:tc>
        <w:tc>
          <w:tcPr>
            <w:tcW w:type="dxa" w:w="2880"/>
          </w:tcPr>
          <w:p>
            <w:r>
              <w:t>/decision/alerts, /decision/evaluate</w:t>
            </w:r>
          </w:p>
        </w:tc>
      </w:tr>
      <w:tr>
        <w:tc>
          <w:tcPr>
            <w:tcW w:type="dxa" w:w="2880"/>
          </w:tcPr>
          <w:p>
            <w:r>
              <w:t>Act</w:t>
            </w:r>
          </w:p>
        </w:tc>
        <w:tc>
          <w:tcPr>
            <w:tcW w:type="dxa" w:w="2880"/>
          </w:tcPr>
          <w:p>
            <w:r>
              <w:t>Severity-routed responders fire when an alert is raised (log, ticket, webhook); every response is recorded for audit; analysts close alerts.</w:t>
            </w:r>
          </w:p>
        </w:tc>
        <w:tc>
          <w:tcPr>
            <w:tcW w:type="dxa" w:w="2880"/>
          </w:tcPr>
          <w:p>
            <w:r>
              <w:t>/decision/actions, /decision/alerts/{id}/close</w:t>
            </w:r>
          </w:p>
        </w:tc>
      </w:tr>
      <w:tr>
        <w:tc>
          <w:tcPr>
            <w:tcW w:type="dxa" w:w="2880"/>
          </w:tcPr>
          <w:p>
            <w:r>
              <w:t>AI triage</w:t>
            </w:r>
          </w:p>
        </w:tc>
        <w:tc>
          <w:tcPr>
            <w:tcW w:type="dxa" w:w="2880"/>
          </w:tcPr>
          <w:p>
            <w:r>
              <w:t>For an alert, retrieves the most relevant compliance controls (RAG over the HIPAA corpus using the fine-tuned RegMap embedder) and writes a concise analyst triage summary with a local LLM.</w:t>
            </w:r>
          </w:p>
        </w:tc>
        <w:tc>
          <w:tcPr>
            <w:tcW w:type="dxa" w:w="2880"/>
          </w:tcPr>
          <w:p>
            <w:r>
              <w:t>/decision/alerts/{id}/triage</w:t>
            </w:r>
          </w:p>
        </w:tc>
      </w:tr>
    </w:tbl>
    <w:p>
      <w:pPr>
        <w:pStyle w:val="Heading1"/>
      </w:pPr>
      <w:r>
        <w:t>3. Measured Live Results</w:t>
      </w:r>
    </w:p>
    <w:p>
      <w:r>
        <w:rPr>
          <w:b w:val="0"/>
          <w:i w:val="0"/>
        </w:rPr>
        <w:t>The following are measured from a representative live run recorded July 12, 2026, with the backend serving the current code and the two event sources streaming continuously and reporting ground truth through the feedback channel.</w:t>
      </w:r>
    </w:p>
    <w:p>
      <w:pPr>
        <w:pStyle w:val="Heading2"/>
      </w:pPr>
      <w:r>
        <w:t>3.1 Record — coverage and live detection metrics</w:t>
      </w:r>
    </w:p>
    <w:p>
      <w:r>
        <w:rPr>
          <w:b w:val="0"/>
          <w:i w:val="0"/>
        </w:rPr>
        <w:t>Every verdict was recorded and automatically labelled with ground truth via the feedback channel, letting the system compute detection quality live from its own trail: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Verdicts recorded (and labelled)</w:t>
            </w:r>
          </w:p>
        </w:tc>
        <w:tc>
          <w:tcPr>
            <w:tcW w:type="dxa" w:w="4320"/>
          </w:tcPr>
          <w:p>
            <w:r>
              <w:t>1,167 (100% labelled)</w:t>
            </w:r>
          </w:p>
        </w:tc>
      </w:tr>
      <w:tr>
        <w:tc>
          <w:tcPr>
            <w:tcW w:type="dxa" w:w="4320"/>
          </w:tcPr>
          <w:p>
            <w:r>
              <w:t>By model</w:t>
            </w:r>
          </w:p>
        </w:tc>
        <w:tc>
          <w:tcPr>
            <w:tcW w:type="dxa" w:w="4320"/>
          </w:tcPr>
          <w:p>
            <w:r>
              <w:t>identity 762 (448 flagged); ICS 405 (55 flagged)</w:t>
            </w:r>
          </w:p>
        </w:tc>
      </w:tr>
      <w:tr>
        <w:tc>
          <w:tcPr>
            <w:tcW w:type="dxa" w:w="4320"/>
          </w:tcPr>
          <w:p>
            <w:r>
              <w:t>Non-scored requests audited</w:t>
            </w:r>
          </w:p>
        </w:tc>
        <w:tc>
          <w:tcPr>
            <w:tcW w:type="dxa" w:w="4320"/>
          </w:tcPr>
          <w:p>
            <w:r>
              <w:t>1,172</w:t>
            </w:r>
          </w:p>
        </w:tc>
      </w:tr>
      <w:tr>
        <w:tc>
          <w:tcPr>
            <w:tcW w:type="dxa" w:w="4320"/>
          </w:tcPr>
          <w:p>
            <w:r>
              <w:t>Live precision</w:t>
            </w:r>
          </w:p>
        </w:tc>
        <w:tc>
          <w:tcPr>
            <w:tcW w:type="dxa" w:w="4320"/>
          </w:tcPr>
          <w:p>
            <w:r>
              <w:t>0.992</w:t>
            </w:r>
          </w:p>
        </w:tc>
      </w:tr>
      <w:tr>
        <w:tc>
          <w:tcPr>
            <w:tcW w:type="dxa" w:w="4320"/>
          </w:tcPr>
          <w:p>
            <w:r>
              <w:t>Live recall</w:t>
            </w:r>
          </w:p>
        </w:tc>
        <w:tc>
          <w:tcPr>
            <w:tcW w:type="dxa" w:w="4320"/>
          </w:tcPr>
          <w:p>
            <w:r>
              <w:t>0.977</w:t>
            </w:r>
          </w:p>
        </w:tc>
      </w:tr>
      <w:tr>
        <w:tc>
          <w:tcPr>
            <w:tcW w:type="dxa" w:w="4320"/>
          </w:tcPr>
          <w:p>
            <w:r>
              <w:t>Live specificity</w:t>
            </w:r>
          </w:p>
        </w:tc>
        <w:tc>
          <w:tcPr>
            <w:tcW w:type="dxa" w:w="4320"/>
          </w:tcPr>
          <w:p>
            <w:r>
              <w:t>0.994</w:t>
            </w:r>
          </w:p>
        </w:tc>
      </w:tr>
      <w:tr>
        <w:tc>
          <w:tcPr>
            <w:tcW w:type="dxa" w:w="4320"/>
          </w:tcPr>
          <w:p>
            <w:r>
              <w:t>Confusion matrix (TP/FP/FN/TN)</w:t>
            </w:r>
          </w:p>
        </w:tc>
        <w:tc>
          <w:tcPr>
            <w:tcW w:type="dxa" w:w="4320"/>
          </w:tcPr>
          <w:p>
            <w:r>
              <w:t>499 / 4 / 12 / 652</w:t>
            </w:r>
          </w:p>
        </w:tc>
      </w:tr>
    </w:tbl>
    <w:p>
      <w:r>
        <w:rPr>
          <w:b w:val="0"/>
          <w:i w:val="0"/>
        </w:rPr>
        <w:t>These are computed by comparing each model’s flagged decision against the ground truth attached after the fact — the same comparison the Exhibit 14 tally performed on a small sample, now computed continuously at scale and persisted in the database.</w:t>
      </w:r>
    </w:p>
    <w:p>
      <w:pPr>
        <w:pStyle w:val="Heading2"/>
      </w:pPr>
      <w:r>
        <w:t>3.2 Decide — alerts raised</w:t>
      </w:r>
    </w:p>
    <w:p>
      <w:r>
        <w:rPr>
          <w:b w:val="0"/>
          <w:i w:val="0"/>
        </w:rPr>
        <w:t>Over the run the policy engine raised five alerts, correctly isolating the three attacker accounts and the sustained/severe ICS activity from the benign majority: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t>identity_burst</w:t>
            </w:r>
          </w:p>
        </w:tc>
        <w:tc>
          <w:tcPr>
            <w:tcW w:type="dxa" w:w="2880"/>
          </w:tcPr>
          <w:p>
            <w:r>
              <w:t>ANONYMOUS LOGON@C9999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identity_burst</w:t>
            </w:r>
          </w:p>
        </w:tc>
        <w:tc>
          <w:tcPr>
            <w:tcW w:type="dxa" w:w="2880"/>
          </w:tcPr>
          <w:p>
            <w:r>
              <w:t>ANONYMOUS LOGON@C8123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identity_burst</w:t>
            </w:r>
          </w:p>
        </w:tc>
        <w:tc>
          <w:tcPr>
            <w:tcW w:type="dxa" w:w="2880"/>
          </w:tcPr>
          <w:p>
            <w:r>
              <w:t>guest@DOM1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ics_sustained</w:t>
            </w:r>
          </w:p>
        </w:tc>
        <w:tc>
          <w:tcPr>
            <w:tcW w:type="dxa" w:w="2880"/>
          </w:tcPr>
          <w:p>
            <w:r>
              <w:t>(12 sustained ICS anomalies)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high_severity</w:t>
            </w:r>
          </w:p>
        </w:tc>
        <w:tc>
          <w:tcPr>
            <w:tcW w:type="dxa" w:w="2880"/>
          </w:tcPr>
          <w:p>
            <w:r>
              <w:t>(single extreme ICS reading)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r>
        <w:rPr>
          <w:b w:val="0"/>
          <w:i w:val="0"/>
        </w:rPr>
        <w:t>Each burst alert recorded the subject’s historical outcomes (e.g. malicious: 192, benign: 0), which the policy used to escalate severity — a decision informed by history, not only by the current score.</w:t>
      </w:r>
    </w:p>
    <w:p>
      <w:pPr>
        <w:pStyle w:val="Heading2"/>
      </w:pPr>
      <w:r>
        <w:t>3.3 Act — responses taken (audited)</w:t>
      </w:r>
    </w:p>
    <w:p>
      <w:r>
        <w:rPr>
          <w:b w:val="0"/>
          <w:i w:val="0"/>
        </w:rPr>
        <w:t>For each high-severity alert the Act layer fired and recorded its responders: a log acknowledgement, a ticket stub (with a generated reference such as SEC-8 and a descriptive title), and a webhook (cleanly skipped when no webhook URL is configured). Analysts close alerts through the API; a closed alert is suppressed from re-firing for its window.</w:t>
      </w:r>
    </w:p>
    <w:p>
      <w:pPr>
        <w:pStyle w:val="Heading2"/>
      </w:pPr>
      <w:r>
        <w:t>3.4 AI triage — grounded analyst summary</w:t>
      </w:r>
    </w:p>
    <w:p>
      <w:r>
        <w:rPr>
          <w:b w:val="0"/>
          <w:i w:val="0"/>
        </w:rPr>
        <w:t>For an identity-burst alert, the triage layer retrieved the most relevant HIPAA provisions via the fine-tuned RegMap embedder — the top match being “Unique User Identification (assign a unique name/number for identifying and tracking user identity)”, which is directly on point for a credential-based lateral-movement alert. A local language model then produced a concise, AI-generated triage (what happened, why it matters, recommended next action) grounded in those retrieved controls — recommending, for example, review of unique-user-identification policies and automatic-logoff enforcement. The retrieval and templated summary run within the deployed container; the language-model summary runs where the local model is present.</w:t>
      </w:r>
    </w:p>
    <w:p>
      <w:pPr>
        <w:pStyle w:val="Heading1"/>
      </w:pPr>
      <w:r>
        <w:t>4. The Feedback Loop Improves the Decisions</w:t>
      </w:r>
    </w:p>
    <w:p>
      <w:r>
        <w:rPr>
          <w:b w:val="0"/>
          <w:i w:val="0"/>
        </w:rPr>
        <w:t>Because ground truth is captured for each decision, the system does more than react to raw scores. A subject whose flagged logins are consistently confirmed benign is treated as a chronic false positive and its alerts are suppressed, while a subject with confirmed-malicious history is escalated. In a controlled reproduction, an identical behavioural burst raised a high-severity alert for an attacker account but was suppressed for a service account with a benign history — the alert queue stays trustworthy as the system learns from analyst/operator feedback.</w:t>
      </w:r>
    </w:p>
    <w:p>
      <w:pPr>
        <w:pStyle w:val="Heading1"/>
      </w:pPr>
      <w:r>
        <w:t>5. Reproducibility and Verifiability</w:t>
      </w:r>
    </w:p>
    <w:p>
      <w:r>
        <w:rPr>
          <w:b w:val="0"/>
          <w:i w:val="0"/>
        </w:rPr>
        <w:t>The entire platform is public and independently reproducible:</w:t>
      </w:r>
    </w:p>
    <w:p>
      <w:pPr>
        <w:pStyle w:val="ListBullet"/>
      </w:pPr>
      <w:r>
        <w:t>notebooks/08_decision_layer_record.ipynb — the Record layer and feedback/metrics loop.</w:t>
      </w:r>
    </w:p>
    <w:p>
      <w:pPr>
        <w:pStyle w:val="ListBullet"/>
      </w:pPr>
      <w:r>
        <w:t>notebooks/09_decision_layer_decide_act.ipynb — Decide and Act, including the outcome-weighted suppression.</w:t>
      </w:r>
    </w:p>
    <w:p>
      <w:pPr>
        <w:pStyle w:val="ListBullet"/>
      </w:pPr>
      <w:r>
        <w:t>tests/test_decision_layer.py — a seven-test automated suite exercising the full Record → Decide → Act pipeline on an isolated database.</w:t>
      </w:r>
    </w:p>
    <w:p>
      <w:pPr>
        <w:pStyle w:val="ListBullet"/>
      </w:pPr>
      <w:r>
        <w:t>backend/ (verdict_store.py, policy.py, actions.py, ai_triage.py, decision_api.py) — the implementation, served from the same reproducible Docker image as the detectors.</w:t>
      </w:r>
    </w:p>
    <w:p>
      <w:r>
        <w:rPr>
          <w:b/>
        </w:rPr>
        <w:t>https://github.com/samuelgtetteh/ai-cybersecurity-portfolio</w:t>
      </w:r>
    </w:p>
    <w:p>
      <w:pPr>
        <w:pStyle w:val="Heading1"/>
      </w:pPr>
      <w:r>
        <w:t>6. Significance for the “Well Positioned” Prong</w:t>
      </w:r>
    </w:p>
    <w:p>
      <w:r>
        <w:rPr>
          <w:b w:val="0"/>
          <w:i w:val="0"/>
        </w:rPr>
        <w:t>This exhibit shows that I have carried the proposed endeavor beyond building and validating individual detection models to engineering the operational system around them — recording decisions durably, prioritizing them by policy and learned history, acting on them with an auditable trail, and applying AI to accelerate analyst triage. It demonstrates end-to-end capability across research, machine learning, systems engineering, and operational security, and it reuses my own published research artifacts (the fine-tuned compliance embedder) as a component of the platform. Together with Exhibits 11–15, it is direct evidence that I am well positioned to advance this endeavor independently.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Date: July 12, 2026</w:t>
      </w:r>
    </w:p>
    <w:p>
      <w:r>
        <w:rPr>
          <w:b w:val="0"/>
          <w:i w:val="0"/>
        </w:rPr>
        <w:t>Prepared by: Samuel Gbli Tetteh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