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F3864"/>
          <w:sz w:val="32"/>
        </w:rPr>
        <w:t>Exhibit 20 — Testing Infrastructure: Target Labs for Continuous Validation</w:t>
      </w:r>
    </w:p>
    <w:p>
      <w:pPr>
        <w:spacing w:after="40"/>
        <w:jc w:val="center"/>
      </w:pPr>
      <w:r>
        <w:rPr>
          <w:b/>
        </w:rPr>
        <w:t>Petitioner: Samuel Gbli Tetteh</w:t>
      </w:r>
    </w:p>
    <w:p>
      <w:pPr>
        <w:spacing w:after="200"/>
        <w:jc w:val="center"/>
      </w:pPr>
      <w:r>
        <w:rPr>
          <w:i/>
          <w:sz w:val="21"/>
        </w:rPr>
        <w:t>NIW Proposed Endeavor — the purpose-built test harnesses I created to continuously and reproducibly validate the detection and scanning systems, now themselves released as open, standalone tools.</w:t>
      </w:r>
    </w:p>
    <w:p>
      <w:pPr>
        <w:pStyle w:val="Heading1"/>
      </w:pPr>
      <w:r>
        <w:t>1. Purpose</w:t>
      </w:r>
    </w:p>
    <w:p>
      <w:r>
        <w:rPr>
          <w:b w:val="0"/>
          <w:i w:val="0"/>
        </w:rPr>
        <w:t>Building detectors is only half of credible security engineering; you must also prove they work, continuously and against realistic activity. To do that I built two disposable 'target labs' — controlled environments that generate realistic malicious and benign activity for the systems to detect. This exhibit documents them and their current phase: both are complete, in use, and now published as open tools so the validation is reproducible by anyone.</w:t>
      </w:r>
    </w:p>
    <w:p>
      <w:pPr>
        <w:pStyle w:val="Heading1"/>
      </w:pPr>
      <w:r>
        <w:t>2. The two labs</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sz w:val="20"/>
              </w:rPr>
              <w:t>Lab</w:t>
            </w:r>
          </w:p>
        </w:tc>
        <w:tc>
          <w:tcPr>
            <w:tcW w:type="dxa" w:w="2880"/>
          </w:tcPr>
          <w:p>
            <w:r>
              <w:rPr>
                <w:b/>
                <w:sz w:val="20"/>
              </w:rPr>
              <w:t>What it does</w:t>
            </w:r>
          </w:p>
        </w:tc>
        <w:tc>
          <w:tcPr>
            <w:tcW w:type="dxa" w:w="2880"/>
          </w:tcPr>
          <w:p>
            <w:r>
              <w:rPr>
                <w:b/>
                <w:sz w:val="20"/>
              </w:rPr>
              <w:t>Validates</w:t>
            </w:r>
          </w:p>
        </w:tc>
      </w:tr>
      <w:tr>
        <w:tc>
          <w:tcPr>
            <w:tcW w:type="dxa" w:w="2880"/>
          </w:tcPr>
          <w:p>
            <w:pPr>
              <w:spacing w:after="40" w:line="240" w:lineRule="auto"/>
            </w:pPr>
            <w:r>
              <w:rPr>
                <w:sz w:val="20"/>
              </w:rPr>
              <w:t>Live Target Lab</w:t>
            </w:r>
          </w:p>
        </w:tc>
        <w:tc>
          <w:tcPr>
            <w:tcW w:type="dxa" w:w="2880"/>
          </w:tcPr>
          <w:p>
            <w:pPr>
              <w:spacing w:after="40" w:line="240" w:lineRule="auto"/>
            </w:pPr>
            <w:r>
              <w:rPr>
                <w:sz w:val="20"/>
              </w:rPr>
              <w:t>Two standing services that continuously stream synthetic-but-realistic identity login events and OT/ICS sensor readings to the live detection APIs (~15% intentionally malicious), and report the KNOWN injected label back through the feedback channel.</w:t>
            </w:r>
          </w:p>
        </w:tc>
        <w:tc>
          <w:tcPr>
            <w:tcW w:type="dxa" w:w="2880"/>
          </w:tcPr>
          <w:p>
            <w:pPr>
              <w:spacing w:after="40" w:line="240" w:lineRule="auto"/>
            </w:pPr>
            <w:r>
              <w:rPr>
                <w:sz w:val="20"/>
              </w:rPr>
              <w:t>The identity + OT/ICS detectors and the decision layer — end to end, live.</w:t>
            </w:r>
          </w:p>
        </w:tc>
      </w:tr>
      <w:tr>
        <w:tc>
          <w:tcPr>
            <w:tcW w:type="dxa" w:w="2880"/>
          </w:tcPr>
          <w:p>
            <w:pPr>
              <w:spacing w:after="40" w:line="240" w:lineRule="auto"/>
            </w:pPr>
            <w:r>
              <w:rPr>
                <w:sz w:val="20"/>
              </w:rPr>
              <w:t>Cloud Target Lab</w:t>
            </w:r>
          </w:p>
        </w:tc>
        <w:tc>
          <w:tcPr>
            <w:tcW w:type="dxa" w:w="2880"/>
          </w:tcPr>
          <w:p>
            <w:pPr>
              <w:spacing w:after="40" w:line="240" w:lineRule="auto"/>
            </w:pPr>
            <w:r>
              <w:rPr>
                <w:sz w:val="20"/>
              </w:rPr>
              <w:t>Stands up a disposable fake-AWS (LocalStack) seeded with a deliberate mix of correctly-configured and intentionally-insecure resources (public S3 bucket, SSH-open security group, admin-* IAM user, etc.).</w:t>
            </w:r>
          </w:p>
        </w:tc>
        <w:tc>
          <w:tcPr>
            <w:tcW w:type="dxa" w:w="2880"/>
          </w:tcPr>
          <w:p>
            <w:pPr>
              <w:spacing w:after="40" w:line="240" w:lineRule="auto"/>
            </w:pPr>
            <w:r>
              <w:rPr>
                <w:sz w:val="20"/>
              </w:rPr>
              <w:t>The cloud security scanner / control auditing — with known ground-truth findings to detect.</w:t>
            </w:r>
          </w:p>
        </w:tc>
      </w:tr>
    </w:tbl>
    <w:p>
      <w:pPr>
        <w:spacing w:after="40"/>
      </w:pPr>
    </w:p>
    <w:p>
      <w:pPr>
        <w:pStyle w:val="Heading1"/>
      </w:pPr>
      <w:r>
        <w:t>3. Why this is rigorous validation</w:t>
      </w:r>
    </w:p>
    <w:p>
      <w:pPr>
        <w:pStyle w:val="ListBullet"/>
      </w:pPr>
      <w:r>
        <w:t>Continuous, not one-shot: the live lab runs forever and generates fresh data each tick, closer to a real SIEM/SCADA stream than replaying a fixed dataset.</w:t>
      </w:r>
    </w:p>
    <w:p>
      <w:pPr>
        <w:pStyle w:val="ListBullet"/>
      </w:pPr>
      <w:r>
        <w:t>Ground-truth feedback loop: because each generator knows the label it injected, it reports that label back, so the platform can compute LIVE precision/recall/specificity from its own trail (the same channel a real analyst or SOAR tool would use).</w:t>
      </w:r>
    </w:p>
    <w:p>
      <w:pPr>
        <w:pStyle w:val="ListBullet"/>
      </w:pPr>
      <w:r>
        <w:t>Known-answer cloud fixtures: the cloud lab seeds a mix of secure and insecure resources, so a scanner is measured against genuine, varied findings — not an all-or-nothing fixture.</w:t>
      </w:r>
    </w:p>
    <w:p>
      <w:pPr>
        <w:pStyle w:val="ListBullet"/>
      </w:pPr>
      <w:r>
        <w:t>Safe and disposable: everything runs in throwaway containers against emulated/synthetic targets — no real accounts, no third-party systems.</w:t>
      </w:r>
    </w:p>
    <w:p>
      <w:pPr>
        <w:pStyle w:val="Heading1"/>
      </w:pPr>
      <w:r>
        <w:t>4. Published as open, standalone tools</w:t>
      </w:r>
    </w:p>
    <w:p>
      <w:r>
        <w:rPr>
          <w:b w:val="0"/>
          <w:i w:val="0"/>
        </w:rPr>
        <w:t>Both labs are released so the validation is fully reproducible:</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20"/>
              </w:rPr>
              <w:t>Lab</w:t>
            </w:r>
          </w:p>
        </w:tc>
        <w:tc>
          <w:tcPr>
            <w:tcW w:type="dxa" w:w="2160"/>
          </w:tcPr>
          <w:p>
            <w:r>
              <w:rPr>
                <w:b/>
                <w:sz w:val="20"/>
              </w:rPr>
              <w:t>GitHub</w:t>
            </w:r>
          </w:p>
        </w:tc>
        <w:tc>
          <w:tcPr>
            <w:tcW w:type="dxa" w:w="2160"/>
          </w:tcPr>
          <w:p>
            <w:r>
              <w:rPr>
                <w:b/>
                <w:sz w:val="20"/>
              </w:rPr>
              <w:t>Docker (GHCR)</w:t>
            </w:r>
          </w:p>
        </w:tc>
        <w:tc>
          <w:tcPr>
            <w:tcW w:type="dxa" w:w="2160"/>
          </w:tcPr>
          <w:p>
            <w:r>
              <w:rPr>
                <w:b/>
                <w:sz w:val="20"/>
              </w:rPr>
              <w:t>Hugging Face</w:t>
            </w:r>
          </w:p>
        </w:tc>
      </w:tr>
      <w:tr>
        <w:tc>
          <w:tcPr>
            <w:tcW w:type="dxa" w:w="2160"/>
          </w:tcPr>
          <w:p>
            <w:pPr>
              <w:spacing w:after="40" w:line="240" w:lineRule="auto"/>
            </w:pPr>
            <w:r>
              <w:rPr>
                <w:sz w:val="20"/>
              </w:rPr>
              <w:t>Live Target Lab</w:t>
            </w:r>
          </w:p>
        </w:tc>
        <w:tc>
          <w:tcPr>
            <w:tcW w:type="dxa" w:w="2160"/>
          </w:tcPr>
          <w:p>
            <w:pPr>
              <w:spacing w:after="40" w:line="240" w:lineRule="auto"/>
            </w:pPr>
            <w:r>
              <w:rPr>
                <w:sz w:val="20"/>
              </w:rPr>
              <w:t>github.com/samuelgtetteh/live-target-lab (Release v0.1)</w:t>
            </w:r>
          </w:p>
        </w:tc>
        <w:tc>
          <w:tcPr>
            <w:tcW w:type="dxa" w:w="2160"/>
          </w:tcPr>
          <w:p>
            <w:pPr>
              <w:spacing w:after="40" w:line="240" w:lineRule="auto"/>
            </w:pPr>
            <w:r>
              <w:rPr>
                <w:sz w:val="20"/>
              </w:rPr>
              <w:t>ghcr.io/samuelgtetteh/live-target-lab</w:t>
            </w:r>
          </w:p>
        </w:tc>
        <w:tc>
          <w:tcPr>
            <w:tcW w:type="dxa" w:w="2160"/>
          </w:tcPr>
          <w:p>
            <w:pPr>
              <w:spacing w:after="40" w:line="240" w:lineRule="auto"/>
            </w:pPr>
            <w:r>
              <w:rPr>
                <w:sz w:val="20"/>
              </w:rPr>
              <w:t>dataset stetteh/live-target-lab-events; Space stetteh/live-target-lab</w:t>
            </w:r>
          </w:p>
        </w:tc>
      </w:tr>
      <w:tr>
        <w:tc>
          <w:tcPr>
            <w:tcW w:type="dxa" w:w="2160"/>
          </w:tcPr>
          <w:p>
            <w:pPr>
              <w:spacing w:after="40" w:line="240" w:lineRule="auto"/>
            </w:pPr>
            <w:r>
              <w:rPr>
                <w:sz w:val="20"/>
              </w:rPr>
              <w:t>Cloud Target Lab</w:t>
            </w:r>
          </w:p>
        </w:tc>
        <w:tc>
          <w:tcPr>
            <w:tcW w:type="dxa" w:w="2160"/>
          </w:tcPr>
          <w:p>
            <w:pPr>
              <w:spacing w:after="40" w:line="240" w:lineRule="auto"/>
            </w:pPr>
            <w:r>
              <w:rPr>
                <w:sz w:val="20"/>
              </w:rPr>
              <w:t>github.com/samuelgtetteh/cloud-target-lab (Release v0.1)</w:t>
            </w:r>
          </w:p>
        </w:tc>
        <w:tc>
          <w:tcPr>
            <w:tcW w:type="dxa" w:w="2160"/>
          </w:tcPr>
          <w:p>
            <w:pPr>
              <w:spacing w:after="40" w:line="240" w:lineRule="auto"/>
            </w:pPr>
            <w:r>
              <w:rPr>
                <w:sz w:val="20"/>
              </w:rPr>
              <w:t>ghcr.io/samuelgtetteh/cloud-target-lab</w:t>
            </w:r>
          </w:p>
        </w:tc>
        <w:tc>
          <w:tcPr>
            <w:tcW w:type="dxa" w:w="2160"/>
          </w:tcPr>
          <w:p>
            <w:pPr>
              <w:spacing w:after="40" w:line="240" w:lineRule="auto"/>
            </w:pPr>
            <w:r>
              <w:rPr>
                <w:sz w:val="20"/>
              </w:rPr>
              <w:t>dataset stetteh/cloud-target-lab-scenarios; Space stetteh/cloud-target-lab</w:t>
            </w:r>
          </w:p>
        </w:tc>
      </w:tr>
    </w:tbl>
    <w:p>
      <w:pPr>
        <w:spacing w:after="40"/>
      </w:pPr>
    </w:p>
    <w:p>
      <w:pPr>
        <w:pStyle w:val="Heading1"/>
      </w:pPr>
      <w:r>
        <w:t>5. Measured results from a continuous run</w:t>
      </w:r>
    </w:p>
    <w:p>
      <w:r>
        <w:rPr>
          <w:b w:val="0"/>
          <w:i w:val="0"/>
        </w:rPr>
        <w:t>The labs are not merely demonstrable — they have been run continuously against the live platform. In a representative run recorded July 2026, the platform and both event sources ran for approximately 22 hours without interruption (restart-persistent containers), streaming synthetic identity and OT/ICS events and reporting the injected ground-truth labels back. The following are measured live from the platform's own trail (GET /decision/stats and /decision/metrics) — not re-derived or estimated:</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20"/>
              </w:rPr>
              <w:t>Quantity</w:t>
            </w:r>
          </w:p>
        </w:tc>
        <w:tc>
          <w:tcPr>
            <w:tcW w:type="dxa" w:w="4320"/>
          </w:tcPr>
          <w:p>
            <w:r>
              <w:rPr>
                <w:b/>
                <w:sz w:val="20"/>
              </w:rPr>
              <w:t>Value</w:t>
            </w:r>
          </w:p>
        </w:tc>
      </w:tr>
      <w:tr>
        <w:tc>
          <w:tcPr>
            <w:tcW w:type="dxa" w:w="4320"/>
          </w:tcPr>
          <w:p>
            <w:pPr>
              <w:spacing w:after="40" w:line="240" w:lineRule="auto"/>
            </w:pPr>
            <w:r>
              <w:rPr>
                <w:sz w:val="20"/>
              </w:rPr>
              <w:t>Continuous uptime</w:t>
            </w:r>
          </w:p>
        </w:tc>
        <w:tc>
          <w:tcPr>
            <w:tcW w:type="dxa" w:w="4320"/>
          </w:tcPr>
          <w:p>
            <w:pPr>
              <w:spacing w:after="40" w:line="240" w:lineRule="auto"/>
            </w:pPr>
            <w:r>
              <w:rPr>
                <w:sz w:val="20"/>
              </w:rPr>
              <w:t>~22 hours (backend + identity and OT/ICS event sources, all restart-persistent containers)</w:t>
            </w:r>
          </w:p>
        </w:tc>
      </w:tr>
      <w:tr>
        <w:tc>
          <w:tcPr>
            <w:tcW w:type="dxa" w:w="4320"/>
          </w:tcPr>
          <w:p>
            <w:pPr>
              <w:spacing w:after="40" w:line="240" w:lineRule="auto"/>
            </w:pPr>
            <w:r>
              <w:rPr>
                <w:sz w:val="20"/>
              </w:rPr>
              <w:t>Labelled verdicts retained</w:t>
            </w:r>
          </w:p>
        </w:tc>
        <w:tc>
          <w:tcPr>
            <w:tcW w:type="dxa" w:w="4320"/>
          </w:tcPr>
          <w:p>
            <w:pPr>
              <w:spacing w:after="40" w:line="240" w:lineRule="auto"/>
            </w:pPr>
            <w:r>
              <w:rPr>
                <w:sz w:val="20"/>
              </w:rPr>
              <w:t>100,005 of 100,009 — the trail reached its 100,000-record FIFO retention cap; ~100% labelled automatically via the feedback loop</w:t>
            </w:r>
          </w:p>
        </w:tc>
      </w:tr>
      <w:tr>
        <w:tc>
          <w:tcPr>
            <w:tcW w:type="dxa" w:w="4320"/>
          </w:tcPr>
          <w:p>
            <w:pPr>
              <w:spacing w:after="40" w:line="240" w:lineRule="auto"/>
            </w:pPr>
            <w:r>
              <w:rPr>
                <w:sz w:val="20"/>
              </w:rPr>
              <w:t>Volume by model</w:t>
            </w:r>
          </w:p>
        </w:tc>
        <w:tc>
          <w:tcPr>
            <w:tcW w:type="dxa" w:w="4320"/>
          </w:tcPr>
          <w:p>
            <w:pPr>
              <w:spacing w:after="40" w:line="240" w:lineRule="auto"/>
            </w:pPr>
            <w:r>
              <w:rPr>
                <w:sz w:val="20"/>
              </w:rPr>
              <w:t>identity: 66,201 labelled; OT/ICS: 33,824 labelled</w:t>
            </w:r>
          </w:p>
        </w:tc>
      </w:tr>
      <w:tr>
        <w:tc>
          <w:tcPr>
            <w:tcW w:type="dxa" w:w="4320"/>
          </w:tcPr>
          <w:p>
            <w:pPr>
              <w:spacing w:after="40" w:line="240" w:lineRule="auto"/>
            </w:pPr>
            <w:r>
              <w:rPr>
                <w:sz w:val="20"/>
              </w:rPr>
              <w:t>Overall precision / recall / specificity</w:t>
            </w:r>
          </w:p>
        </w:tc>
        <w:tc>
          <w:tcPr>
            <w:tcW w:type="dxa" w:w="4320"/>
          </w:tcPr>
          <w:p>
            <w:pPr>
              <w:spacing w:after="40" w:line="240" w:lineRule="auto"/>
            </w:pPr>
            <w:r>
              <w:rPr>
                <w:sz w:val="20"/>
              </w:rPr>
              <w:t>0.9961 / 0.9982 / 0.9965  (TP 47,083 · FP 183 · FN 84 · TN 52,666)</w:t>
            </w:r>
          </w:p>
        </w:tc>
      </w:tr>
      <w:tr>
        <w:tc>
          <w:tcPr>
            <w:tcW w:type="dxa" w:w="4320"/>
          </w:tcPr>
          <w:p>
            <w:pPr>
              <w:spacing w:after="40" w:line="240" w:lineRule="auto"/>
            </w:pPr>
            <w:r>
              <w:rPr>
                <w:sz w:val="20"/>
              </w:rPr>
              <w:t>Identity precision / recall / specificity</w:t>
            </w:r>
          </w:p>
        </w:tc>
        <w:tc>
          <w:tcPr>
            <w:tcW w:type="dxa" w:w="4320"/>
          </w:tcPr>
          <w:p>
            <w:pPr>
              <w:spacing w:after="40" w:line="240" w:lineRule="auto"/>
            </w:pPr>
            <w:r>
              <w:rPr>
                <w:sz w:val="20"/>
              </w:rPr>
              <w:t>1.000 / 0.998 / 1.000  (TP 42,015 · FP 0 · FN 84 · TN 24,102)</w:t>
            </w:r>
          </w:p>
        </w:tc>
      </w:tr>
      <w:tr>
        <w:tc>
          <w:tcPr>
            <w:tcW w:type="dxa" w:w="4320"/>
          </w:tcPr>
          <w:p>
            <w:pPr>
              <w:spacing w:after="40" w:line="240" w:lineRule="auto"/>
            </w:pPr>
            <w:r>
              <w:rPr>
                <w:sz w:val="20"/>
              </w:rPr>
              <w:t>OT/ICS precision / recall / specificity</w:t>
            </w:r>
          </w:p>
        </w:tc>
        <w:tc>
          <w:tcPr>
            <w:tcW w:type="dxa" w:w="4320"/>
          </w:tcPr>
          <w:p>
            <w:pPr>
              <w:spacing w:after="40" w:line="240" w:lineRule="auto"/>
            </w:pPr>
            <w:r>
              <w:rPr>
                <w:sz w:val="20"/>
              </w:rPr>
              <w:t>0.965 / 1.000 / 0.994  (TP 5,070 · FP 183 · FN 0 · TN 28,571)</w:t>
            </w:r>
          </w:p>
        </w:tc>
      </w:tr>
      <w:tr>
        <w:tc>
          <w:tcPr>
            <w:tcW w:type="dxa" w:w="4320"/>
          </w:tcPr>
          <w:p>
            <w:pPr>
              <w:spacing w:after="40" w:line="240" w:lineRule="auto"/>
            </w:pPr>
            <w:r>
              <w:rPr>
                <w:sz w:val="20"/>
              </w:rPr>
              <w:t>Response actions</w:t>
            </w:r>
          </w:p>
        </w:tc>
        <w:tc>
          <w:tcPr>
            <w:tcW w:type="dxa" w:w="4320"/>
          </w:tcPr>
          <w:p>
            <w:pPr>
              <w:spacing w:after="40" w:line="240" w:lineRule="auto"/>
            </w:pPr>
            <w:r>
              <w:rPr>
                <w:sz w:val="20"/>
              </w:rPr>
              <w:t>recorded by the Act layer (log / step-up-auth / webhook stubs) — visible in the console's Response Actions panel</w:t>
            </w:r>
          </w:p>
        </w:tc>
      </w:tr>
    </w:tbl>
    <w:p>
      <w:pPr>
        <w:spacing w:after="40"/>
      </w:pPr>
    </w:p>
    <w:p>
      <w:r>
        <w:rPr>
          <w:b w:val="0"/>
          <w:i w:val="0"/>
        </w:rPr>
        <w:t>These figures are shown directly in Section 6 below, captured from the running console and its own API endpoints.</w:t>
      </w:r>
    </w:p>
    <w:p>
      <w:r>
        <w:rPr>
          <w:b w:val="0"/>
          <w:i/>
        </w:rPr>
        <w:t>This one run validates several things simultaneously: the detectors' live accuracy against a continuous, labelled stream at scale; the ground-truth feedback loop (which let these metrics be computed directly from the database rather than tallied by hand, as in Exhibit 14); the FIFO retention design (the trail held at its ~100,000-record cap over 22 hours instead of growing without bound); and restart-persistence. It is the testing infrastructure demonstrating the very properties it was built to verify.</w:t>
      </w:r>
    </w:p>
    <w:p>
      <w:pPr>
        <w:pStyle w:val="Heading1"/>
      </w:pPr>
      <w:r>
        <w:t>6. Screenshot evidence (captured from the live system)</w:t>
      </w:r>
    </w:p>
    <w:p>
      <w:r>
        <w:rPr>
          <w:b w:val="0"/>
          <w:i w:val="0"/>
        </w:rPr>
        <w:t>The following screenshots were captured on July 17, 2026 directly from the running platform at the ~22-hour mark; they are the source of the numbers in Section 5. Figures 1–2 are the live Monitor console. Figures 3–6 are the platform's own JSON API responses (the ground truth behind the dashboard, each shown with its endpoint URL) so the results can be read raw and independently verified.</w:t>
      </w:r>
    </w:p>
    <w:p>
      <w:pPr>
        <w:keepNext/>
        <w:spacing w:before="160" w:after="40"/>
        <w:jc w:val="center"/>
      </w:pPr>
      <w:r>
        <w:drawing>
          <wp:inline xmlns:a="http://schemas.openxmlformats.org/drawingml/2006/main" xmlns:pic="http://schemas.openxmlformats.org/drawingml/2006/picture">
            <wp:extent cx="5760720" cy="2742343"/>
            <wp:docPr id="1" name="Picture 1"/>
            <wp:cNvGraphicFramePr>
              <a:graphicFrameLocks noChangeAspect="1"/>
            </wp:cNvGraphicFramePr>
            <a:graphic>
              <a:graphicData uri="http://schemas.openxmlformats.org/drawingml/2006/picture">
                <pic:pic>
                  <pic:nvPicPr>
                    <pic:cNvPr id="0" name="fig1_monitor_1031.png"/>
                    <pic:cNvPicPr/>
                  </pic:nvPicPr>
                  <pic:blipFill>
                    <a:blip r:embed="rId9"/>
                    <a:stretch>
                      <a:fillRect/>
                    </a:stretch>
                  </pic:blipFill>
                  <pic:spPr>
                    <a:xfrm>
                      <a:off x="0" y="0"/>
                      <a:ext cx="5760720" cy="2742343"/>
                    </a:xfrm>
                    <a:prstGeom prst="rect"/>
                  </pic:spPr>
                </pic:pic>
              </a:graphicData>
            </a:graphic>
          </wp:inline>
        </w:drawing>
      </w:r>
    </w:p>
    <w:p>
      <w:pPr>
        <w:spacing w:after="240" w:line="240" w:lineRule="auto"/>
        <w:jc w:val="left"/>
      </w:pPr>
      <w:r>
        <w:rPr>
          <w:b/>
          <w:sz w:val="18"/>
        </w:rPr>
        <w:t xml:space="preserve">Figure 1 — </w:t>
      </w:r>
      <w:r>
        <w:rPr>
          <w:i/>
          <w:sz w:val="18"/>
        </w:rPr>
        <w:t>Live Monitor console at 10:31:41 (100,042 events). Per-model panels: Identity 66,239 processed, precision 100.0% / recall 99.8%; OT/ICS 33,801 processed, precision 96.5% / recall 100.0%. The live decision feed, alert queue, and recorded response actions are all visible — the full Record → Decide → Act → alert pipeline running end to end.</w:t>
      </w:r>
    </w:p>
    <w:p>
      <w:pPr>
        <w:keepNext/>
        <w:spacing w:before="160" w:after="40"/>
        <w:jc w:val="center"/>
      </w:pPr>
      <w:r>
        <w:drawing>
          <wp:inline xmlns:a="http://schemas.openxmlformats.org/drawingml/2006/main" xmlns:pic="http://schemas.openxmlformats.org/drawingml/2006/picture">
            <wp:extent cx="5760720" cy="2742343"/>
            <wp:docPr id="2" name="Picture 2"/>
            <wp:cNvGraphicFramePr>
              <a:graphicFrameLocks noChangeAspect="1"/>
            </wp:cNvGraphicFramePr>
            <a:graphic>
              <a:graphicData uri="http://schemas.openxmlformats.org/drawingml/2006/picture">
                <pic:pic>
                  <pic:nvPicPr>
                    <pic:cNvPr id="0" name="fig2_monitor_1032.png"/>
                    <pic:cNvPicPr/>
                  </pic:nvPicPr>
                  <pic:blipFill>
                    <a:blip r:embed="rId10"/>
                    <a:stretch>
                      <a:fillRect/>
                    </a:stretch>
                  </pic:blipFill>
                  <pic:spPr>
                    <a:xfrm>
                      <a:off x="0" y="0"/>
                      <a:ext cx="5760720" cy="2742343"/>
                    </a:xfrm>
                    <a:prstGeom prst="rect"/>
                  </pic:spPr>
                </pic:pic>
              </a:graphicData>
            </a:graphic>
          </wp:inline>
        </w:drawing>
      </w:r>
    </w:p>
    <w:p>
      <w:pPr>
        <w:spacing w:after="240" w:line="240" w:lineRule="auto"/>
        <w:jc w:val="left"/>
      </w:pPr>
      <w:r>
        <w:rPr>
          <w:b/>
          <w:sz w:val="18"/>
        </w:rPr>
        <w:t xml:space="preserve">Figure 2 — </w:t>
      </w:r>
      <w:r>
        <w:rPr>
          <w:i/>
          <w:sz w:val="18"/>
        </w:rPr>
        <w:t>The same console 49 seconds later at 10:32:30: the event counter has advanced (100,042 → 100,096; Identity 66,239 → 66,278; OT/ICS 33,801 → 33,816) and new decisions have streamed in — demonstrating the system is genuinely live and continuously processing, not a static snapshot.</w:t>
      </w:r>
    </w:p>
    <w:p>
      <w:pPr>
        <w:keepNext/>
        <w:spacing w:before="160" w:after="40"/>
        <w:jc w:val="center"/>
      </w:pPr>
      <w:r>
        <w:drawing>
          <wp:inline xmlns:a="http://schemas.openxmlformats.org/drawingml/2006/main" xmlns:pic="http://schemas.openxmlformats.org/drawingml/2006/picture">
            <wp:extent cx="5760720" cy="432497"/>
            <wp:docPr id="3" name="Picture 3"/>
            <wp:cNvGraphicFramePr>
              <a:graphicFrameLocks noChangeAspect="1"/>
            </wp:cNvGraphicFramePr>
            <a:graphic>
              <a:graphicData uri="http://schemas.openxmlformats.org/drawingml/2006/picture">
                <pic:pic>
                  <pic:nvPicPr>
                    <pic:cNvPr id="0" name="fig3_stats.png"/>
                    <pic:cNvPicPr/>
                  </pic:nvPicPr>
                  <pic:blipFill>
                    <a:blip r:embed="rId11"/>
                    <a:stretch>
                      <a:fillRect/>
                    </a:stretch>
                  </pic:blipFill>
                  <pic:spPr>
                    <a:xfrm>
                      <a:off x="0" y="0"/>
                      <a:ext cx="5760720" cy="432497"/>
                    </a:xfrm>
                    <a:prstGeom prst="rect"/>
                  </pic:spPr>
                </pic:pic>
              </a:graphicData>
            </a:graphic>
          </wp:inline>
        </w:drawing>
      </w:r>
    </w:p>
    <w:p>
      <w:pPr>
        <w:spacing w:after="240" w:line="240" w:lineRule="auto"/>
        <w:jc w:val="left"/>
      </w:pPr>
      <w:r>
        <w:rPr>
          <w:b/>
          <w:sz w:val="18"/>
        </w:rPr>
        <w:t xml:space="preserve">Figure 3 — </w:t>
      </w:r>
      <w:r>
        <w:rPr>
          <w:i/>
          <w:sz w:val="18"/>
        </w:rPr>
        <w:t>Raw GET /decision/stats: verdicts 100,009, labeled 100,005, by model (ics 33,813 / identity 66,194 / scan 2), retention cap max_verdicts 100,000. Confirms the FIFO retention design is holding the trail at its cap over the long run.</w:t>
      </w:r>
    </w:p>
    <w:p>
      <w:pPr>
        <w:keepNext/>
        <w:spacing w:before="160" w:after="40"/>
        <w:jc w:val="center"/>
      </w:pPr>
      <w:r>
        <w:drawing>
          <wp:inline xmlns:a="http://schemas.openxmlformats.org/drawingml/2006/main" xmlns:pic="http://schemas.openxmlformats.org/drawingml/2006/picture">
            <wp:extent cx="5760720" cy="607736"/>
            <wp:docPr id="4" name="Picture 4"/>
            <wp:cNvGraphicFramePr>
              <a:graphicFrameLocks noChangeAspect="1"/>
            </wp:cNvGraphicFramePr>
            <a:graphic>
              <a:graphicData uri="http://schemas.openxmlformats.org/drawingml/2006/picture">
                <pic:pic>
                  <pic:nvPicPr>
                    <pic:cNvPr id="0" name="fig4_metrics_all.png"/>
                    <pic:cNvPicPr/>
                  </pic:nvPicPr>
                  <pic:blipFill>
                    <a:blip r:embed="rId12"/>
                    <a:stretch>
                      <a:fillRect/>
                    </a:stretch>
                  </pic:blipFill>
                  <pic:spPr>
                    <a:xfrm>
                      <a:off x="0" y="0"/>
                      <a:ext cx="5760720" cy="607736"/>
                    </a:xfrm>
                    <a:prstGeom prst="rect"/>
                  </pic:spPr>
                </pic:pic>
              </a:graphicData>
            </a:graphic>
          </wp:inline>
        </w:drawing>
      </w:r>
    </w:p>
    <w:p>
      <w:pPr>
        <w:spacing w:after="240" w:line="240" w:lineRule="auto"/>
        <w:jc w:val="left"/>
      </w:pPr>
      <w:r>
        <w:rPr>
          <w:b/>
          <w:sz w:val="18"/>
        </w:rPr>
        <w:t xml:space="preserve">Figure 4 — </w:t>
      </w:r>
      <w:r>
        <w:rPr>
          <w:i/>
          <w:sz w:val="18"/>
        </w:rPr>
        <w:t>Raw GET /decision/metrics (all models): TP 47,083 · FP 183 · FN 84 · TN 52,666, precision 0.9961, recall 0.9982, specificity 0.9965, accuracy 0.9973 — computed by the platform from its own ground-truth-labelled trail.</w:t>
      </w:r>
    </w:p>
    <w:p>
      <w:pPr>
        <w:keepNext/>
        <w:spacing w:before="160" w:after="40"/>
        <w:jc w:val="center"/>
      </w:pPr>
      <w:r>
        <w:drawing>
          <wp:inline xmlns:a="http://schemas.openxmlformats.org/drawingml/2006/main" xmlns:pic="http://schemas.openxmlformats.org/drawingml/2006/picture">
            <wp:extent cx="5760720" cy="579881"/>
            <wp:docPr id="5" name="Picture 5"/>
            <wp:cNvGraphicFramePr>
              <a:graphicFrameLocks noChangeAspect="1"/>
            </wp:cNvGraphicFramePr>
            <a:graphic>
              <a:graphicData uri="http://schemas.openxmlformats.org/drawingml/2006/picture">
                <pic:pic>
                  <pic:nvPicPr>
                    <pic:cNvPr id="0" name="fig5_metrics_identity.png"/>
                    <pic:cNvPicPr/>
                  </pic:nvPicPr>
                  <pic:blipFill>
                    <a:blip r:embed="rId13"/>
                    <a:stretch>
                      <a:fillRect/>
                    </a:stretch>
                  </pic:blipFill>
                  <pic:spPr>
                    <a:xfrm>
                      <a:off x="0" y="0"/>
                      <a:ext cx="5760720" cy="579881"/>
                    </a:xfrm>
                    <a:prstGeom prst="rect"/>
                  </pic:spPr>
                </pic:pic>
              </a:graphicData>
            </a:graphic>
          </wp:inline>
        </w:drawing>
      </w:r>
    </w:p>
    <w:p>
      <w:pPr>
        <w:spacing w:after="240" w:line="240" w:lineRule="auto"/>
        <w:jc w:val="left"/>
      </w:pPr>
      <w:r>
        <w:rPr>
          <w:b/>
          <w:sz w:val="18"/>
        </w:rPr>
        <w:t xml:space="preserve">Figure 5 — </w:t>
      </w:r>
      <w:r>
        <w:rPr>
          <w:i/>
          <w:sz w:val="18"/>
        </w:rPr>
        <w:t>Raw GET /decision/metrics?model=identity: TP 42,015 · FP 0 · FN 84 · TN 24,102, precision 1.000, recall 0.998, specificity 1.000 — zero false positives over ~66,000 labelled identity events.</w:t>
      </w:r>
    </w:p>
    <w:p>
      <w:pPr>
        <w:keepNext/>
        <w:spacing w:before="160" w:after="40"/>
        <w:jc w:val="center"/>
      </w:pPr>
      <w:r>
        <w:drawing>
          <wp:inline xmlns:a="http://schemas.openxmlformats.org/drawingml/2006/main" xmlns:pic="http://schemas.openxmlformats.org/drawingml/2006/picture">
            <wp:extent cx="5760720" cy="726500"/>
            <wp:docPr id="6" name="Picture 6"/>
            <wp:cNvGraphicFramePr>
              <a:graphicFrameLocks noChangeAspect="1"/>
            </wp:cNvGraphicFramePr>
            <a:graphic>
              <a:graphicData uri="http://schemas.openxmlformats.org/drawingml/2006/picture">
                <pic:pic>
                  <pic:nvPicPr>
                    <pic:cNvPr id="0" name="fig6_metrics_ics.png"/>
                    <pic:cNvPicPr/>
                  </pic:nvPicPr>
                  <pic:blipFill>
                    <a:blip r:embed="rId14"/>
                    <a:stretch>
                      <a:fillRect/>
                    </a:stretch>
                  </pic:blipFill>
                  <pic:spPr>
                    <a:xfrm>
                      <a:off x="0" y="0"/>
                      <a:ext cx="5760720" cy="726500"/>
                    </a:xfrm>
                    <a:prstGeom prst="rect"/>
                  </pic:spPr>
                </pic:pic>
              </a:graphicData>
            </a:graphic>
          </wp:inline>
        </w:drawing>
      </w:r>
    </w:p>
    <w:p>
      <w:pPr>
        <w:spacing w:after="240" w:line="240" w:lineRule="auto"/>
        <w:jc w:val="left"/>
      </w:pPr>
      <w:r>
        <w:rPr>
          <w:b/>
          <w:sz w:val="18"/>
        </w:rPr>
        <w:t xml:space="preserve">Figure 6 — </w:t>
      </w:r>
      <w:r>
        <w:rPr>
          <w:i/>
          <w:sz w:val="18"/>
        </w:rPr>
        <w:t>Raw GET /decision/metrics?model=ics: TP 5,070 · FP 183 · FN 0 · TN 28,571, precision 0.965, recall 1.000, specificity 0.994 — zero missed attacks over ~33,800 labelled OT/ICS readings.</w:t>
      </w:r>
    </w:p>
    <w:p>
      <w:pPr>
        <w:pStyle w:val="Heading1"/>
      </w:pPr>
      <w:r>
        <w:t>7. Significance</w:t>
      </w:r>
    </w:p>
    <w:p>
      <w:r>
        <w:rPr>
          <w:b w:val="0"/>
          <w:i w:val="0"/>
        </w:rPr>
        <w:t>Purpose-built, continuously-running, ground-truth-labelled test harnesses — released openly alongside the systems they validate — demonstrate the engineering and scientific maturity to not only build security capabilities but to prove and reproduce their effectiveness. This supports both the credibility of the results in Exhibits 11–19 and that the petitioner is well positioned to advance the endeavor to a rigorous, verifiable standard.</w:t>
      </w:r>
    </w:p>
    <w:p>
      <w:pPr>
        <w:spacing w:before="120"/>
        <w:jc w:val="left"/>
      </w:pPr>
      <w:r>
        <w:rPr>
          <w:b/>
        </w:rPr>
        <w:t xml:space="preserve">Repository: </w:t>
      </w:r>
      <w:r>
        <w:t>https://github.com/samuelgtetteh/ai-cybersecurity-portfolio</w:t>
      </w:r>
    </w:p>
    <w:p>
      <w:pPr>
        <w:spacing w:before="200"/>
        <w:jc w:val="left"/>
      </w:pPr>
      <w:r>
        <w:t>Date: July 17, 2026</w:t>
        <w:br/>
        <w:t>Prepared by: Samuel Gbli Tetteh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3864"/>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