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t xml:space="preserve">Guion de la presentación</w:t>
      </w:r>
    </w:p>
    <w:p>
      <w:pPr>
        <w:spacing w:after="140" w:line="300"/>
        <w:jc w:val="both"/>
      </w:pPr>
      <w:r>
        <w:t xml:space="preserve">Proyecto final de Estadísticas y Probabilidades · Implementación de métodos cuantitativos en contabilidad. Duración total estimada: </w:t>
      </w:r>
      <w:r>
        <w:rPr>
          <w:b/>
          <w:bCs/>
        </w:rPr>
        <w:t xml:space="preserve">14 a 16 minutos</w:t>
      </w:r>
      <w:r>
        <w:t xml:space="preserve"> para 8 diapositivas, más preguntas. Las cifras provienen de las asignaciones I, II y III y de los cálculos complementarios del informe.</w:t>
      </w:r>
    </w:p>
    <w:p>
      <w:pPr>
        <w:spacing w:after="140" w:line="300"/>
        <w:jc w:val="both"/>
      </w:pPr>
      <w:r>
        <w:t xml:space="preserve">El texto entre comillas es lo que se dice; puede leerse de base y decirse con palabras propias. Los apartados «Señalar» indican qué mostrar en la diapositiva mientras se habla. Se pueden repartir así: diapositivas 1 a 3, 4, 5 y 6, y 7 y 8.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1 · Portada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1 minuto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«Buenos días, profesora y compañeros. Presentamos el proyecto final de Estadísticas y Probabilidades: la implementación de métodos cuantitativos en contabilidad.»</w:t>
      </w:r>
    </w:p>
    <w:p>
      <w:pPr>
        <w:spacing w:after="140" w:line="300"/>
        <w:jc w:val="both"/>
      </w:pPr>
      <w:r>
        <w:t xml:space="preserve">«Integramos tres trabajos de la cátedra: la estructura de salarios de una manufacturera, las ventas de dos sucursales y el control de calidad de una planta. La pregunta que los une es cómo se traduce la estadística en decisiones de presupuesto, costos y control.»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título y los tres temas que se van a integrar.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2 · Un problema, tres casos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1 minuto y medio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«El contador trabaja con cifras que varían: salarios, ventas y costos de calidad. Si solo mira el promedio, puede subestimar el riesgo. Por eso planteamos como objetivo general analizar cómo se aplican los métodos cuantitativos en contabilidad, integrando tres casos.»</w:t>
      </w:r>
    </w:p>
    <w:p>
      <w:pPr>
        <w:spacing w:after="140" w:line="300"/>
        <w:jc w:val="both"/>
      </w:pPr>
      <w:r>
        <w:t xml:space="preserve">«El </w:t>
      </w:r>
      <w:r>
        <w:rPr>
          <w:b/>
          <w:bCs/>
        </w:rPr>
        <w:t xml:space="preserve">primero</w:t>
      </w:r>
      <w:r>
        <w:t xml:space="preserve"> es la estructura salarial de 50 empleados operativos, que se traduce en el presupuesto de nómina. El </w:t>
      </w:r>
      <w:r>
        <w:rPr>
          <w:b/>
          <w:bCs/>
        </w:rPr>
        <w:t xml:space="preserve">segundo</w:t>
      </w:r>
      <w:r>
        <w:t xml:space="preserve"> compara las ventas diarias de Caracas y Maracaibo durante 30 días, y se traduce en el presupuesto de ingresos y la liquidez. El </w:t>
      </w:r>
      <w:r>
        <w:rPr>
          <w:b/>
          <w:bCs/>
        </w:rPr>
        <w:t xml:space="preserve">tercero</w:t>
      </w:r>
      <w:r>
        <w:t xml:space="preserve"> es el control de calidad de una planta de electrónicos, que se traduce en costos de calidad y tiempos estándar.»</w:t>
      </w:r>
    </w:p>
    <w:p>
      <w:pPr>
        <w:spacing w:after="140" w:line="300"/>
        <w:jc w:val="both"/>
      </w:pPr>
      <w:r>
        <w:t xml:space="preserve">«Para cada caso retomamos los resultados de las asignaciones y añadimos cálculos con enfoque contable en Excel. Aclaramos que, de la Asignación II, usamos las medidas resumen y no los datos diarios.»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tres tarjetas, de izquierda a derecha.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 pregunta central en la franja inferior.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3 · Tarea 1: la nómina en números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2 minutos y medio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«Con los 50 salarios mensuales, entre 1,2 y 2,4 millones de bolívares, usamos la regla de Sturges: siete intervalos de 0,18. En el histograma, la clase modal es de 1,74 a 1,92, con 11 empleados, y la moda calculada es de </w:t>
      </w:r>
      <w:r>
        <w:rPr>
          <w:b/>
          <w:bCs/>
        </w:rPr>
        <w:t xml:space="preserve">1,77 millones</w:t>
      </w:r>
      <w:r>
        <w:t xml:space="preserve">.»</w:t>
      </w:r>
    </w:p>
    <w:p>
      <w:pPr>
        <w:spacing w:after="140" w:line="300"/>
        <w:jc w:val="both"/>
      </w:pPr>
      <w:r>
        <w:t xml:space="preserve">«Con los datos originales, la media es de </w:t>
      </w:r>
      <w:r>
        <w:rPr>
          <w:b/>
          <w:bCs/>
        </w:rPr>
        <w:t xml:space="preserve">1,794</w:t>
      </w:r>
      <w:r>
        <w:t xml:space="preserve">, la mediana de 1,80 y el coeficiente de variación de </w:t>
      </w:r>
      <w:r>
        <w:rPr>
          <w:b/>
          <w:bCs/>
        </w:rPr>
        <w:t xml:space="preserve">16,6 %</w:t>
      </w:r>
      <w:r>
        <w:t xml:space="preserve">. Como media, mediana y moda casi coinciden, la distribución es simétrica y la dispersión es moderada.»</w:t>
      </w:r>
    </w:p>
    <w:p>
      <w:pPr>
        <w:spacing w:after="140" w:line="300"/>
        <w:jc w:val="both"/>
      </w:pPr>
      <w:r>
        <w:t xml:space="preserve">«Desde el punto de vista contable, la nómina base suma </w:t>
      </w:r>
      <w:r>
        <w:rPr>
          <w:b/>
          <w:bCs/>
        </w:rPr>
        <w:t xml:space="preserve">89,7 millones de bolívares al mes</w:t>
      </w:r>
      <w:r>
        <w:t xml:space="preserve">, unos 1.076,4 al año. Sobre ese salario se calculan los pasivos laborales que establece la ley: prestaciones sociales, utilidades, vacaciones y bono vacacional.»</w:t>
      </w:r>
    </w:p>
    <w:p>
      <w:pPr>
        <w:spacing w:after="140" w:line="300"/>
        <w:jc w:val="both"/>
      </w:pPr>
      <w:r>
        <w:t xml:space="preserve">«La Asignación I recomendó revisar la banda inferior. Si los 12 empleados que ganan menos de 1,56 pasaran a 1,77, el costo sería de </w:t>
      </w:r>
      <w:r>
        <w:rPr>
          <w:b/>
          <w:bCs/>
        </w:rPr>
        <w:t xml:space="preserve">4,44 millones al mes</w:t>
      </w:r>
      <w:r>
        <w:t xml:space="preserve">, un 4,95 % de la nómina. Esa cifra permite decidir con datos.»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histograma: barra naranja (clase modal) y línea de la media.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cuatro tarjetas de la derecha.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4 · Tarea 2: ventas y riesgo de caja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2 minutos y medio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«Comparamos las ventas diarias de dos sucursales durante 30 días. Caracas vende en promedio </w:t>
      </w:r>
      <w:r>
        <w:rPr>
          <w:b/>
          <w:bCs/>
        </w:rPr>
        <w:t xml:space="preserve">9,38 millones al día</w:t>
      </w:r>
      <w:r>
        <w:t xml:space="preserve"> y Maracaibo 8,91: Caracas vende un 5,3 % más. Pero la diferencia importante está en la dispersión.»</w:t>
      </w:r>
    </w:p>
    <w:p>
      <w:pPr>
        <w:spacing w:after="140" w:line="300"/>
        <w:jc w:val="both"/>
      </w:pPr>
      <w:r>
        <w:t xml:space="preserve">«El coeficiente de variación de Caracas es </w:t>
      </w:r>
      <w:r>
        <w:rPr>
          <w:b/>
          <w:bCs/>
        </w:rPr>
        <w:t xml:space="preserve">8,66 %</w:t>
      </w:r>
      <w:r>
        <w:t xml:space="preserve">, baja variabilidad, y el de Maracaibo es </w:t>
      </w:r>
      <w:r>
        <w:rPr>
          <w:b/>
          <w:bCs/>
        </w:rPr>
        <w:t xml:space="preserve">40,78 %</w:t>
      </w:r>
      <w:r>
        <w:t xml:space="preserve">, casi cinco veces mayor. En el diagrama de caja se ve que la de Caracas es angosta y la de Maracaibo es muy ancha. Además, en Maracaibo la mediana es de 6,90 frente a una media de 8,91: hay días bajos y días muy altos, y la media no describe un día típico.»</w:t>
      </w:r>
    </w:p>
    <w:p>
      <w:pPr>
        <w:spacing w:after="140" w:line="300"/>
        <w:jc w:val="both"/>
      </w:pPr>
      <w:r>
        <w:t xml:space="preserve">«¿Qué significa esto para el presupuesto? El nivel de ventas que se supera nueve de cada diez días, el decil 1, es el </w:t>
      </w:r>
      <w:r>
        <w:rPr>
          <w:b/>
          <w:bCs/>
        </w:rPr>
        <w:t xml:space="preserve">89,5 %</w:t>
      </w:r>
      <w:r>
        <w:t xml:space="preserve"> de la media en Caracas y solo el </w:t>
      </w:r>
      <w:r>
        <w:rPr>
          <w:b/>
          <w:bCs/>
        </w:rPr>
        <w:t xml:space="preserve">62,8 %</w:t>
      </w:r>
      <w:r>
        <w:t xml:space="preserve"> en Maracaibo. Por eso los compromisos fijos diarios, como nómina, alquileres y proveedores, se deben dimensionar contra el decil 1 y no contra la media.»</w:t>
      </w:r>
    </w:p>
    <w:p>
      <w:pPr>
        <w:spacing w:after="140" w:line="300"/>
        <w:jc w:val="both"/>
      </w:pPr>
      <w:r>
        <w:t xml:space="preserve">«Para el total del mes, con un intervalo de 95 %, Caracas varía ±3,1 % y Maracaibo ±14,6 %. Maracaibo necesita un presupuesto con escenarios pesimista, base y optimista, y un fondo de contingencia.»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dos cajas del diagrama y los rombos de la media.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tres tarjetas, comparando Caracas con Maracaibo.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5 · Tarea 3: defectos por lote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2 minutos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«En la planta de electrónicos, la tasa de defectos es de 3 % y se producen 200 unidades al día. El número de defectuosas por lote es un conteo de éxitos en ensayos independientes, así que usamos la </w:t>
      </w:r>
      <w:r>
        <w:rPr>
          <w:b/>
          <w:bCs/>
        </w:rPr>
        <w:t xml:space="preserve">distribución binomial</w:t>
      </w:r>
      <w:r>
        <w:t xml:space="preserve"> con n igual a 200 y p igual a 0,03.»</w:t>
      </w:r>
    </w:p>
    <w:p>
      <w:pPr>
        <w:spacing w:after="140" w:line="300"/>
        <w:jc w:val="both"/>
      </w:pPr>
      <w:r>
        <w:t xml:space="preserve">«Se esperan </w:t>
      </w:r>
      <w:r>
        <w:rPr>
          <w:b/>
          <w:bCs/>
        </w:rPr>
        <w:t xml:space="preserve">6 defectos por lote</w:t>
      </w:r>
      <w:r>
        <w:t xml:space="preserve">, con una desviación estándar de 2,41. La probabilidad de exactamente 5 defectos es </w:t>
      </w:r>
      <w:r>
        <w:rPr>
          <w:b/>
          <w:bCs/>
        </w:rPr>
        <w:t xml:space="preserve">16,22 %</w:t>
      </w:r>
      <w:r>
        <w:t xml:space="preserve">, y la de 6 o más es </w:t>
      </w:r>
      <w:r>
        <w:rPr>
          <w:b/>
          <w:bCs/>
        </w:rPr>
        <w:t xml:space="preserve">55,68 %</w:t>
      </w:r>
      <w:r>
        <w:t xml:space="preserve">: más de la mitad de los lotes iguala o supera el promedio. Los lotes de 10 o más defectos ocurren el 8,08 % de los días.»</w:t>
      </w:r>
    </w:p>
    <w:p>
      <w:pPr>
        <w:spacing w:after="140" w:line="300"/>
        <w:jc w:val="both"/>
      </w:pPr>
      <w:r>
        <w:t xml:space="preserve">«El vínculo contable es el costo de calidad. Si C es el costo promedio de una unidad defectuosa, el costo esperado de fallas por lote es </w:t>
      </w:r>
      <w:r>
        <w:rPr>
          <w:b/>
          <w:bCs/>
        </w:rPr>
        <w:t xml:space="preserve">6C</w:t>
      </w:r>
      <w:r>
        <w:t xml:space="preserve">. Bajar la tasa de 3 % a 2 % reduce ese costo a 4C, un tercio menos, así que la inversión en prevención se justifica si cuesta menos de 2C por lote.»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barras: azul (3 o menos), naranja (exactamente 5) y verde (6 o más).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marcador del valor esperado en k = 6.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6 · Tarea 3: tiempos de procesamiento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2 minutos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«Los tiempos de procesamiento son aproximadamente normales, con media de 45 minutos y desviación estándar de 8. Con la tabla normal estándar obtenemos que 37 y 53 minutos corresponden a z igual a menos 1 y a más 1.»</w:t>
      </w:r>
    </w:p>
    <w:p>
      <w:pPr>
        <w:spacing w:after="140" w:line="300"/>
        <w:jc w:val="both"/>
      </w:pPr>
      <w:r>
        <w:t xml:space="preserve">«La probabilidad de que una unidad tarde entre 37 y 53 minutos es de </w:t>
      </w:r>
      <w:r>
        <w:rPr>
          <w:b/>
          <w:bCs/>
        </w:rPr>
        <w:t xml:space="preserve">68,27 %</w:t>
      </w:r>
      <w:r>
        <w:t xml:space="preserve">. Un 15,87 % tarda menos de 37 minutos y otro 15,87 % más de 53, unas 32 unidades al día. El 10 % más rápido se procesa en menos de </w:t>
      </w:r>
      <w:r>
        <w:rPr>
          <w:b/>
          <w:bCs/>
        </w:rPr>
        <w:t xml:space="preserve">34,75 minutos</w:t>
      </w:r>
      <w:r>
        <w:t xml:space="preserve"> y el 90 % de las unidades termina en </w:t>
      </w:r>
      <w:r>
        <w:rPr>
          <w:b/>
          <w:bCs/>
        </w:rPr>
        <w:t xml:space="preserve">55,25 minutos</w:t>
      </w:r>
      <w:r>
        <w:t xml:space="preserve"> o menos.»</w:t>
      </w:r>
    </w:p>
    <w:p>
      <w:pPr>
        <w:spacing w:after="140" w:line="300"/>
        <w:jc w:val="both"/>
      </w:pPr>
      <w:r>
        <w:t xml:space="preserve">«En términos contables, el tiempo medio fija el estándar de mano de obra: 200 unidades por 45 minutos son 150 horas al día. Un estándar basado en el percentil 90 da una holgura de </w:t>
      </w:r>
      <w:r>
        <w:rPr>
          <w:b/>
          <w:bCs/>
        </w:rPr>
        <w:t xml:space="preserve">22,8 %</w:t>
      </w:r>
      <w:r>
        <w:t xml:space="preserve"> sobre la media, útil para presupuestar; el percentil 10 sirve como estándar ideal de referencia.»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 campana, con la media y las líneas de una, dos y tres desviaciones.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Los triángulos rojos en los percentiles 10 y 90.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7 · La variabilidad, eje común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1 minuto y medio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«Para integrar los tres casos usamos una misma medida: el coeficiente de variación. Dos variables tienen variabilidad alta: las ventas de Maracaibo, con 40,8 %, y los defectos por lote, con 40,2 %. Dos tienen variabilidad moderada: los salarios, con 16,6 %, y los tiempos de procesamiento, con 17,8 %. Y una tiene variabilidad baja: las ventas de Caracas, con 8,7 %.»</w:t>
      </w:r>
    </w:p>
    <w:p>
      <w:pPr>
        <w:spacing w:after="140" w:line="300"/>
        <w:jc w:val="both"/>
      </w:pPr>
      <w:r>
        <w:t xml:space="preserve">«De aquí salen tres lecciones. </w:t>
      </w:r>
      <w:r>
        <w:rPr>
          <w:b/>
          <w:bCs/>
        </w:rPr>
        <w:t xml:space="preserve">Primera</w:t>
      </w:r>
      <w:r>
        <w:t xml:space="preserve">, la media no basta: dos sucursales con ventas promedio parecidas pueden tener una variabilidad casi cinco veces distinta. </w:t>
      </w:r>
      <w:r>
        <w:rPr>
          <w:b/>
          <w:bCs/>
        </w:rPr>
        <w:t xml:space="preserve">Segunda</w:t>
      </w:r>
      <w:r>
        <w:t xml:space="preserve">, la forma de la distribución importa: es simétrica en salarios, asimétrica en defectos y bimodal en Maracaibo. </w:t>
      </w:r>
      <w:r>
        <w:rPr>
          <w:b/>
          <w:bCs/>
        </w:rPr>
        <w:t xml:space="preserve">Tercera</w:t>
      </w:r>
      <w:r>
        <w:t xml:space="preserve">, la variabilidad se traduce en dinero: reservas de liquidez, provisiones y holguras en los estándares.»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barras de colores y las líneas de 15 % y 30 %.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tres lecciones de la derecha.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8 · Conclusiones y recomendaciones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2 minutos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«En conclusión, los métodos cuantitativos son una herramienta de la contabilidad. Permiten presupuestar con intervalos y escenarios en lugar de cifras únicas, dimensionar reservas y provisiones con un nivel de prudencia explícito, y evaluar decisiones por su costo.»</w:t>
      </w:r>
    </w:p>
    <w:p>
      <w:pPr>
        <w:spacing w:after="140" w:line="300"/>
        <w:jc w:val="both"/>
      </w:pPr>
      <w:r>
        <w:t xml:space="preserve">«Recomendamos cuatro acciones. Primero, presupuestar con escenarios cuando el coeficiente de variación supere 30 %. Segundo, usar gráficos de control np en la calidad, con alerta desde 10 defectos y acción desde 14. Tercero, valorar cada mejora por su efecto esperado antes de aprobarla. Y cuarto, mantener un plan de seguimiento con indicadores, umbrales y responsables.»</w:t>
      </w:r>
    </w:p>
    <w:p>
      <w:pPr>
        <w:spacing w:after="140" w:line="300"/>
        <w:jc w:val="both"/>
      </w:pPr>
      <w:r>
        <w:t xml:space="preserve">«Reconocemos las limitaciones: las muestras son pequeñas, usamos medidas resumen en la Asignación II y los costos de calidad están expresados en función de C. Con datos completos se podría extender el análisis. Muchas gracias; quedamos atentos a sus preguntas.»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tres conclusiones de la izquierda.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cuatro recomendaciones numeradas.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Posibles preguntas y cómo responderlas</w:t>
      </w:r>
    </w:p>
    <w:p>
      <w:pPr>
        <w:keepNext/>
        <w:spacing w:after="60" w:before="160"/>
      </w:pPr>
      <w:r>
        <w:rPr>
          <w:b/>
          <w:bCs/>
        </w:rPr>
        <w:t xml:space="preserve">¿Por qué se usa la distribución binomial para los defectos?</w:t>
      </w:r>
    </w:p>
    <w:p>
      <w:pPr>
        <w:spacing w:after="140" w:line="300"/>
        <w:jc w:val="both"/>
      </w:pPr>
      <w:r>
        <w:t xml:space="preserve">Porque el número de unidades defectuosas en un lote es un conteo de éxitos en n ensayos independientes, con probabilidad constante p. Aquí n es 200 y p es 0,03, de modo que la media es n por p, igual a 6.</w:t>
      </w:r>
    </w:p>
    <w:p>
      <w:pPr>
        <w:keepNext/>
        <w:spacing w:after="60" w:before="160"/>
      </w:pPr>
      <w:r>
        <w:rPr>
          <w:b/>
          <w:bCs/>
        </w:rPr>
        <w:t xml:space="preserve">¿Qué es el coeficiente de variación y por qué se usa?</w:t>
      </w:r>
    </w:p>
    <w:p>
      <w:pPr>
        <w:spacing w:after="140" w:line="300"/>
        <w:jc w:val="both"/>
      </w:pPr>
      <w:r>
        <w:t xml:space="preserve">Es la desviación estándar dividida entre la media, expresada en porcentaje. Permite comparar la variabilidad de variables con unidades y magnitudes distintas, como salarios, ventas, minutos y defectos.</w:t>
      </w:r>
    </w:p>
    <w:p>
      <w:pPr>
        <w:keepNext/>
        <w:spacing w:after="60" w:before="160"/>
      </w:pPr>
      <w:r>
        <w:rPr>
          <w:b/>
          <w:bCs/>
        </w:rPr>
        <w:t xml:space="preserve">¿Por qué dimensionar los compromisos fijos con el decil 1 y no con la media?</w:t>
      </w:r>
    </w:p>
    <w:p>
      <w:pPr>
        <w:spacing w:after="140" w:line="300"/>
        <w:jc w:val="both"/>
      </w:pPr>
      <w:r>
        <w:t xml:space="preserve">Porque el decil 1 es el nivel de ventas que se supera 9 de cada 10 días. Si los compromisos se calculan con la media, en muchos días las ventas no los cubren, sobre todo en una sucursal tan variable como Maracaibo.</w:t>
      </w:r>
    </w:p>
    <w:p>
      <w:pPr>
        <w:keepNext/>
        <w:spacing w:after="60" w:before="160"/>
      </w:pPr>
      <w:r>
        <w:rPr>
          <w:b/>
          <w:bCs/>
        </w:rPr>
        <w:t xml:space="preserve">¿Qué supuesto tiene el intervalo del total mensual?</w:t>
      </w:r>
    </w:p>
    <w:p>
      <w:pPr>
        <w:spacing w:after="140" w:line="300"/>
        <w:jc w:val="both"/>
      </w:pPr>
      <w:r>
        <w:t xml:space="preserve">Supone que las ventas de días distintos son independientes y aplica la distribución normal a la suma de 30 días. Como las ventas de Maracaibo siguen un ciclo, es una referencia para armar escenarios y no una predicción.</w:t>
      </w:r>
    </w:p>
    <w:p>
      <w:pPr>
        <w:keepNext/>
        <w:spacing w:after="60" w:before="160"/>
      </w:pPr>
      <w:r>
        <w:rPr>
          <w:b/>
          <w:bCs/>
        </w:rPr>
        <w:t xml:space="preserve">¿Qué es C en los costos de calidad?</w:t>
      </w:r>
    </w:p>
    <w:p>
      <w:pPr>
        <w:spacing w:after="140" w:line="300"/>
        <w:jc w:val="both"/>
      </w:pPr>
      <w:r>
        <w:t xml:space="preserve">Es el costo promedio de una unidad defectuosa (reproceso, descarte o garantía). No se dispone del monto real, por lo que los costos se expresan en múltiplos de C; con el dato, se convierten en cifras en bolívares.</w:t>
      </w:r>
    </w:p>
    <w:p>
      <w:pPr>
        <w:keepNext/>
        <w:spacing w:after="60" w:before="160"/>
      </w:pPr>
      <w:r>
        <w:rPr>
          <w:b/>
          <w:bCs/>
        </w:rPr>
        <w:t xml:space="preserve">¿Cómo se relaciona esto con la auditoría?</w:t>
      </w:r>
    </w:p>
    <w:p>
      <w:pPr>
        <w:spacing w:after="140" w:line="300"/>
        <w:jc w:val="both"/>
      </w:pPr>
      <w:r>
        <w:t xml:space="preserve">La NIA 520 usa procedimientos analíticos, en los que se construye una expectativa y se acepta una diferencia tolerable, y la NIA 530 usa muestreo, en el que la tasa de desviación de una muestra se compara con una tasa tolerable. Ambos se apoyan en la dispersión y en la probabilidad.</w:t>
      </w:r>
    </w:p>
    <w:p>
      <w:pPr>
        <w:keepNext/>
        <w:spacing w:after="60" w:before="160"/>
      </w:pPr>
      <w:r>
        <w:rPr>
          <w:b/>
          <w:bCs/>
        </w:rPr>
        <w:t xml:space="preserve">¿Qué limitaciones tiene el proyecto?</w:t>
      </w:r>
    </w:p>
    <w:p>
      <w:pPr>
        <w:spacing w:after="140" w:line="300"/>
        <w:jc w:val="both"/>
      </w:pPr>
      <w:r>
        <w:t xml:space="preserve">Las muestras son pequeñas, de la Asignación II se usaron las medidas resumen, los modelos suponen independencia y probabilidad constante, y los casos son de empresas distintas, por lo que la integración es metodológica.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5B57"/>
        <w:sz w:val="18"/>
        <w:szCs w:val="18"/>
      </w:rPr>
      <w:t xml:space="preserve">Estadísticas y Probabilidades · Guion · </w:t>
    </w:r>
    <w:r>
      <w:rPr>
        <w:color w:val="5B5B5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 Narrow" w:cs="Arial Narrow" w:eastAsia="Arial Narrow" w:hAnsi="Arial Narrow"/>
      <w:b/>
      <w:bCs/>
      <w:color w:val="0F0F0E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 Narrow" w:cs="Arial Narrow" w:eastAsia="Arial Narrow" w:hAnsi="Arial Narrow"/>
      <w:b/>
      <w:bCs/>
      <w:color w:val="0F0F0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2026-10-12T01:07:55.084Z</dcterms:created>
  <dcterms:modified xsi:type="dcterms:W3CDTF">2026-10-12T01:07:55.084Z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