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120"/>
      </w:pPr>
      <w:r>
        <w:t xml:space="preserve">Guion de la presentación</w:t>
      </w:r>
    </w:p>
    <w:p>
      <w:pPr>
        <w:spacing w:after="140" w:line="300"/>
        <w:jc w:val="both"/>
      </w:pPr>
      <w:r>
        <w:t xml:space="preserve">Proyecto final de Auditoría I · Auditoría financiera de Bookeaa, C.A. Duración total estimada: </w:t>
      </w:r>
      <w:r>
        <w:rPr>
          <w:b/>
          <w:bCs/>
        </w:rPr>
        <w:t xml:space="preserve">12 a 14 minutos</w:t>
      </w:r>
      <w:r>
        <w:t xml:space="preserve"> para 8 diapositivas, más preguntas. Las cifras están modificadas por confidencialidad; conviene decirlo una vez, al presentar la entidad.</w:t>
      </w:r>
    </w:p>
    <w:p>
      <w:pPr>
        <w:spacing w:after="140" w:line="300"/>
        <w:jc w:val="both"/>
      </w:pPr>
      <w:r>
        <w:t xml:space="preserve">El texto entre comillas es lo que se dice; puede leerse de base y decirse con palabras propias. Los apartados «Señalar» indican qué mostrar en la diapositiva mientras se habla. Una forma de repartir: diapositivas 1 a 3, 4 y 5, 6 y 7, y 8.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1 · Portada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1 minuto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«Buenos días, profesora y compañeros. Vamos a presentar nuestro proyecto final de Auditoría I: una auditoría financiera aplicada a Bookeaa, C.A., una empresa venezolana de software por suscripción.»</w:t>
      </w:r>
    </w:p>
    <w:p>
      <w:pPr>
        <w:spacing w:after="140" w:line="300"/>
        <w:jc w:val="both"/>
      </w:pPr>
      <w:r>
        <w:t xml:space="preserve">«Vamos a recorrer las tres fases de la auditoría que establecen las Normas Internacionales de Auditoría: la planificación, la ejecución y la presentación de resultados, con ejemplos prácticos de los papeles de trabajo de cada una.»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 título y el nombre de la entidad.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2 · La entidad auditada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1 minuto y medio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«Bookeaa es una plataforma digital para que salones de belleza, barberías y centros de estética reciban reservas de citas en línea. Cobra una suscripción mensual de $12 y cerró su primer ejercicio con unos 78 negocios que pagan.»</w:t>
      </w:r>
    </w:p>
    <w:p>
      <w:pPr>
        <w:spacing w:after="140" w:line="300"/>
        <w:jc w:val="both"/>
      </w:pPr>
      <w:r>
        <w:t xml:space="preserve">«Auditamos los estados financieros del ejercicio terminado el 30 de septiembre de 2027, preparados con VEN-NIF PYME, y aplicamos las NIA adoptadas en Venezuela. Aclaramos que, por confidencialidad, las cifras son ilustrativas.»</w:t>
      </w:r>
    </w:p>
    <w:p>
      <w:pPr>
        <w:spacing w:after="140" w:line="300"/>
        <w:jc w:val="both"/>
      </w:pPr>
      <w:r>
        <w:t xml:space="preserve">«Las cifras principales son: ingresos por </w:t>
      </w:r>
      <w:r>
        <w:rPr>
          <w:b/>
          <w:bCs/>
        </w:rPr>
        <w:t xml:space="preserve">$5.766</w:t>
      </w:r>
      <w:r>
        <w:t xml:space="preserve">, resultado neto de </w:t>
      </w:r>
      <w:r>
        <w:rPr>
          <w:b/>
          <w:bCs/>
        </w:rPr>
        <w:t xml:space="preserve">$1.151</w:t>
      </w:r>
      <w:r>
        <w:t xml:space="preserve">, activo total de </w:t>
      </w:r>
      <w:r>
        <w:rPr>
          <w:b/>
          <w:bCs/>
        </w:rPr>
        <w:t xml:space="preserve">$3.760</w:t>
      </w:r>
      <w:r>
        <w:t xml:space="preserve"> y patrimonio de </w:t>
      </w:r>
      <w:r>
        <w:rPr>
          <w:b/>
          <w:bCs/>
        </w:rPr>
        <w:t xml:space="preserve">$3.151</w:t>
      </w:r>
      <w:r>
        <w:t xml:space="preserve">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lista de marco contable, normas y período.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cuatro cifras de la derecha.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3 · Una auditoría en tres fases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1 minuto y medio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«El encargo se organizó en tres fases. La </w:t>
      </w:r>
      <w:r>
        <w:rPr>
          <w:b/>
          <w:bCs/>
        </w:rPr>
        <w:t xml:space="preserve">planificación</w:t>
      </w:r>
      <w:r>
        <w:t xml:space="preserve">, en agosto de 2027, con las NIA 200 a 450: oferta de servicios, control interno, riesgos, materialidad y programas de trabajo.»</w:t>
      </w:r>
    </w:p>
    <w:p>
      <w:pPr>
        <w:spacing w:after="140" w:line="300"/>
        <w:jc w:val="both"/>
      </w:pPr>
      <w:r>
        <w:t xml:space="preserve">«La </w:t>
      </w:r>
      <w:r>
        <w:rPr>
          <w:b/>
          <w:bCs/>
        </w:rPr>
        <w:t xml:space="preserve">ejecución</w:t>
      </w:r>
      <w:r>
        <w:t xml:space="preserve">, en septiembre y octubre, con las NIA 500 a 699: pruebas de control y pruebas sustantivas, documentadas en cédulas.»</w:t>
      </w:r>
    </w:p>
    <w:p>
      <w:pPr>
        <w:spacing w:after="140" w:line="300"/>
        <w:jc w:val="both"/>
      </w:pPr>
      <w:r>
        <w:t xml:space="preserve">«Y la </w:t>
      </w:r>
      <w:r>
        <w:rPr>
          <w:b/>
          <w:bCs/>
        </w:rPr>
        <w:t xml:space="preserve">presentación de resultados</w:t>
      </w:r>
      <w:r>
        <w:t xml:space="preserve">, en noviembre, con las NIA 700 a 799: la formación de la opinión, el informe del auditor independiente y la carta a la gerencia.»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Cada tarjeta mientras se nombra su fase.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4 · Oferta de servicios y control interno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«Según la NIA 210, antes de aceptar el encargo acordamos sus términos en una </w:t>
      </w:r>
      <w:r>
        <w:rPr>
          <w:b/>
          <w:bCs/>
        </w:rPr>
        <w:t xml:space="preserve">oferta de servicios</w:t>
      </w:r>
      <w:r>
        <w:t xml:space="preserve">. Allí se definen el objetivo y el alcance de la auditoría, las responsabilidades de la dirección y del auditor, y el cronograma de agosto a noviembre. Estimamos </w:t>
      </w:r>
      <w:r>
        <w:rPr>
          <w:b/>
          <w:bCs/>
        </w:rPr>
        <w:t xml:space="preserve">84 horas</w:t>
      </w:r>
      <w:r>
        <w:t xml:space="preserve"> de trabajo y honorarios de </w:t>
      </w:r>
      <w:r>
        <w:rPr>
          <w:b/>
          <w:bCs/>
        </w:rPr>
        <w:t xml:space="preserve">$1.260</w:t>
      </w:r>
      <w:r>
        <w:t xml:space="preserve">, con un equipo de tres auditores.»</w:t>
      </w:r>
    </w:p>
    <w:p>
      <w:pPr>
        <w:spacing w:after="140" w:line="300"/>
        <w:jc w:val="both"/>
      </w:pPr>
      <w:r>
        <w:t xml:space="preserve">«Luego evaluamos el </w:t>
      </w:r>
      <w:r>
        <w:rPr>
          <w:b/>
          <w:bCs/>
        </w:rPr>
        <w:t xml:space="preserve">control interno</w:t>
      </w:r>
      <w:r>
        <w:t xml:space="preserve"> según la NIA 315 y los cinco componentes del COSO. En el cuestionario del ciclo de ingresos y cobros obtuvimos </w:t>
      </w:r>
      <w:r>
        <w:rPr>
          <w:b/>
          <w:bCs/>
        </w:rPr>
        <w:t xml:space="preserve">9 respuestas afirmativas de 10</w:t>
      </w:r>
      <w:r>
        <w:t xml:space="preserve">, lo que muestra un control adecuado para el tamaño de la empresa. La única oportunidad de mejora fue la falta de una política escrita para las cuotas cobradas por adelantado.»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la izquierda, las cifras de la oferta y sus cuatro puntos.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la derecha, la barra de 9 de 10 y los cinco componentes del COSO.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5 · Riesgos y materialidad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«Con ese conocimiento construimos la </w:t>
      </w:r>
      <w:r>
        <w:rPr>
          <w:b/>
          <w:bCs/>
        </w:rPr>
        <w:t xml:space="preserve">matriz de riesgos</w:t>
      </w:r>
      <w:r>
        <w:t xml:space="preserve">. El riesgo más alto está en los </w:t>
      </w:r>
      <w:r>
        <w:rPr>
          <w:b/>
          <w:bCs/>
        </w:rPr>
        <w:t xml:space="preserve">ingresos</w:t>
      </w:r>
      <w:r>
        <w:t xml:space="preserve">, porque la NIA 240 presume un riesgo de fraude en su reconocimiento; le siguen el efectivo y los gastos, con riesgo medio. Para cada riesgo diseñamos una respuesta en los programas de trabajo, como pide la NIA 330.»</w:t>
      </w:r>
    </w:p>
    <w:p>
      <w:pPr>
        <w:spacing w:after="140" w:line="300"/>
        <w:jc w:val="both"/>
      </w:pPr>
      <w:r>
        <w:t xml:space="preserve">«Después fijamos la </w:t>
      </w:r>
      <w:r>
        <w:rPr>
          <w:b/>
          <w:bCs/>
        </w:rPr>
        <w:t xml:space="preserve">materialidad</w:t>
      </w:r>
      <w:r>
        <w:t xml:space="preserve"> según la NIA 320. Tomamos como referencia los ingresos, porque en el primer año el resultado todavía es variable. La materialidad global es de </w:t>
      </w:r>
      <w:r>
        <w:rPr>
          <w:b/>
          <w:bCs/>
        </w:rPr>
        <w:t xml:space="preserve">$86</w:t>
      </w:r>
      <w:r>
        <w:t xml:space="preserve">, el 1,5 % de los ingresos; la de ejecución, de </w:t>
      </w:r>
      <w:r>
        <w:rPr>
          <w:b/>
          <w:bCs/>
        </w:rPr>
        <w:t xml:space="preserve">$60</w:t>
      </w:r>
      <w:r>
        <w:t xml:space="preserve">, el 70 %; y el umbral para incorrecciones claramente insignificantes, de </w:t>
      </w:r>
      <w:r>
        <w:rPr>
          <w:b/>
          <w:bCs/>
        </w:rPr>
        <w:t xml:space="preserve">$4</w:t>
      </w:r>
      <w:r>
        <w:t xml:space="preserve">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fila de ingresos, marcada como riesgo alto.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tres cifras de materialidad, de arriba hacia abajo.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6 · Pruebas de control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«En la ejecución comenzamos por las </w:t>
      </w:r>
      <w:r>
        <w:rPr>
          <w:b/>
          <w:bCs/>
        </w:rPr>
        <w:t xml:space="preserve">pruebas de control</w:t>
      </w:r>
      <w:r>
        <w:t xml:space="preserve">, para saber si podíamos confiar en los controles. En la cédula </w:t>
      </w:r>
      <w:r>
        <w:rPr>
          <w:b/>
          <w:bCs/>
        </w:rPr>
        <w:t xml:space="preserve">PC-1</w:t>
      </w:r>
      <w:r>
        <w:t xml:space="preserve"> tomamos una muestra de 25 de las 156 altas de suscriptores y verificamos el registro, la aceptación, la factura y el cobro conciliado. Encontramos una sola desviación, una factura emitida con días de retraso: una tasa del </w:t>
      </w:r>
      <w:r>
        <w:rPr>
          <w:b/>
          <w:bCs/>
        </w:rPr>
        <w:t xml:space="preserve">4 %</w:t>
      </w:r>
      <w:r>
        <w:t xml:space="preserve">, menor que la desviación tolerable del </w:t>
      </w:r>
      <w:r>
        <w:rPr>
          <w:b/>
          <w:bCs/>
        </w:rPr>
        <w:t xml:space="preserve">5 %</w:t>
      </w:r>
      <w:r>
        <w:t xml:space="preserve">. El control es eficaz.»</w:t>
      </w:r>
    </w:p>
    <w:p>
      <w:pPr>
        <w:spacing w:after="140" w:line="300"/>
        <w:jc w:val="both"/>
      </w:pPr>
      <w:r>
        <w:t xml:space="preserve">«En la cédula </w:t>
      </w:r>
      <w:r>
        <w:rPr>
          <w:b/>
          <w:bCs/>
        </w:rPr>
        <w:t xml:space="preserve">PC-2</w:t>
      </w:r>
      <w:r>
        <w:t xml:space="preserve"> revisamos las conciliaciones bancarias y digitales de los </w:t>
      </w:r>
      <w:r>
        <w:rPr>
          <w:b/>
          <w:bCs/>
        </w:rPr>
        <w:t xml:space="preserve">12 meses</w:t>
      </w:r>
      <w:r>
        <w:t xml:space="preserve">: todas estaban preparadas, revisadas y firmadas. También es un control eficaz. Gracias a estos resultados pudimos reducir la extensión de las pruebas de detalle.»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Los 25 círculos: el naranja es la desviación.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Los doce meses conciliados.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7 · Pruebas sustantivas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«Luego aplicamos las </w:t>
      </w:r>
      <w:r>
        <w:rPr>
          <w:b/>
          <w:bCs/>
        </w:rPr>
        <w:t xml:space="preserve">pruebas sustantivas</w:t>
      </w:r>
      <w:r>
        <w:t xml:space="preserve">. La principal fue un procedimiento analítico de ingresos, la cédula </w:t>
      </w:r>
      <w:r>
        <w:rPr>
          <w:b/>
          <w:bCs/>
        </w:rPr>
        <w:t xml:space="preserve">SA-1</w:t>
      </w:r>
      <w:r>
        <w:t xml:space="preserve">: como es un negocio por suscripción, el ingreso esperado es el número de suscriptores multiplicado por la cuota. La diferencia total con lo registrado fue de </w:t>
      </w:r>
      <w:r>
        <w:rPr>
          <w:b/>
          <w:bCs/>
        </w:rPr>
        <w:t xml:space="preserve">$18</w:t>
      </w:r>
      <w:r>
        <w:t xml:space="preserve">, por debajo de la materialidad de ejecución. La diferencia del último trimestre nos llevó a revisar el corte de ingresos.»</w:t>
      </w:r>
    </w:p>
    <w:p>
      <w:pPr>
        <w:spacing w:after="140" w:line="300"/>
        <w:jc w:val="both"/>
      </w:pPr>
      <w:r>
        <w:t xml:space="preserve">«En las </w:t>
      </w:r>
      <w:r>
        <w:rPr>
          <w:b/>
          <w:bCs/>
        </w:rPr>
        <w:t xml:space="preserve">pruebas de detalle</w:t>
      </w:r>
      <w:r>
        <w:t xml:space="preserve"> confirmamos el efectivo con el banco y lo conciliamos, confirmamos las cuentas por cobrar, examinamos los comprobantes de egresos y recalculamos la depreciación.»</w:t>
      </w:r>
    </w:p>
    <w:p>
      <w:pPr>
        <w:spacing w:after="140" w:line="300"/>
        <w:jc w:val="both"/>
      </w:pPr>
      <w:r>
        <w:t xml:space="preserve">«Encontramos </w:t>
      </w:r>
      <w:r>
        <w:rPr>
          <w:b/>
          <w:bCs/>
        </w:rPr>
        <w:t xml:space="preserve">dos incorrecciones de corte</w:t>
      </w:r>
      <w:r>
        <w:t xml:space="preserve">: cuotas de octubre cobradas en septiembre, por $48, y la renovación anual del dominio registrada como gasto, por $18. Ambas son menores que la materialidad y la gerencia las corrigió, por lo que no quedaron incorrecciones pendientes, como pide la NIA 450.»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barras gris (esperado) y azul (registrado) de cada trimestre.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lista de pruebas de detalle y la tarjeta de los dos ajustes.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Diapositiva 8 · Opinión no modificada</w:t>
      </w:r>
    </w:p>
    <w:p>
      <w:pPr>
        <w:keepNext/>
        <w:spacing w:after="120"/>
      </w:pPr>
      <w:r>
        <w:rPr>
          <w:color w:val="5B5B57"/>
          <w:sz w:val="20"/>
          <w:szCs w:val="20"/>
        </w:rPr>
        <w:t xml:space="preserve">Tiempo: 1 minuto y medio a 2 minutos   ·   Expositor: [nombre]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QUÉ DECIR</w:t>
      </w:r>
    </w:p>
    <w:p>
      <w:pPr>
        <w:spacing w:after="140" w:line="300"/>
        <w:jc w:val="both"/>
      </w:pPr>
      <w:r>
        <w:t xml:space="preserve">«Con toda la evidencia obtenida, y como las incorrecciones fueron corregidas, emitimos una </w:t>
      </w:r>
      <w:r>
        <w:rPr>
          <w:b/>
          <w:bCs/>
        </w:rPr>
        <w:t xml:space="preserve">opinión no modificada</w:t>
      </w:r>
      <w:r>
        <w:t xml:space="preserve"> según la NIA 700: los estados financieros presentan razonablemente, en todos los aspectos materiales, la situación financiera de Bookeaa al 30 de septiembre de 2027, de conformidad con VEN-NIF PYME.»</w:t>
      </w:r>
    </w:p>
    <w:p>
      <w:pPr>
        <w:spacing w:after="140" w:line="300"/>
        <w:jc w:val="both"/>
      </w:pPr>
      <w:r>
        <w:t xml:space="preserve">«Además, según la NIA 265, entregamos una carta a la gerencia con cuatro recomendaciones: una política escrita para los cobros por adelantado, registrar los pagos anticipados como activo, emitir la factura automáticamente al conciliar el cobro y planificar desde ahora la auditoría del segundo año.»</w:t>
      </w:r>
    </w:p>
    <w:p>
      <w:pPr>
        <w:spacing w:after="140" w:line="300"/>
        <w:jc w:val="both"/>
      </w:pPr>
      <w:r>
        <w:t xml:space="preserve">«En conclusión, una auditoría bien planificada no sólo da confianza a los usuarios de la información, sino que también aporta valor a la empresa. Muchas gracias; quedamos atentos a sus preguntas.»</w:t>
      </w:r>
    </w:p>
    <w:p>
      <w:pPr>
        <w:keepNext/>
        <w:spacing w:after="60" w:before="120"/>
      </w:pPr>
      <w:r>
        <w:rPr>
          <w:b/>
          <w:bCs/>
          <w:color w:val="5B5B57"/>
          <w:spacing w:val="40"/>
          <w:sz w:val="18"/>
          <w:szCs w:val="18"/>
        </w:rPr>
        <w:t xml:space="preserve">SEÑALAR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 cita de la opinión.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Las cuatro recomendaciones numeradas.</w:t>
      </w:r>
    </w:p>
    <w:p>
      <w:pPr>
        <w:pStyle w:val="Heading2"/>
        <w:keepNext/>
        <w:pBdr>
          <w:bottom w:val="single" w:color="0F0F0E" w:sz="6" w:space="4"/>
        </w:pBdr>
        <w:spacing w:after="100" w:before="320"/>
      </w:pPr>
      <w:r>
        <w:t xml:space="preserve">Posibles preguntas y cómo responderlas</w:t>
      </w:r>
    </w:p>
    <w:p>
      <w:pPr>
        <w:keepNext/>
        <w:spacing w:after="60" w:before="160"/>
      </w:pPr>
      <w:r>
        <w:rPr>
          <w:b/>
          <w:bCs/>
        </w:rPr>
        <w:t xml:space="preserve">¿Por qué eligieron los ingresos como referencia para la materialidad?</w:t>
      </w:r>
    </w:p>
    <w:p>
      <w:pPr>
        <w:spacing w:after="140" w:line="300"/>
        <w:jc w:val="both"/>
      </w:pPr>
      <w:r>
        <w:t xml:space="preserve">Porque en el primer año el resultado del ejercicio es pequeño y variable; los ingresos son más estables y son la cifra que más siguen los socios. Aplicamos el 1,5 %, dentro del rango usual de 0,5 % a 2 %.</w:t>
      </w:r>
    </w:p>
    <w:p>
      <w:pPr>
        <w:keepNext/>
        <w:spacing w:after="60" w:before="160"/>
      </w:pPr>
      <w:r>
        <w:rPr>
          <w:b/>
          <w:bCs/>
        </w:rPr>
        <w:t xml:space="preserve">¿Qué diferencia hay entre una prueba de control y una prueba sustantiva?</w:t>
      </w:r>
    </w:p>
    <w:p>
      <w:pPr>
        <w:spacing w:after="140" w:line="300"/>
        <w:jc w:val="both"/>
      </w:pPr>
      <w:r>
        <w:t xml:space="preserve">La prueba de control evalúa si un control funcionó durante el período; la sustantiva busca directamente incorrecciones materiales en los saldos, mediante procedimientos analíticos o pruebas de detalle.</w:t>
      </w:r>
    </w:p>
    <w:p>
      <w:pPr>
        <w:keepNext/>
        <w:spacing w:after="60" w:before="160"/>
      </w:pPr>
      <w:r>
        <w:rPr>
          <w:b/>
          <w:bCs/>
        </w:rPr>
        <w:t xml:space="preserve">¿Por qué la opinión no es con salvedades si encontraron errores?</w:t>
      </w:r>
    </w:p>
    <w:p>
      <w:pPr>
        <w:spacing w:after="140" w:line="300"/>
        <w:jc w:val="both"/>
      </w:pPr>
      <w:r>
        <w:t xml:space="preserve">Porque las dos incorrecciones eran inferiores a la materialidad y la gerencia las corrigió. Según la NIA 450, sólo las incorrecciones no corregidas que sean materiales llevan a modificar la opinión.</w:t>
      </w:r>
    </w:p>
    <w:p>
      <w:pPr>
        <w:keepNext/>
        <w:spacing w:after="60" w:before="160"/>
      </w:pPr>
      <w:r>
        <w:rPr>
          <w:b/>
          <w:bCs/>
        </w:rPr>
        <w:t xml:space="preserve">¿Por qué no incluyen cuestiones clave de la auditoría?</w:t>
      </w:r>
    </w:p>
    <w:p>
      <w:pPr>
        <w:spacing w:after="140" w:line="300"/>
        <w:jc w:val="both"/>
      </w:pPr>
      <w:r>
        <w:t xml:space="preserve">Porque la NIA 701 las exige sólo para entidades cotizadas; Bookeaa no lo es.</w:t>
      </w:r>
    </w:p>
    <w:p>
      <w:pPr>
        <w:keepNext/>
        <w:spacing w:after="60" w:before="160"/>
      </w:pPr>
      <w:r>
        <w:rPr>
          <w:b/>
          <w:bCs/>
        </w:rPr>
        <w:t xml:space="preserve">¿Qué hicieron con la cuenta por cobrar que no respondió la confirmación?</w:t>
      </w:r>
    </w:p>
    <w:p>
      <w:pPr>
        <w:spacing w:after="140" w:line="300"/>
        <w:jc w:val="both"/>
      </w:pPr>
      <w:r>
        <w:t xml:space="preserve">Un procedimiento alternativo, según la NIA 505: verificamos su cobro posterior en octubre y la factura correspondiente.</w:t>
      </w:r>
    </w:p>
    <w:p>
      <w:pPr>
        <w:keepNext/>
        <w:spacing w:after="60" w:before="160"/>
      </w:pPr>
      <w:r>
        <w:rPr>
          <w:b/>
          <w:bCs/>
        </w:rPr>
        <w:t xml:space="preserve">¿Qué es la NIA 402 y por qué aplica?</w:t>
      </w:r>
    </w:p>
    <w:p>
      <w:pPr>
        <w:spacing w:after="140" w:line="300"/>
        <w:jc w:val="both"/>
      </w:pPr>
      <w:r>
        <w:t xml:space="preserve">Trata de las entidades que usan organizaciones de servicios. Aplica porque la plataforma y parte de los cobros dependen de proveedores en la nube y de medios de pago; obtuvimos sus reportes y los comparamos con la contabilidad.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5B57"/>
        <w:sz w:val="18"/>
        <w:szCs w:val="18"/>
      </w:rPr>
      <w:t xml:space="preserve">bookeaa · Guion · Auditoría I · </w:t>
    </w:r>
    <w:r>
      <w:rPr>
        <w:color w:val="5B5B5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 Narrow" w:cs="Arial Narrow" w:eastAsia="Arial Narrow" w:hAnsi="Arial Narrow"/>
      <w:b/>
      <w:bCs/>
      <w:color w:val="0F0F0E"/>
      <w:sz w:val="44"/>
      <w:szCs w:val="4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 Narrow" w:cs="Arial Narrow" w:eastAsia="Arial Narrow" w:hAnsi="Arial Narrow"/>
      <w:b/>
      <w:bCs/>
      <w:color w:val="0F0F0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2026-10-09T18:59:21.285Z</dcterms:created>
  <dcterms:modified xsi:type="dcterms:W3CDTF">2026-10-09T18:59:21.285Z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