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720" w:firstLine="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2.3 SYMPTOMS AND WHAT TO EXPECT</w:t>
      </w:r>
    </w:p>
    <w:p w:rsidR="00000000" w:rsidDel="00000000" w:rsidP="00000000" w:rsidRDefault="00000000" w:rsidRPr="00000000" w14:paraId="00000002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Fever </w:t>
      </w:r>
    </w:p>
    <w:p w:rsidR="00000000" w:rsidDel="00000000" w:rsidP="00000000" w:rsidRDefault="00000000" w:rsidRPr="00000000" w14:paraId="00000003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Cough</w:t>
      </w:r>
    </w:p>
    <w:p w:rsidR="00000000" w:rsidDel="00000000" w:rsidP="00000000" w:rsidRDefault="00000000" w:rsidRPr="00000000" w14:paraId="00000004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Dyspnea </w:t>
      </w:r>
    </w:p>
    <w:p w:rsidR="00000000" w:rsidDel="00000000" w:rsidP="00000000" w:rsidRDefault="00000000" w:rsidRPr="00000000" w14:paraId="00000005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Anosmia or other smell abnormalities </w:t>
      </w:r>
    </w:p>
    <w:p w:rsidR="00000000" w:rsidDel="00000000" w:rsidP="00000000" w:rsidRDefault="00000000" w:rsidRPr="00000000" w14:paraId="00000006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Ageusia or other taste abnormalities </w:t>
      </w:r>
    </w:p>
    <w:p w:rsidR="00000000" w:rsidDel="00000000" w:rsidP="00000000" w:rsidRDefault="00000000" w:rsidRPr="00000000" w14:paraId="00000007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Sore throat</w:t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Myalgia s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Chills / Rigors 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Headache </w:t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Rhinorrhea 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Nausea /vomiting </w:t>
      </w:r>
    </w:p>
    <w:p w:rsidR="00000000" w:rsidDel="00000000" w:rsidP="00000000" w:rsidRDefault="00000000" w:rsidRPr="00000000" w14:paraId="0000000D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Diarrhea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Fatigue 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Confusion 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1"/>
        </w:numPr>
        <w:spacing w:after="0" w:line="240" w:lineRule="auto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Chest pain or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72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CLINICAL PRESENTATION OF COVID-19</w:t>
      </w:r>
    </w:p>
    <w:p w:rsidR="00000000" w:rsidDel="00000000" w:rsidP="00000000" w:rsidRDefault="00000000" w:rsidRPr="00000000" w14:paraId="00000013">
      <w:pPr>
        <w:ind w:left="0" w:right="720" w:firstLine="0"/>
        <w:jc w:val="center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5943600" cy="3670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Symptoms usually arise approximately 4 – 5 days after exposure and are mild in 80 % of the patients and includes fever, fatigue and dry cough. Symptoms like rhinorrhea and sore throat are less common 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Dyspnea affects 30 to 40 % of patients and develops 5 to 8 days after the onset of symptoms. Progression to Acute respiratory distress syndrome ( ARDS ) can be rapid. Thus onset of dyspnea is an important warning to have the patient admitted and managed further in a hospital setting.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Pneumonia and ARDS are the manifestations of severe disease . ARDS is associated with cytokine release syndrome manifested clinically by fever, progressive hypoxia, hypotension and elevated inflammatory markers.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According to epidemiological data provided by Chinese CDC in approximately 44,500 confirmed cases  following was the spectrum of disease manifestation :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5265"/>
        <w:gridCol w:w="3090"/>
        <w:tblGridChange w:id="0">
          <w:tblGrid>
            <w:gridCol w:w="5265"/>
            <w:gridCol w:w="3090"/>
          </w:tblGrid>
        </w:tblGridChange>
      </w:tblGrid>
      <w:tr>
        <w:trPr>
          <w:trHeight w:val="480" w:hRule="atLeast"/>
        </w:trPr>
        <w:tc>
          <w:tcPr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Spectrum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Percentage </w:t>
            </w:r>
          </w:p>
        </w:tc>
      </w:tr>
      <w:tr>
        <w:trPr>
          <w:trHeight w:val="555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Mild ( no or mild pneumonia )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80 %</w:t>
            </w:r>
          </w:p>
        </w:tc>
      </w:tr>
      <w:tr>
        <w:trPr>
          <w:trHeight w:val="75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Severe Disease ( with dyspnea ,hypoxia , or &gt;50 % lung involvement on imaging )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15 %</w:t>
            </w:r>
          </w:p>
        </w:tc>
      </w:tr>
      <w:tr>
        <w:trPr>
          <w:trHeight w:val="765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Critical Disease ( respiratory failure ,Multi organ dysfunction  , Shock )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5 %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2747963" cy="280000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800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COMPLICATIONS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3190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101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430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78E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678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78E2"/>
  </w:style>
  <w:style w:type="paragraph" w:styleId="Footer">
    <w:name w:val="footer"/>
    <w:basedOn w:val="Normal"/>
    <w:link w:val="FooterChar"/>
    <w:uiPriority w:val="99"/>
    <w:unhideWhenUsed w:val="1"/>
    <w:rsid w:val="000678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78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gMXjL8aUCe3nbMsDkiOBO28FA==">AMUW2mWm3QsSKMP630+rC1sWr2NVqO5pIyVWgpKFRJORdJcQEnzPDlkb28jdwMgfpUN73CdRz/eiEmMUqUF1OjusxSzC6Cx6sMNwy/MxMuEcSkyU2N+rmxEGeWZtm7mCEs8aJ3IAanx6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2020-07-18T06:46:00Z</dcterms:created>
  <dc:creator>LENOVO</dc:creator>
</cp:coreProperties>
</file>