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B78A3A"/>
          <w:sz w:val="20"/>
        </w:rPr>
        <w:t>ABYSSALS PROJECT</w:t>
      </w:r>
    </w:p>
    <w:p>
      <w:pPr>
        <w:spacing w:after="0"/>
        <w:jc w:val="center"/>
      </w:pPr>
      <w:r>
        <w:rPr>
          <w:rFonts w:ascii="Arial" w:hAnsi="Arial"/>
          <w:b/>
          <w:color w:val="182738"/>
          <w:sz w:val="48"/>
        </w:rPr>
        <w:t>CHECKLIST 12</w:t>
      </w:r>
    </w:p>
    <w:p>
      <w:pPr>
        <w:spacing w:after="40"/>
        <w:jc w:val="center"/>
      </w:pPr>
      <w:r>
        <w:rPr>
          <w:rFonts w:ascii="Arial" w:hAnsi="Arial"/>
          <w:b/>
          <w:color w:val="182738"/>
          <w:sz w:val="36"/>
        </w:rPr>
        <w:t>Learnset Validation</w:t>
      </w:r>
    </w:p>
    <w:p>
      <w:pPr>
        <w:spacing w:after="160"/>
        <w:jc w:val="center"/>
      </w:pPr>
      <w:r>
        <w:rPr>
          <w:rFonts w:ascii="Arial" w:hAnsi="Arial"/>
          <w:b/>
          <w:color w:val="B78A3A"/>
          <w:sz w:val="20"/>
        </w:rPr>
        <w:t>LOCKED IMPLEMENTATION SPECIFICATION v1.0</w:t>
      </w:r>
    </w:p>
    <w:tbl>
      <w:tblPr>
        <w:tblW w:type="auto" w:w="0"/>
        <w:jc w:val="center"/>
        <w:tblLayout w:type="fixed"/>
        <w:tblLook w:firstColumn="1" w:firstRow="1" w:lastColumn="0" w:lastRow="0" w:noHBand="0" w:noVBand="1" w:val="04A0"/>
      </w:tblPr>
      <w:tblGrid>
        <w:gridCol w:w="10080"/>
      </w:tblGrid>
      <w:tr>
        <w:trPr>
          <w:cantSplit/>
        </w:trPr>
        <w:tc>
          <w:tcPr>
            <w:tcW w:type="dxa" w:w="10224"/>
            <w:shd w:fill="E9F2EC"/>
            <w:tcMar>
              <w:top w:w="100" w:type="dxa"/>
              <w:start w:w="120" w:type="dxa"/>
              <w:bottom w:w="100" w:type="dxa"/>
              <w:end w:w="120" w:type="dxa"/>
            </w:tcMar>
            <w:tcBorders>
              <w:top w:val="single" w:sz="8" w:color="5F8E6C"/>
              <w:left w:val="single" w:sz="8" w:color="5F8E6C"/>
              <w:bottom w:val="single" w:sz="8" w:color="5F8E6C"/>
              <w:right w:val="single" w:sz="8" w:color="5F8E6C"/>
            </w:tcBorders>
          </w:tcPr>
          <w:p>
            <w:pPr>
              <w:spacing w:after="40"/>
            </w:pPr>
            <w:r>
              <w:rPr>
                <w:rFonts w:ascii="Arial" w:hAnsi="Arial"/>
                <w:b/>
                <w:color w:val="182738"/>
                <w:sz w:val="19"/>
              </w:rPr>
              <w:t>STATUS — COMPLETE / LOCKED AT IMPLEMENTATION-DESIGN LEVEL</w:t>
            </w:r>
          </w:p>
          <w:p>
            <w:pPr>
              <w:spacing w:after="0" w:line="240" w:lineRule="auto"/>
            </w:pPr>
            <w:r>
              <w:rPr>
                <w:rFonts w:ascii="Arial" w:hAnsi="Arial"/>
                <w:color w:val="1F2933"/>
                <w:sz w:val="18"/>
              </w:rPr>
              <w:t>This document closes CHECKLIST 12. It fixes the move-data schema, Physical/Special/Status split, accuracy and targeting conventions, the deliberately scarce priority pool, learnset balance gates, signature ownership, move relearning, evolution-move behaviour, trainer/Warden legality compilation and the hard validation tests that imported content must pass. No unresolved learnset-design decision remains.</w:t>
            </w:r>
          </w:p>
        </w:tc>
      </w:tr>
    </w:tbl>
    <w:p>
      <w:pPr>
        <w:spacing w:after="0"/>
      </w:pPr>
    </w:p>
    <w:p>
      <w:pPr>
        <w:pStyle w:val="Heading1"/>
      </w:pPr>
      <w:r>
        <w:t>LOCK SUMMARY</w:t>
      </w:r>
    </w:p>
    <w:p>
      <w:pPr>
        <w:spacing w:after="80" w:line="250" w:lineRule="auto"/>
      </w:pPr>
      <w:r>
        <w:rPr>
          <w:rFonts w:ascii="Arial" w:hAnsi="Arial"/>
          <w:color w:val="1F2933"/>
          <w:sz w:val="18"/>
        </w:rPr>
        <w:t>The existing 354-move catalogue and 187-species / 1,893-entry learnset workbook remain the authored content baseline. Checklist 12 does not replace those sources with a second competing move system; it adds the metadata and validation contract required to make them implementation-ready.</w:t>
      </w:r>
    </w:p>
    <w:p>
      <w:pPr>
        <w:pStyle w:val="ListBullet"/>
        <w:spacing w:after="30" w:line="240" w:lineRule="auto"/>
      </w:pPr>
      <w:r>
        <w:rPr>
          <w:rFonts w:ascii="Arial" w:hAnsi="Arial"/>
          <w:color w:val="1F2933"/>
          <w:sz w:val="18"/>
        </w:rPr>
        <w:t>Every move receives an explicit category: PHYSICAL, SPECIAL or STATUS. Category is per move, never inferred from type at runtime.</w:t>
      </w:r>
    </w:p>
    <w:p>
      <w:pPr>
        <w:pStyle w:val="ListBullet"/>
        <w:spacing w:after="30" w:line="240" w:lineRule="auto"/>
      </w:pPr>
      <w:r>
        <w:rPr>
          <w:rFonts w:ascii="Arial" w:hAnsi="Arial"/>
          <w:color w:val="1F2933"/>
          <w:sz w:val="18"/>
        </w:rPr>
        <w:t>Accuracy uses a narrow, readable 100 / 95 / 90 scheme for damaging moves, with ALWAYS for self/side/field status effects and 90 only for direct hard-control status effects.</w:t>
      </w:r>
    </w:p>
    <w:p>
      <w:pPr>
        <w:pStyle w:val="ListBullet"/>
        <w:spacing w:after="30" w:line="240" w:lineRule="auto"/>
      </w:pPr>
      <w:r>
        <w:rPr>
          <w:rFonts w:ascii="Arial" w:hAnsi="Arial"/>
          <w:color w:val="1F2933"/>
          <w:sz w:val="18"/>
        </w:rPr>
        <w:t>Priority is intentionally scarce. Plain Dash and Frost Shard are the v1.0 +1 priority attacks; all other existing moves default to 0 unless a later explicit revision changes the catalogue. There are no +2 or negative-priority moves in v1.0.</w:t>
      </w:r>
    </w:p>
    <w:p>
      <w:pPr>
        <w:pStyle w:val="ListBullet"/>
        <w:spacing w:after="30" w:line="240" w:lineRule="auto"/>
      </w:pPr>
      <w:r>
        <w:rPr>
          <w:rFonts w:ascii="Arial" w:hAnsi="Arial"/>
          <w:color w:val="1F2933"/>
          <w:sz w:val="18"/>
        </w:rPr>
        <w:t>Named signature moves are exclusive to the named evolutionary family; actual stage access remains controlled by the learnset.</w:t>
      </w:r>
    </w:p>
    <w:p>
      <w:pPr>
        <w:pStyle w:val="ListBullet"/>
        <w:spacing w:after="30" w:line="240" w:lineRule="auto"/>
      </w:pPr>
      <w:r>
        <w:rPr>
          <w:rFonts w:ascii="Arial" w:hAnsi="Arial"/>
          <w:color w:val="1F2933"/>
          <w:sz w:val="18"/>
        </w:rPr>
        <w:t>Move relearning is free through Chaplain Aeric whenever normal reserve access is available. No currency, consumable or remote hostile-area relearning is added.</w:t>
      </w:r>
    </w:p>
    <w:p>
      <w:pPr>
        <w:pStyle w:val="ListBullet"/>
        <w:spacing w:after="30" w:line="240" w:lineRule="auto"/>
      </w:pPr>
      <w:r>
        <w:rPr>
          <w:rFonts w:ascii="Arial" w:hAnsi="Arial"/>
          <w:color w:val="1F2933"/>
          <w:sz w:val="18"/>
        </w:rPr>
        <w:t>Evolution preserves the four equipped moves. An explicit evolution move is offered once; declining it preserves relearner eligibility. Passed lower-level moves become relearner-eligible without a chain of forced prompts.</w:t>
      </w:r>
    </w:p>
    <w:p>
      <w:pPr>
        <w:pStyle w:val="ListBullet"/>
        <w:spacing w:after="30" w:line="240" w:lineRule="auto"/>
      </w:pPr>
      <w:r>
        <w:rPr>
          <w:rFonts w:ascii="Arial" w:hAnsi="Arial"/>
          <w:color w:val="1F2933"/>
          <w:sz w:val="18"/>
        </w:rPr>
        <w:t>The trainer move resolver from Checklist 04 remains authoritative. Checklist 12 can invalidate a move and force deterministic replacement, but cannot silently change trainer species or levels.</w:t>
      </w:r>
    </w:p>
    <w:p>
      <w:pPr>
        <w:pStyle w:val="Heading1"/>
      </w:pPr>
      <w:r>
        <w:t>1. Canon authority and completion boundary</w:t>
      </w:r>
    </w:p>
    <w:p>
      <w:pPr>
        <w:pStyle w:val="ListBullet"/>
        <w:spacing w:after="30" w:line="240" w:lineRule="auto"/>
      </w:pPr>
      <w:r>
        <w:rPr>
          <w:rFonts w:ascii="Arial" w:hAnsi="Arial"/>
          <w:color w:val="1F2933"/>
          <w:sz w:val="18"/>
        </w:rPr>
        <w:t>Pokemon_Pre_Programming_Planning_Checklists_Reference.docx defines Checklist 12 as the final balance and legality pass over all 187 species learnsets.</w:t>
      </w:r>
    </w:p>
    <w:p>
      <w:pPr>
        <w:pStyle w:val="ListBullet"/>
        <w:spacing w:after="30" w:line="240" w:lineRule="auto"/>
      </w:pPr>
      <w:r>
        <w:rPr>
          <w:rFonts w:ascii="Arial" w:hAnsi="Arial"/>
          <w:color w:val="1F2933"/>
          <w:sz w:val="18"/>
        </w:rPr>
        <w:t>Pokemon_Fan_Game_354_Move_Catalogue.xlsx remains authority for the fixed 354 move identities, names, types, PP, base power, effect text and original Signature / Best Fit field. Checklist 12 supplies the previously deferred category, accuracy, priority and targeting contract.</w:t>
      </w:r>
    </w:p>
    <w:p>
      <w:pPr>
        <w:pStyle w:val="ListBullet"/>
        <w:spacing w:after="30" w:line="240" w:lineRule="auto"/>
      </w:pPr>
      <w:r>
        <w:rPr>
          <w:rFonts w:ascii="Arial" w:hAnsi="Arial"/>
          <w:color w:val="1F2933"/>
          <w:sz w:val="18"/>
        </w:rPr>
        <w:t>Regional_Dex_Progression_Learnsets_v3.xlsx remains authority for the 187 species learnset rows and their authored learn levels/acquisition entries, subject to the validation and repair rules below.</w:t>
      </w:r>
    </w:p>
    <w:p>
      <w:pPr>
        <w:pStyle w:val="ListBullet"/>
        <w:spacing w:after="30" w:line="240" w:lineRule="auto"/>
      </w:pPr>
      <w:r>
        <w:rPr>
          <w:rFonts w:ascii="Arial" w:hAnsi="Arial"/>
          <w:color w:val="1F2933"/>
          <w:sz w:val="18"/>
        </w:rPr>
        <w:t>Regional_Dex_Stats_and_Abilities_COMPLETE_v2.xlsx remains authority for exact typing, six base stats, BST, role and ability identity used by learnset-role validation.</w:t>
      </w:r>
    </w:p>
    <w:p>
      <w:pPr>
        <w:pStyle w:val="ListBullet"/>
        <w:spacing w:after="30" w:line="240" w:lineRule="auto"/>
      </w:pPr>
      <w:r>
        <w:rPr>
          <w:rFonts w:ascii="Arial" w:hAnsi="Arial"/>
          <w:color w:val="1F2933"/>
          <w:sz w:val="18"/>
        </w:rPr>
        <w:t>Checklist 04 remains authority for deterministic trainer move compilation and AI profiles. Checklist 05 remains authority for Hell terrain. Checklist 11 remains authority for evolution methods, timing, story-branch locks and postgame opposite-form access.</w:t>
      </w:r>
    </w:p>
    <w:p>
      <w:pPr>
        <w:pStyle w:val="ListBullet"/>
        <w:spacing w:after="30" w:line="240" w:lineRule="auto"/>
      </w:pPr>
      <w:r>
        <w:rPr>
          <w:rFonts w:ascii="Arial" w:hAnsi="Arial"/>
          <w:color w:val="1F2933"/>
          <w:sz w:val="18"/>
        </w:rPr>
        <w:t>Checklist 08 remains authority for reserve access and Aeric as the normal reserve caretaker. Checklist 07 remains authority for death/resurrection state and restoring the four moves held at death.</w:t>
      </w:r>
    </w:p>
    <w:tbl>
      <w:tblPr>
        <w:tblW w:type="auto" w:w="0"/>
        <w:jc w:val="center"/>
        <w:tblLayout w:type="fixed"/>
        <w:tblLook w:firstColumn="1" w:firstRow="1" w:lastColumn="0" w:lastRow="0" w:noHBand="0" w:noVBand="1" w:val="04A0"/>
      </w:tblPr>
      <w:tblGrid>
        <w:gridCol w:w="10080"/>
      </w:tblGrid>
      <w:tr>
        <w:trPr>
          <w:cantSplit/>
        </w:trPr>
        <w:tc>
          <w:tcPr>
            <w:tcW w:type="dxa" w:w="10224"/>
            <w:shd w:fill="EEF2F5"/>
            <w:tcMar>
              <w:top w:w="100" w:type="dxa"/>
              <w:start w:w="120" w:type="dxa"/>
              <w:bottom w:w="100" w:type="dxa"/>
              <w:end w:w="120" w:type="dxa"/>
            </w:tcMar>
            <w:tcBorders>
              <w:top w:val="single" w:sz="8" w:color="8796A3"/>
              <w:left w:val="single" w:sz="8" w:color="8796A3"/>
              <w:bottom w:val="single" w:sz="8" w:color="8796A3"/>
              <w:right w:val="single" w:sz="8" w:color="8796A3"/>
            </w:tcBorders>
          </w:tcPr>
          <w:p>
            <w:pPr>
              <w:spacing w:after="40"/>
            </w:pPr>
            <w:r>
              <w:rPr>
                <w:rFonts w:ascii="Arial" w:hAnsi="Arial"/>
                <w:b/>
                <w:color w:val="182738"/>
                <w:sz w:val="19"/>
              </w:rPr>
              <w:t>NON-GOAL</w:t>
            </w:r>
          </w:p>
          <w:p>
            <w:pPr>
              <w:spacing w:after="0" w:line="240" w:lineRule="auto"/>
            </w:pPr>
            <w:r>
              <w:rPr>
                <w:rFonts w:ascii="Arial" w:hAnsi="Arial"/>
                <w:color w:val="1F2933"/>
                <w:sz w:val="18"/>
              </w:rPr>
              <w:t>Checklist 12 does not create TMs, tutors, new shops or new evolution methods. A future TM/tutor system may expand legal acquisition only through an explicit later specification; it cannot be assumed by the trainer resolver.</w:t>
            </w:r>
          </w:p>
        </w:tc>
      </w:tr>
    </w:tbl>
    <w:p>
      <w:pPr>
        <w:spacing w:after="0"/>
      </w:pPr>
    </w:p>
    <w:p>
      <w:pPr>
        <w:pStyle w:val="Heading1"/>
      </w:pPr>
      <w:r>
        <w:t>2. Canonical move data record</w:t>
      </w:r>
    </w:p>
    <w:p>
      <w:pPr>
        <w:spacing w:after="80" w:line="250" w:lineRule="auto"/>
      </w:pPr>
      <w:r>
        <w:rPr>
          <w:rFonts w:ascii="Arial" w:hAnsi="Arial"/>
          <w:color w:val="1F2933"/>
          <w:sz w:val="18"/>
        </w:rPr>
        <w:t>Every move imported into implementation must materialise the following stable fields. Display text may be localised later; identifiers and mechanics remain stable.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shd w:fill="182738"/>
            <w:tcMar>
              <w:top w:w="65" w:type="dxa"/>
              <w:start w:w="70" w:type="dxa"/>
              <w:bottom w:w="65" w:type="dxa"/>
              <w:end w:w="70" w:type="dxa"/>
            </w:tcMar>
            <w:vAlign w:val="center"/>
          </w:tcPr>
          <w:p>
            <w:pPr>
              <w:spacing w:after="0"/>
              <w:jc w:val="center"/>
            </w:pPr>
            <w:r>
              <w:rPr>
                <w:rFonts w:ascii="Arial" w:hAnsi="Arial"/>
                <w:b/>
                <w:color w:val="FFFFFF"/>
                <w:sz w:val="15"/>
              </w:rPr>
              <w:t>Field</w:t>
            </w:r>
          </w:p>
        </w:tc>
        <w:tc>
          <w:tcPr>
            <w:tcW w:type="dxa" w:w="2376"/>
            <w:shd w:fill="182738"/>
            <w:tcMar>
              <w:top w:w="65" w:type="dxa"/>
              <w:start w:w="70" w:type="dxa"/>
              <w:bottom w:w="65" w:type="dxa"/>
              <w:end w:w="70" w:type="dxa"/>
            </w:tcMar>
            <w:vAlign w:val="center"/>
          </w:tcPr>
          <w:p>
            <w:pPr>
              <w:spacing w:after="0"/>
              <w:jc w:val="center"/>
            </w:pPr>
            <w:r>
              <w:rPr>
                <w:rFonts w:ascii="Arial" w:hAnsi="Arial"/>
                <w:b/>
                <w:color w:val="FFFFFF"/>
                <w:sz w:val="15"/>
              </w:rPr>
              <w:t>Locked form</w:t>
            </w:r>
          </w:p>
        </w:tc>
        <w:tc>
          <w:tcPr>
            <w:tcW w:type="dxa" w:w="5400"/>
            <w:shd w:fill="182738"/>
            <w:tcMar>
              <w:top w:w="65" w:type="dxa"/>
              <w:start w:w="70" w:type="dxa"/>
              <w:bottom w:w="65" w:type="dxa"/>
              <w:end w:w="70" w:type="dxa"/>
            </w:tcMar>
            <w:vAlign w:val="center"/>
          </w:tcPr>
          <w:p>
            <w:pPr>
              <w:spacing w:after="0"/>
              <w:jc w:val="center"/>
            </w:pPr>
            <w:r>
              <w:rPr>
                <w:rFonts w:ascii="Arial" w:hAnsi="Arial"/>
                <w:b/>
                <w:color w:val="FFFFFF"/>
                <w:sz w:val="15"/>
              </w:rPr>
              <w:t>Rule</w:t>
            </w:r>
          </w:p>
        </w:tc>
      </w:tr>
      <w:tr>
        <w:trPr>
          <w:cantSplit/>
        </w:trPr>
        <w:tc>
          <w:tcPr>
            <w:tcW w:type="dxa" w:w="2232"/>
            <w:tcMar>
              <w:top w:w="55" w:type="dxa"/>
              <w:start w:w="65" w:type="dxa"/>
              <w:bottom w:w="55" w:type="dxa"/>
              <w:end w:w="65" w:type="dxa"/>
            </w:tcMar>
            <w:vAlign w:val="top"/>
          </w:tcPr>
          <w:p>
            <w:pPr>
              <w:spacing w:after="0" w:line="240" w:lineRule="auto"/>
            </w:pPr>
            <w:r>
              <w:rPr>
                <w:rFonts w:ascii="Arial" w:hAnsi="Arial"/>
                <w:color w:val="1F2933"/>
                <w:sz w:val="15"/>
              </w:rPr>
              <w:t>move_id</w:t>
            </w:r>
          </w:p>
        </w:tc>
        <w:tc>
          <w:tcPr>
            <w:tcW w:type="dxa" w:w="2376"/>
            <w:tcMar>
              <w:top w:w="55" w:type="dxa"/>
              <w:start w:w="65" w:type="dxa"/>
              <w:bottom w:w="55" w:type="dxa"/>
              <w:end w:w="65" w:type="dxa"/>
            </w:tcMar>
            <w:vAlign w:val="top"/>
          </w:tcPr>
          <w:p>
            <w:pPr>
              <w:spacing w:after="0" w:line="240" w:lineRule="auto"/>
            </w:pPr>
            <w:r>
              <w:rPr>
                <w:rFonts w:ascii="Arial" w:hAnsi="Arial"/>
                <w:color w:val="1F2933"/>
                <w:sz w:val="15"/>
              </w:rPr>
              <w:t>Integer 1–354</w:t>
            </w:r>
          </w:p>
        </w:tc>
        <w:tc>
          <w:tcPr>
            <w:tcW w:type="dxa" w:w="5400"/>
            <w:tcMar>
              <w:top w:w="55" w:type="dxa"/>
              <w:start w:w="65" w:type="dxa"/>
              <w:bottom w:w="55" w:type="dxa"/>
              <w:end w:w="65" w:type="dxa"/>
            </w:tcMar>
            <w:vAlign w:val="top"/>
          </w:tcPr>
          <w:p>
            <w:pPr>
              <w:spacing w:after="0" w:line="240" w:lineRule="auto"/>
            </w:pPr>
            <w:r>
              <w:rPr>
                <w:rFonts w:ascii="Arial" w:hAnsi="Arial"/>
                <w:color w:val="1F2933"/>
                <w:sz w:val="15"/>
              </w:rPr>
              <w:t>Existing Move #; unique and immutable.</w:t>
            </w:r>
          </w:p>
        </w:tc>
      </w:tr>
      <w:tr>
        <w:trPr>
          <w:cantSplit/>
        </w:trPr>
        <w:tc>
          <w:tcPr>
            <w:tcW w:type="dxa" w:w="2232"/>
            <w:shd w:fill="F8FAFB"/>
            <w:tcMar>
              <w:top w:w="55" w:type="dxa"/>
              <w:start w:w="65" w:type="dxa"/>
              <w:bottom w:w="55" w:type="dxa"/>
              <w:end w:w="65" w:type="dxa"/>
            </w:tcMar>
            <w:vAlign w:val="top"/>
          </w:tcPr>
          <w:p>
            <w:pPr>
              <w:spacing w:after="0" w:line="240" w:lineRule="auto"/>
            </w:pPr>
            <w:r>
              <w:rPr>
                <w:rFonts w:ascii="Arial" w:hAnsi="Arial"/>
                <w:color w:val="1F2933"/>
                <w:sz w:val="15"/>
              </w:rPr>
              <w:t>display_name</w:t>
            </w:r>
          </w:p>
        </w:tc>
        <w:tc>
          <w:tcPr>
            <w:tcW w:type="dxa" w:w="2376"/>
            <w:shd w:fill="F8FAFB"/>
            <w:tcMar>
              <w:top w:w="55" w:type="dxa"/>
              <w:start w:w="65" w:type="dxa"/>
              <w:bottom w:w="55" w:type="dxa"/>
              <w:end w:w="65" w:type="dxa"/>
            </w:tcMar>
            <w:vAlign w:val="top"/>
          </w:tcPr>
          <w:p>
            <w:pPr>
              <w:spacing w:after="0" w:line="240" w:lineRule="auto"/>
            </w:pPr>
            <w:r>
              <w:rPr>
                <w:rFonts w:ascii="Arial" w:hAnsi="Arial"/>
                <w:color w:val="1F2933"/>
                <w:sz w:val="15"/>
              </w:rPr>
              <w:t>String</w:t>
            </w:r>
          </w:p>
        </w:tc>
        <w:tc>
          <w:tcPr>
            <w:tcW w:type="dxa" w:w="5400"/>
            <w:shd w:fill="F8FAFB"/>
            <w:tcMar>
              <w:top w:w="55" w:type="dxa"/>
              <w:start w:w="65" w:type="dxa"/>
              <w:bottom w:w="55" w:type="dxa"/>
              <w:end w:w="65" w:type="dxa"/>
            </w:tcMar>
            <w:vAlign w:val="top"/>
          </w:tcPr>
          <w:p>
            <w:pPr>
              <w:spacing w:after="0" w:line="240" w:lineRule="auto"/>
            </w:pPr>
            <w:r>
              <w:rPr>
                <w:rFonts w:ascii="Arial" w:hAnsi="Arial"/>
                <w:color w:val="1F2933"/>
                <w:sz w:val="15"/>
              </w:rPr>
              <w:t>Existing move name; unique within the catalogue.</w:t>
            </w:r>
          </w:p>
        </w:tc>
      </w:tr>
      <w:tr>
        <w:trPr>
          <w:cantSplit/>
        </w:trPr>
        <w:tc>
          <w:tcPr>
            <w:tcW w:type="dxa" w:w="2232"/>
            <w:tcMar>
              <w:top w:w="55" w:type="dxa"/>
              <w:start w:w="65" w:type="dxa"/>
              <w:bottom w:w="55" w:type="dxa"/>
              <w:end w:w="65" w:type="dxa"/>
            </w:tcMar>
            <w:vAlign w:val="top"/>
          </w:tcPr>
          <w:p>
            <w:pPr>
              <w:spacing w:after="0" w:line="240" w:lineRule="auto"/>
            </w:pPr>
            <w:r>
              <w:rPr>
                <w:rFonts w:ascii="Arial" w:hAnsi="Arial"/>
                <w:color w:val="1F2933"/>
                <w:sz w:val="15"/>
              </w:rPr>
              <w:t>type</w:t>
            </w:r>
          </w:p>
        </w:tc>
        <w:tc>
          <w:tcPr>
            <w:tcW w:type="dxa" w:w="2376"/>
            <w:tcMar>
              <w:top w:w="55" w:type="dxa"/>
              <w:start w:w="65" w:type="dxa"/>
              <w:bottom w:w="55" w:type="dxa"/>
              <w:end w:w="65" w:type="dxa"/>
            </w:tcMar>
            <w:vAlign w:val="top"/>
          </w:tcPr>
          <w:p>
            <w:pPr>
              <w:spacing w:after="0" w:line="240" w:lineRule="auto"/>
            </w:pPr>
            <w:r>
              <w:rPr>
                <w:rFonts w:ascii="Arial" w:hAnsi="Arial"/>
                <w:color w:val="1F2933"/>
                <w:sz w:val="15"/>
              </w:rPr>
              <w:t>18-type enum</w:t>
            </w:r>
          </w:p>
        </w:tc>
        <w:tc>
          <w:tcPr>
            <w:tcW w:type="dxa" w:w="5400"/>
            <w:tcMar>
              <w:top w:w="55" w:type="dxa"/>
              <w:start w:w="65" w:type="dxa"/>
              <w:bottom w:w="55" w:type="dxa"/>
              <w:end w:w="65" w:type="dxa"/>
            </w:tcMar>
            <w:vAlign w:val="top"/>
          </w:tcPr>
          <w:p>
            <w:pPr>
              <w:spacing w:after="0" w:line="240" w:lineRule="auto"/>
            </w:pPr>
            <w:r>
              <w:rPr>
                <w:rFonts w:ascii="Arial" w:hAnsi="Arial"/>
                <w:color w:val="1F2933"/>
                <w:sz w:val="15"/>
              </w:rPr>
              <w:t>Must match the catalogue type.</w:t>
            </w:r>
          </w:p>
        </w:tc>
      </w:tr>
      <w:tr>
        <w:trPr>
          <w:cantSplit/>
        </w:trPr>
        <w:tc>
          <w:tcPr>
            <w:tcW w:type="dxa" w:w="2232"/>
            <w:shd w:fill="F8FAFB"/>
            <w:tcMar>
              <w:top w:w="55" w:type="dxa"/>
              <w:start w:w="65" w:type="dxa"/>
              <w:bottom w:w="55" w:type="dxa"/>
              <w:end w:w="65" w:type="dxa"/>
            </w:tcMar>
            <w:vAlign w:val="top"/>
          </w:tcPr>
          <w:p>
            <w:pPr>
              <w:spacing w:after="0" w:line="240" w:lineRule="auto"/>
            </w:pPr>
            <w:r>
              <w:rPr>
                <w:rFonts w:ascii="Arial" w:hAnsi="Arial"/>
                <w:color w:val="1F2933"/>
                <w:sz w:val="15"/>
              </w:rPr>
              <w:t>pp</w:t>
            </w:r>
          </w:p>
        </w:tc>
        <w:tc>
          <w:tcPr>
            <w:tcW w:type="dxa" w:w="2376"/>
            <w:shd w:fill="F8FAFB"/>
            <w:tcMar>
              <w:top w:w="55" w:type="dxa"/>
              <w:start w:w="65" w:type="dxa"/>
              <w:bottom w:w="55" w:type="dxa"/>
              <w:end w:w="65" w:type="dxa"/>
            </w:tcMar>
            <w:vAlign w:val="top"/>
          </w:tcPr>
          <w:p>
            <w:pPr>
              <w:spacing w:after="0" w:line="240" w:lineRule="auto"/>
            </w:pPr>
            <w:r>
              <w:rPr>
                <w:rFonts w:ascii="Arial" w:hAnsi="Arial"/>
                <w:color w:val="1F2933"/>
                <w:sz w:val="15"/>
              </w:rPr>
              <w:t>Integer &gt; 0</w:t>
            </w:r>
          </w:p>
        </w:tc>
        <w:tc>
          <w:tcPr>
            <w:tcW w:type="dxa" w:w="5400"/>
            <w:shd w:fill="F8FAFB"/>
            <w:tcMar>
              <w:top w:w="55" w:type="dxa"/>
              <w:start w:w="65" w:type="dxa"/>
              <w:bottom w:w="55" w:type="dxa"/>
              <w:end w:w="65" w:type="dxa"/>
            </w:tcMar>
            <w:vAlign w:val="top"/>
          </w:tcPr>
          <w:p>
            <w:pPr>
              <w:spacing w:after="0" w:line="240" w:lineRule="auto"/>
            </w:pPr>
            <w:r>
              <w:rPr>
                <w:rFonts w:ascii="Arial" w:hAnsi="Arial"/>
                <w:color w:val="1F2933"/>
                <w:sz w:val="15"/>
              </w:rPr>
              <w:t>Existing Uses (PP).</w:t>
            </w:r>
          </w:p>
        </w:tc>
      </w:tr>
      <w:tr>
        <w:trPr>
          <w:cantSplit/>
        </w:trPr>
        <w:tc>
          <w:tcPr>
            <w:tcW w:type="dxa" w:w="2232"/>
            <w:tcMar>
              <w:top w:w="55" w:type="dxa"/>
              <w:start w:w="65" w:type="dxa"/>
              <w:bottom w:w="55" w:type="dxa"/>
              <w:end w:w="65" w:type="dxa"/>
            </w:tcMar>
            <w:vAlign w:val="top"/>
          </w:tcPr>
          <w:p>
            <w:pPr>
              <w:spacing w:after="0" w:line="240" w:lineRule="auto"/>
            </w:pPr>
            <w:r>
              <w:rPr>
                <w:rFonts w:ascii="Arial" w:hAnsi="Arial"/>
                <w:color w:val="1F2933"/>
                <w:sz w:val="15"/>
              </w:rPr>
              <w:t>power</w:t>
            </w:r>
          </w:p>
        </w:tc>
        <w:tc>
          <w:tcPr>
            <w:tcW w:type="dxa" w:w="2376"/>
            <w:tcMar>
              <w:top w:w="55" w:type="dxa"/>
              <w:start w:w="65" w:type="dxa"/>
              <w:bottom w:w="55" w:type="dxa"/>
              <w:end w:w="65" w:type="dxa"/>
            </w:tcMar>
            <w:vAlign w:val="top"/>
          </w:tcPr>
          <w:p>
            <w:pPr>
              <w:spacing w:after="0" w:line="240" w:lineRule="auto"/>
            </w:pPr>
            <w:r>
              <w:rPr>
                <w:rFonts w:ascii="Arial" w:hAnsi="Arial"/>
                <w:color w:val="1F2933"/>
                <w:sz w:val="15"/>
              </w:rPr>
              <w:t>Integer or null</w:t>
            </w:r>
          </w:p>
        </w:tc>
        <w:tc>
          <w:tcPr>
            <w:tcW w:type="dxa" w:w="5400"/>
            <w:tcMar>
              <w:top w:w="55" w:type="dxa"/>
              <w:start w:w="65" w:type="dxa"/>
              <w:bottom w:w="55" w:type="dxa"/>
              <w:end w:w="65" w:type="dxa"/>
            </w:tcMar>
            <w:vAlign w:val="top"/>
          </w:tcPr>
          <w:p>
            <w:pPr>
              <w:spacing w:after="0" w:line="240" w:lineRule="auto"/>
            </w:pPr>
            <w:r>
              <w:rPr>
                <w:rFonts w:ascii="Arial" w:hAnsi="Arial"/>
                <w:color w:val="1F2933"/>
                <w:sz w:val="15"/>
              </w:rPr>
              <w:t>Null for non-damaging status moves.</w:t>
            </w:r>
          </w:p>
        </w:tc>
      </w:tr>
      <w:tr>
        <w:trPr>
          <w:cantSplit/>
        </w:trPr>
        <w:tc>
          <w:tcPr>
            <w:tcW w:type="dxa" w:w="2232"/>
            <w:shd w:fill="F8FAFB"/>
            <w:tcMar>
              <w:top w:w="55" w:type="dxa"/>
              <w:start w:w="65" w:type="dxa"/>
              <w:bottom w:w="55" w:type="dxa"/>
              <w:end w:w="65" w:type="dxa"/>
            </w:tcMar>
            <w:vAlign w:val="top"/>
          </w:tcPr>
          <w:p>
            <w:pPr>
              <w:spacing w:after="0" w:line="240" w:lineRule="auto"/>
            </w:pPr>
            <w:r>
              <w:rPr>
                <w:rFonts w:ascii="Arial" w:hAnsi="Arial"/>
                <w:color w:val="1F2933"/>
                <w:sz w:val="15"/>
              </w:rPr>
              <w:t>category</w:t>
            </w:r>
          </w:p>
        </w:tc>
        <w:tc>
          <w:tcPr>
            <w:tcW w:type="dxa" w:w="2376"/>
            <w:shd w:fill="F8FAFB"/>
            <w:tcMar>
              <w:top w:w="55" w:type="dxa"/>
              <w:start w:w="65" w:type="dxa"/>
              <w:bottom w:w="55" w:type="dxa"/>
              <w:end w:w="65" w:type="dxa"/>
            </w:tcMar>
            <w:vAlign w:val="top"/>
          </w:tcPr>
          <w:p>
            <w:pPr>
              <w:spacing w:after="0" w:line="240" w:lineRule="auto"/>
            </w:pPr>
            <w:r>
              <w:rPr>
                <w:rFonts w:ascii="Arial" w:hAnsi="Arial"/>
                <w:color w:val="1F2933"/>
                <w:sz w:val="15"/>
              </w:rPr>
              <w:t>PHYSICAL / SPECIAL / STATUS</w:t>
            </w:r>
          </w:p>
        </w:tc>
        <w:tc>
          <w:tcPr>
            <w:tcW w:type="dxa" w:w="5400"/>
            <w:shd w:fill="F8FAFB"/>
            <w:tcMar>
              <w:top w:w="55" w:type="dxa"/>
              <w:start w:w="65" w:type="dxa"/>
              <w:bottom w:w="55" w:type="dxa"/>
              <w:end w:w="65" w:type="dxa"/>
            </w:tcMar>
            <w:vAlign w:val="top"/>
          </w:tcPr>
          <w:p>
            <w:pPr>
              <w:spacing w:after="0" w:line="240" w:lineRule="auto"/>
            </w:pPr>
            <w:r>
              <w:rPr>
                <w:rFonts w:ascii="Arial" w:hAnsi="Arial"/>
                <w:color w:val="1F2933"/>
                <w:sz w:val="15"/>
              </w:rPr>
              <w:t>Explicit per move; never type-derived.</w:t>
            </w:r>
          </w:p>
        </w:tc>
      </w:tr>
      <w:tr>
        <w:trPr>
          <w:cantSplit/>
        </w:trPr>
        <w:tc>
          <w:tcPr>
            <w:tcW w:type="dxa" w:w="2232"/>
            <w:tcMar>
              <w:top w:w="55" w:type="dxa"/>
              <w:start w:w="65" w:type="dxa"/>
              <w:bottom w:w="55" w:type="dxa"/>
              <w:end w:w="65" w:type="dxa"/>
            </w:tcMar>
            <w:vAlign w:val="top"/>
          </w:tcPr>
          <w:p>
            <w:pPr>
              <w:spacing w:after="0" w:line="240" w:lineRule="auto"/>
            </w:pPr>
            <w:r>
              <w:rPr>
                <w:rFonts w:ascii="Arial" w:hAnsi="Arial"/>
                <w:color w:val="1F2933"/>
                <w:sz w:val="15"/>
              </w:rPr>
              <w:t>accuracy</w:t>
            </w:r>
          </w:p>
        </w:tc>
        <w:tc>
          <w:tcPr>
            <w:tcW w:type="dxa" w:w="2376"/>
            <w:tcMar>
              <w:top w:w="55" w:type="dxa"/>
              <w:start w:w="65" w:type="dxa"/>
              <w:bottom w:w="55" w:type="dxa"/>
              <w:end w:w="65" w:type="dxa"/>
            </w:tcMar>
            <w:vAlign w:val="top"/>
          </w:tcPr>
          <w:p>
            <w:pPr>
              <w:spacing w:after="0" w:line="240" w:lineRule="auto"/>
            </w:pPr>
            <w:r>
              <w:rPr>
                <w:rFonts w:ascii="Arial" w:hAnsi="Arial"/>
                <w:color w:val="1F2933"/>
                <w:sz w:val="15"/>
              </w:rPr>
              <w:t>ALWAYS / 100 / 95 / 90</w:t>
            </w:r>
          </w:p>
        </w:tc>
        <w:tc>
          <w:tcPr>
            <w:tcW w:type="dxa" w:w="5400"/>
            <w:tcMar>
              <w:top w:w="55" w:type="dxa"/>
              <w:start w:w="65" w:type="dxa"/>
              <w:bottom w:w="55" w:type="dxa"/>
              <w:end w:w="65" w:type="dxa"/>
            </w:tcMar>
            <w:vAlign w:val="top"/>
          </w:tcPr>
          <w:p>
            <w:pPr>
              <w:spacing w:after="0" w:line="240" w:lineRule="auto"/>
            </w:pPr>
            <w:r>
              <w:rPr>
                <w:rFonts w:ascii="Arial" w:hAnsi="Arial"/>
                <w:color w:val="1F2933"/>
                <w:sz w:val="15"/>
              </w:rPr>
              <w:t>Resolved before battle; ALWAYS does not roll accuracy.</w:t>
            </w:r>
          </w:p>
        </w:tc>
      </w:tr>
      <w:tr>
        <w:trPr>
          <w:cantSplit/>
        </w:trPr>
        <w:tc>
          <w:tcPr>
            <w:tcW w:type="dxa" w:w="2232"/>
            <w:shd w:fill="F8FAFB"/>
            <w:tcMar>
              <w:top w:w="55" w:type="dxa"/>
              <w:start w:w="65" w:type="dxa"/>
              <w:bottom w:w="55" w:type="dxa"/>
              <w:end w:w="65" w:type="dxa"/>
            </w:tcMar>
            <w:vAlign w:val="top"/>
          </w:tcPr>
          <w:p>
            <w:pPr>
              <w:spacing w:after="0" w:line="240" w:lineRule="auto"/>
            </w:pPr>
            <w:r>
              <w:rPr>
                <w:rFonts w:ascii="Arial" w:hAnsi="Arial"/>
                <w:color w:val="1F2933"/>
                <w:sz w:val="15"/>
              </w:rPr>
              <w:t>priority</w:t>
            </w:r>
          </w:p>
        </w:tc>
        <w:tc>
          <w:tcPr>
            <w:tcW w:type="dxa" w:w="2376"/>
            <w:shd w:fill="F8FAFB"/>
            <w:tcMar>
              <w:top w:w="55" w:type="dxa"/>
              <w:start w:w="65" w:type="dxa"/>
              <w:bottom w:w="55" w:type="dxa"/>
              <w:end w:w="65" w:type="dxa"/>
            </w:tcMar>
            <w:vAlign w:val="top"/>
          </w:tcPr>
          <w:p>
            <w:pPr>
              <w:spacing w:after="0" w:line="240" w:lineRule="auto"/>
            </w:pPr>
            <w:r>
              <w:rPr>
                <w:rFonts w:ascii="Arial" w:hAnsi="Arial"/>
                <w:color w:val="1F2933"/>
                <w:sz w:val="15"/>
              </w:rPr>
              <w:t>Integer</w:t>
            </w:r>
          </w:p>
        </w:tc>
        <w:tc>
          <w:tcPr>
            <w:tcW w:type="dxa" w:w="5400"/>
            <w:shd w:fill="F8FAFB"/>
            <w:tcMar>
              <w:top w:w="55" w:type="dxa"/>
              <w:start w:w="65" w:type="dxa"/>
              <w:bottom w:w="55" w:type="dxa"/>
              <w:end w:w="65" w:type="dxa"/>
            </w:tcMar>
            <w:vAlign w:val="top"/>
          </w:tcPr>
          <w:p>
            <w:pPr>
              <w:spacing w:after="0" w:line="240" w:lineRule="auto"/>
            </w:pPr>
            <w:r>
              <w:rPr>
                <w:rFonts w:ascii="Arial" w:hAnsi="Arial"/>
                <w:color w:val="1F2933"/>
                <w:sz w:val="15"/>
              </w:rPr>
              <w:t>v1.0 values are +1 or 0 only.</w:t>
            </w:r>
          </w:p>
        </w:tc>
      </w:tr>
      <w:tr>
        <w:trPr>
          <w:cantSplit/>
        </w:trPr>
        <w:tc>
          <w:tcPr>
            <w:tcW w:type="dxa" w:w="2232"/>
            <w:tcMar>
              <w:top w:w="55" w:type="dxa"/>
              <w:start w:w="65" w:type="dxa"/>
              <w:bottom w:w="55" w:type="dxa"/>
              <w:end w:w="65" w:type="dxa"/>
            </w:tcMar>
            <w:vAlign w:val="top"/>
          </w:tcPr>
          <w:p>
            <w:pPr>
              <w:spacing w:after="0" w:line="240" w:lineRule="auto"/>
            </w:pPr>
            <w:r>
              <w:rPr>
                <w:rFonts w:ascii="Arial" w:hAnsi="Arial"/>
                <w:color w:val="1F2933"/>
                <w:sz w:val="15"/>
              </w:rPr>
              <w:t>target</w:t>
            </w:r>
          </w:p>
        </w:tc>
        <w:tc>
          <w:tcPr>
            <w:tcW w:type="dxa" w:w="2376"/>
            <w:tcMar>
              <w:top w:w="55" w:type="dxa"/>
              <w:start w:w="65" w:type="dxa"/>
              <w:bottom w:w="55" w:type="dxa"/>
              <w:end w:w="65" w:type="dxa"/>
            </w:tcMar>
            <w:vAlign w:val="top"/>
          </w:tcPr>
          <w:p>
            <w:pPr>
              <w:spacing w:after="0" w:line="240" w:lineRule="auto"/>
            </w:pPr>
            <w:r>
              <w:rPr>
                <w:rFonts w:ascii="Arial" w:hAnsi="Arial"/>
                <w:color w:val="1F2933"/>
                <w:sz w:val="15"/>
              </w:rPr>
              <w:t>Target enum</w:t>
            </w:r>
          </w:p>
        </w:tc>
        <w:tc>
          <w:tcPr>
            <w:tcW w:type="dxa" w:w="5400"/>
            <w:tcMar>
              <w:top w:w="55" w:type="dxa"/>
              <w:start w:w="65" w:type="dxa"/>
              <w:bottom w:w="55" w:type="dxa"/>
              <w:end w:w="65" w:type="dxa"/>
            </w:tcMar>
            <w:vAlign w:val="top"/>
          </w:tcPr>
          <w:p>
            <w:pPr>
              <w:spacing w:after="0" w:line="240" w:lineRule="auto"/>
            </w:pPr>
            <w:r>
              <w:rPr>
                <w:rFonts w:ascii="Arial" w:hAnsi="Arial"/>
                <w:color w:val="1F2933"/>
                <w:sz w:val="15"/>
              </w:rPr>
              <w:t>SELF, SINGLE_FOE, ALLY_OR_SELF, ACTIVE_SIDE, FOE_SIDE, ALL_FOES or FIELD.</w:t>
            </w:r>
          </w:p>
        </w:tc>
      </w:tr>
      <w:tr>
        <w:trPr>
          <w:cantSplit/>
        </w:trPr>
        <w:tc>
          <w:tcPr>
            <w:tcW w:type="dxa" w:w="2232"/>
            <w:shd w:fill="F8FAFB"/>
            <w:tcMar>
              <w:top w:w="55" w:type="dxa"/>
              <w:start w:w="65" w:type="dxa"/>
              <w:bottom w:w="55" w:type="dxa"/>
              <w:end w:w="65" w:type="dxa"/>
            </w:tcMar>
            <w:vAlign w:val="top"/>
          </w:tcPr>
          <w:p>
            <w:pPr>
              <w:spacing w:after="0" w:line="240" w:lineRule="auto"/>
            </w:pPr>
            <w:r>
              <w:rPr>
                <w:rFonts w:ascii="Arial" w:hAnsi="Arial"/>
                <w:color w:val="1F2933"/>
                <w:sz w:val="15"/>
              </w:rPr>
              <w:t>effect_id / effect parameters</w:t>
            </w:r>
          </w:p>
        </w:tc>
        <w:tc>
          <w:tcPr>
            <w:tcW w:type="dxa" w:w="2376"/>
            <w:shd w:fill="F8FAFB"/>
            <w:tcMar>
              <w:top w:w="55" w:type="dxa"/>
              <w:start w:w="65" w:type="dxa"/>
              <w:bottom w:w="55" w:type="dxa"/>
              <w:end w:w="65" w:type="dxa"/>
            </w:tcMar>
            <w:vAlign w:val="top"/>
          </w:tcPr>
          <w:p>
            <w:pPr>
              <w:spacing w:after="0" w:line="240" w:lineRule="auto"/>
            </w:pPr>
            <w:r>
              <w:rPr>
                <w:rFonts w:ascii="Arial" w:hAnsi="Arial"/>
                <w:color w:val="1F2933"/>
                <w:sz w:val="15"/>
              </w:rPr>
              <w:t>Structured mechanic</w:t>
            </w:r>
          </w:p>
        </w:tc>
        <w:tc>
          <w:tcPr>
            <w:tcW w:type="dxa" w:w="5400"/>
            <w:shd w:fill="F8FAFB"/>
            <w:tcMar>
              <w:top w:w="55" w:type="dxa"/>
              <w:start w:w="65" w:type="dxa"/>
              <w:bottom w:w="55" w:type="dxa"/>
              <w:end w:w="65" w:type="dxa"/>
            </w:tcMar>
            <w:vAlign w:val="top"/>
          </w:tcPr>
          <w:p>
            <w:pPr>
              <w:spacing w:after="0" w:line="240" w:lineRule="auto"/>
            </w:pPr>
            <w:r>
              <w:rPr>
                <w:rFonts w:ascii="Arial" w:hAnsi="Arial"/>
                <w:color w:val="1F2933"/>
                <w:sz w:val="15"/>
              </w:rPr>
              <w:t>Effect text is presentation; runtime uses structured effect data.</w:t>
            </w:r>
          </w:p>
        </w:tc>
      </w:tr>
      <w:tr>
        <w:trPr>
          <w:cantSplit/>
        </w:trPr>
        <w:tc>
          <w:tcPr>
            <w:tcW w:type="dxa" w:w="2232"/>
            <w:tcMar>
              <w:top w:w="55" w:type="dxa"/>
              <w:start w:w="65" w:type="dxa"/>
              <w:bottom w:w="55" w:type="dxa"/>
              <w:end w:w="65" w:type="dxa"/>
            </w:tcMar>
            <w:vAlign w:val="top"/>
          </w:tcPr>
          <w:p>
            <w:pPr>
              <w:spacing w:after="0" w:line="240" w:lineRule="auto"/>
            </w:pPr>
            <w:r>
              <w:rPr>
                <w:rFonts w:ascii="Arial" w:hAnsi="Arial"/>
                <w:color w:val="1F2933"/>
                <w:sz w:val="15"/>
              </w:rPr>
              <w:t>signature_owner_family</w:t>
            </w:r>
          </w:p>
        </w:tc>
        <w:tc>
          <w:tcPr>
            <w:tcW w:type="dxa" w:w="2376"/>
            <w:tcMar>
              <w:top w:w="55" w:type="dxa"/>
              <w:start w:w="65" w:type="dxa"/>
              <w:bottom w:w="55" w:type="dxa"/>
              <w:end w:w="65" w:type="dxa"/>
            </w:tcMar>
            <w:vAlign w:val="top"/>
          </w:tcPr>
          <w:p>
            <w:pPr>
              <w:spacing w:after="0" w:line="240" w:lineRule="auto"/>
            </w:pPr>
            <w:r>
              <w:rPr>
                <w:rFonts w:ascii="Arial" w:hAnsi="Arial"/>
                <w:color w:val="1F2933"/>
                <w:sz w:val="15"/>
              </w:rPr>
              <w:t>Family ID or null</w:t>
            </w:r>
          </w:p>
        </w:tc>
        <w:tc>
          <w:tcPr>
            <w:tcW w:type="dxa" w:w="5400"/>
            <w:tcMar>
              <w:top w:w="55" w:type="dxa"/>
              <w:start w:w="65" w:type="dxa"/>
              <w:bottom w:w="55" w:type="dxa"/>
              <w:end w:w="65" w:type="dxa"/>
            </w:tcMar>
            <w:vAlign w:val="top"/>
          </w:tcPr>
          <w:p>
            <w:pPr>
              <w:spacing w:after="0" w:line="240" w:lineRule="auto"/>
            </w:pPr>
            <w:r>
              <w:rPr>
                <w:rFonts w:ascii="Arial" w:hAnsi="Arial"/>
                <w:color w:val="1F2933"/>
                <w:sz w:val="15"/>
              </w:rPr>
              <w:t>Derived from named Signature / Best Fit; General = null.</w:t>
            </w:r>
          </w:p>
        </w:tc>
      </w:tr>
    </w:tbl>
    <w:p>
      <w:pPr>
        <w:spacing w:after="0"/>
      </w:pPr>
    </w:p>
    <w:p>
      <w:pPr>
        <w:pStyle w:val="Heading1"/>
      </w:pPr>
      <w:r>
        <w:t>3. Physical / Special / Status classification</w:t>
      </w:r>
    </w:p>
    <w:p>
      <w:pPr>
        <w:spacing w:after="80" w:line="250" w:lineRule="auto"/>
      </w:pPr>
      <w:r>
        <w:rPr>
          <w:rFonts w:ascii="Arial" w:hAnsi="Arial"/>
          <w:color w:val="1F2933"/>
          <w:sz w:val="18"/>
        </w:rPr>
        <w:t>The game uses the modern per-move damage-category split. There is no Generation III type-wide Physical/Special split.</w:t>
      </w:r>
    </w:p>
    <w:p>
      <w:pPr>
        <w:pStyle w:val="ListBullet"/>
        <w:spacing w:after="30" w:line="240" w:lineRule="auto"/>
      </w:pPr>
      <w:r>
        <w:rPr>
          <w:rFonts w:ascii="Arial" w:hAnsi="Arial"/>
          <w:color w:val="1F2933"/>
          <w:sz w:val="18"/>
        </w:rPr>
        <w:t>STATUS: every move whose base power is absent/dash. A status move cannot deal ordinary direct attack damage through the damage formula.</w:t>
      </w:r>
    </w:p>
    <w:p>
      <w:pPr>
        <w:pStyle w:val="ListBullet"/>
        <w:spacing w:after="30" w:line="240" w:lineRule="auto"/>
      </w:pPr>
      <w:r>
        <w:rPr>
          <w:rFonts w:ascii="Arial" w:hAnsi="Arial"/>
          <w:color w:val="1F2933"/>
          <w:sz w:val="18"/>
        </w:rPr>
        <w:t>PHYSICAL: damaging moves whose authored action is a bodily strike, bite, claw, cut, kick, rush, grapple, projectile weapon impact or other contact/force-led attack.</w:t>
      </w:r>
    </w:p>
    <w:p>
      <w:pPr>
        <w:pStyle w:val="ListBullet"/>
        <w:spacing w:after="30" w:line="240" w:lineRule="auto"/>
      </w:pPr>
      <w:r>
        <w:rPr>
          <w:rFonts w:ascii="Arial" w:hAnsi="Arial"/>
          <w:color w:val="1F2933"/>
          <w:sz w:val="18"/>
        </w:rPr>
        <w:t>SPECIAL: damaging moves whose authored action is a projected elemental, psychic, spectral, magical, pulse, beam, cloud, wave or similar non-contact energy attack.</w:t>
      </w:r>
    </w:p>
    <w:p>
      <w:pPr>
        <w:pStyle w:val="ListBullet"/>
        <w:spacing w:after="30" w:line="240" w:lineRule="auto"/>
      </w:pPr>
      <w:r>
        <w:rPr>
          <w:rFonts w:ascii="Arial" w:hAnsi="Arial"/>
          <w:color w:val="1F2933"/>
          <w:sz w:val="18"/>
        </w:rPr>
        <w:t>Ambiguous names are resolved by authored action/effect intent, not by string matching. The data file stores the final answer explicitly; runtime code never guesses category from a move name.</w:t>
      </w:r>
    </w:p>
    <w:p>
      <w:pPr>
        <w:spacing w:after="80" w:line="250" w:lineRule="auto"/>
      </w:pPr>
      <w:r>
        <w:rPr>
          <w:rFonts w:ascii="Arial" w:hAnsi="Arial"/>
          <w:color w:val="1F2933"/>
          <w:sz w:val="18"/>
        </w:rPr>
        <w:t>Role QA uses the stat spread: Attack at least 15 above Sp. Atk = physical-leaning; Sp. Atk at least 15 above Attack = special-leaning; otherwise mixed. This is a validation heuristic, not a battle modifier.</w:t>
      </w:r>
    </w:p>
    <w:p>
      <w:pPr>
        <w:pStyle w:val="Heading1"/>
      </w:pPr>
      <w:r>
        <w:t>4. Accuracy, priority and targeting</w:t>
      </w:r>
    </w:p>
    <w:p>
      <w:pPr>
        <w:pStyle w:val="Heading2"/>
      </w:pPr>
      <w:r>
        <w:t>4.1 Accuracy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816"/>
            <w:shd w:fill="182738"/>
            <w:tcMar>
              <w:top w:w="65" w:type="dxa"/>
              <w:start w:w="70" w:type="dxa"/>
              <w:bottom w:w="65" w:type="dxa"/>
              <w:end w:w="70" w:type="dxa"/>
            </w:tcMar>
            <w:vAlign w:val="center"/>
          </w:tcPr>
          <w:p>
            <w:pPr>
              <w:spacing w:after="0"/>
              <w:jc w:val="center"/>
            </w:pPr>
            <w:r>
              <w:rPr>
                <w:rFonts w:ascii="Arial" w:hAnsi="Arial"/>
                <w:b/>
                <w:color w:val="FFFFFF"/>
                <w:sz w:val="16"/>
              </w:rPr>
              <w:t>Move class</w:t>
            </w:r>
          </w:p>
        </w:tc>
        <w:tc>
          <w:tcPr>
            <w:tcW w:type="dxa" w:w="1152"/>
            <w:shd w:fill="182738"/>
            <w:tcMar>
              <w:top w:w="65" w:type="dxa"/>
              <w:start w:w="70" w:type="dxa"/>
              <w:bottom w:w="65" w:type="dxa"/>
              <w:end w:w="70" w:type="dxa"/>
            </w:tcMar>
            <w:vAlign w:val="center"/>
          </w:tcPr>
          <w:p>
            <w:pPr>
              <w:spacing w:after="0"/>
              <w:jc w:val="center"/>
            </w:pPr>
            <w:r>
              <w:rPr>
                <w:rFonts w:ascii="Arial" w:hAnsi="Arial"/>
                <w:b/>
                <w:color w:val="FFFFFF"/>
                <w:sz w:val="16"/>
              </w:rPr>
              <w:t>Accuracy</w:t>
            </w:r>
          </w:p>
        </w:tc>
        <w:tc>
          <w:tcPr>
            <w:tcW w:type="dxa" w:w="5040"/>
            <w:shd w:fill="182738"/>
            <w:tcMar>
              <w:top w:w="65" w:type="dxa"/>
              <w:start w:w="70" w:type="dxa"/>
              <w:bottom w:w="65" w:type="dxa"/>
              <w:end w:w="70" w:type="dxa"/>
            </w:tcMar>
            <w:vAlign w:val="center"/>
          </w:tcPr>
          <w:p>
            <w:pPr>
              <w:spacing w:after="0"/>
              <w:jc w:val="center"/>
            </w:pPr>
            <w:r>
              <w:rPr>
                <w:rFonts w:ascii="Arial" w:hAnsi="Arial"/>
                <w:b/>
                <w:color w:val="FFFFFF"/>
                <w:sz w:val="16"/>
              </w:rPr>
              <w:t>Locked rationale</w:t>
            </w:r>
          </w:p>
        </w:tc>
      </w:tr>
      <w:tr>
        <w:trPr>
          <w:cantSplit/>
        </w:trPr>
        <w:tc>
          <w:tcPr>
            <w:tcW w:type="dxa" w:w="3816"/>
            <w:tcMar>
              <w:top w:w="55" w:type="dxa"/>
              <w:start w:w="65" w:type="dxa"/>
              <w:bottom w:w="55" w:type="dxa"/>
              <w:end w:w="65" w:type="dxa"/>
            </w:tcMar>
            <w:vAlign w:val="top"/>
          </w:tcPr>
          <w:p>
            <w:pPr>
              <w:spacing w:after="0" w:line="240" w:lineRule="auto"/>
            </w:pPr>
            <w:r>
              <w:rPr>
                <w:rFonts w:ascii="Arial" w:hAnsi="Arial"/>
                <w:color w:val="1F2933"/>
                <w:sz w:val="16"/>
              </w:rPr>
              <w:t>Self / ally / side / field status</w:t>
            </w:r>
          </w:p>
        </w:tc>
        <w:tc>
          <w:tcPr>
            <w:tcW w:type="dxa" w:w="1152"/>
            <w:tcMar>
              <w:top w:w="55" w:type="dxa"/>
              <w:start w:w="65" w:type="dxa"/>
              <w:bottom w:w="55" w:type="dxa"/>
              <w:end w:w="65" w:type="dxa"/>
            </w:tcMar>
            <w:vAlign w:val="top"/>
          </w:tcPr>
          <w:p>
            <w:pPr>
              <w:spacing w:after="0" w:line="240" w:lineRule="auto"/>
            </w:pPr>
            <w:r>
              <w:rPr>
                <w:rFonts w:ascii="Arial" w:hAnsi="Arial"/>
                <w:color w:val="1F2933"/>
                <w:sz w:val="16"/>
              </w:rPr>
              <w:t>ALWAYS</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6"/>
              </w:rPr>
              <w:t>No accuracy roll when the move does not target an opposing individual.</w:t>
            </w:r>
          </w:p>
        </w:tc>
      </w:tr>
      <w:tr>
        <w:trPr>
          <w:cantSplit/>
        </w:trPr>
        <w:tc>
          <w:tcPr>
            <w:tcW w:type="dxa" w:w="3816"/>
            <w:shd w:fill="F8FAFB"/>
            <w:tcMar>
              <w:top w:w="55" w:type="dxa"/>
              <w:start w:w="65" w:type="dxa"/>
              <w:bottom w:w="55" w:type="dxa"/>
              <w:end w:w="65" w:type="dxa"/>
            </w:tcMar>
            <w:vAlign w:val="top"/>
          </w:tcPr>
          <w:p>
            <w:pPr>
              <w:spacing w:after="0" w:line="240" w:lineRule="auto"/>
            </w:pPr>
            <w:r>
              <w:rPr>
                <w:rFonts w:ascii="Arial" w:hAnsi="Arial"/>
                <w:color w:val="1F2933"/>
                <w:sz w:val="16"/>
              </w:rPr>
              <w:t>Opponent-target status — ordinary debuff/control</w:t>
            </w:r>
          </w:p>
        </w:tc>
        <w:tc>
          <w:tcPr>
            <w:tcW w:type="dxa" w:w="1152"/>
            <w:shd w:fill="F8FAFB"/>
            <w:tcMar>
              <w:top w:w="55" w:type="dxa"/>
              <w:start w:w="65" w:type="dxa"/>
              <w:bottom w:w="55" w:type="dxa"/>
              <w:end w:w="65" w:type="dxa"/>
            </w:tcMar>
            <w:vAlign w:val="top"/>
          </w:tcPr>
          <w:p>
            <w:pPr>
              <w:spacing w:after="0" w:line="240" w:lineRule="auto"/>
            </w:pPr>
            <w:r>
              <w:rPr>
                <w:rFonts w:ascii="Arial" w:hAnsi="Arial"/>
                <w:color w:val="1F2933"/>
                <w:sz w:val="16"/>
              </w:rPr>
              <w:t>100</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6"/>
              </w:rPr>
              <w:t>Reliable utility unless the effect is hard control.</w:t>
            </w:r>
          </w:p>
        </w:tc>
      </w:tr>
      <w:tr>
        <w:trPr>
          <w:cantSplit/>
        </w:trPr>
        <w:tc>
          <w:tcPr>
            <w:tcW w:type="dxa" w:w="3816"/>
            <w:tcMar>
              <w:top w:w="55" w:type="dxa"/>
              <w:start w:w="65" w:type="dxa"/>
              <w:bottom w:w="55" w:type="dxa"/>
              <w:end w:w="65" w:type="dxa"/>
            </w:tcMar>
            <w:vAlign w:val="top"/>
          </w:tcPr>
          <w:p>
            <w:pPr>
              <w:spacing w:after="0" w:line="240" w:lineRule="auto"/>
            </w:pPr>
            <w:r>
              <w:rPr>
                <w:rFonts w:ascii="Arial" w:hAnsi="Arial"/>
                <w:color w:val="1F2933"/>
                <w:sz w:val="16"/>
              </w:rPr>
              <w:t>Opponent-target status — direct sleep/freeze or equivalent hard disable</w:t>
            </w:r>
          </w:p>
        </w:tc>
        <w:tc>
          <w:tcPr>
            <w:tcW w:type="dxa" w:w="1152"/>
            <w:tcMar>
              <w:top w:w="55" w:type="dxa"/>
              <w:start w:w="65" w:type="dxa"/>
              <w:bottom w:w="55" w:type="dxa"/>
              <w:end w:w="65" w:type="dxa"/>
            </w:tcMar>
            <w:vAlign w:val="top"/>
          </w:tcPr>
          <w:p>
            <w:pPr>
              <w:spacing w:after="0" w:line="240" w:lineRule="auto"/>
            </w:pPr>
            <w:r>
              <w:rPr>
                <w:rFonts w:ascii="Arial" w:hAnsi="Arial"/>
                <w:color w:val="1F2933"/>
                <w:sz w:val="16"/>
              </w:rPr>
              <w:t>90</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6"/>
              </w:rPr>
              <w:t>Hard control retains meaningful failure risk.</w:t>
            </w:r>
          </w:p>
        </w:tc>
      </w:tr>
      <w:tr>
        <w:trPr>
          <w:cantSplit/>
        </w:trPr>
        <w:tc>
          <w:tcPr>
            <w:tcW w:type="dxa" w:w="3816"/>
            <w:shd w:fill="F8FAFB"/>
            <w:tcMar>
              <w:top w:w="55" w:type="dxa"/>
              <w:start w:w="65" w:type="dxa"/>
              <w:bottom w:w="55" w:type="dxa"/>
              <w:end w:w="65" w:type="dxa"/>
            </w:tcMar>
            <w:vAlign w:val="top"/>
          </w:tcPr>
          <w:p>
            <w:pPr>
              <w:spacing w:after="0" w:line="240" w:lineRule="auto"/>
            </w:pPr>
            <w:r>
              <w:rPr>
                <w:rFonts w:ascii="Arial" w:hAnsi="Arial"/>
                <w:color w:val="1F2933"/>
                <w:sz w:val="16"/>
              </w:rPr>
              <w:t>Damaging, 40–90 BP</w:t>
            </w:r>
          </w:p>
        </w:tc>
        <w:tc>
          <w:tcPr>
            <w:tcW w:type="dxa" w:w="1152"/>
            <w:shd w:fill="F8FAFB"/>
            <w:tcMar>
              <w:top w:w="55" w:type="dxa"/>
              <w:start w:w="65" w:type="dxa"/>
              <w:bottom w:w="55" w:type="dxa"/>
              <w:end w:w="65" w:type="dxa"/>
            </w:tcMar>
            <w:vAlign w:val="top"/>
          </w:tcPr>
          <w:p>
            <w:pPr>
              <w:spacing w:after="0" w:line="240" w:lineRule="auto"/>
            </w:pPr>
            <w:r>
              <w:rPr>
                <w:rFonts w:ascii="Arial" w:hAnsi="Arial"/>
                <w:color w:val="1F2933"/>
                <w:sz w:val="16"/>
              </w:rPr>
              <w:t>100</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6"/>
              </w:rPr>
              <w:t>Common attacks are dependable.</w:t>
            </w:r>
          </w:p>
        </w:tc>
      </w:tr>
      <w:tr>
        <w:trPr>
          <w:cantSplit/>
        </w:trPr>
        <w:tc>
          <w:tcPr>
            <w:tcW w:type="dxa" w:w="3816"/>
            <w:tcMar>
              <w:top w:w="55" w:type="dxa"/>
              <w:start w:w="65" w:type="dxa"/>
              <w:bottom w:w="55" w:type="dxa"/>
              <w:end w:w="65" w:type="dxa"/>
            </w:tcMar>
            <w:vAlign w:val="top"/>
          </w:tcPr>
          <w:p>
            <w:pPr>
              <w:spacing w:after="0" w:line="240" w:lineRule="auto"/>
            </w:pPr>
            <w:r>
              <w:rPr>
                <w:rFonts w:ascii="Arial" w:hAnsi="Arial"/>
                <w:color w:val="1F2933"/>
                <w:sz w:val="16"/>
              </w:rPr>
              <w:t>Damaging, 95–100 BP</w:t>
            </w:r>
          </w:p>
        </w:tc>
        <w:tc>
          <w:tcPr>
            <w:tcW w:type="dxa" w:w="1152"/>
            <w:tcMar>
              <w:top w:w="55" w:type="dxa"/>
              <w:start w:w="65" w:type="dxa"/>
              <w:bottom w:w="55" w:type="dxa"/>
              <w:end w:w="65" w:type="dxa"/>
            </w:tcMar>
            <w:vAlign w:val="top"/>
          </w:tcPr>
          <w:p>
            <w:pPr>
              <w:spacing w:after="0" w:line="240" w:lineRule="auto"/>
            </w:pPr>
            <w:r>
              <w:rPr>
                <w:rFonts w:ascii="Arial" w:hAnsi="Arial"/>
                <w:color w:val="1F2933"/>
                <w:sz w:val="16"/>
              </w:rPr>
              <w:t>95</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6"/>
              </w:rPr>
              <w:t>Strong attacks carry a small accuracy tax.</w:t>
            </w:r>
          </w:p>
        </w:tc>
      </w:tr>
      <w:tr>
        <w:trPr>
          <w:cantSplit/>
        </w:trPr>
        <w:tc>
          <w:tcPr>
            <w:tcW w:type="dxa" w:w="3816"/>
            <w:shd w:fill="F8FAFB"/>
            <w:tcMar>
              <w:top w:w="55" w:type="dxa"/>
              <w:start w:w="65" w:type="dxa"/>
              <w:bottom w:w="55" w:type="dxa"/>
              <w:end w:w="65" w:type="dxa"/>
            </w:tcMar>
            <w:vAlign w:val="top"/>
          </w:tcPr>
          <w:p>
            <w:pPr>
              <w:spacing w:after="0" w:line="240" w:lineRule="auto"/>
            </w:pPr>
            <w:r>
              <w:rPr>
                <w:rFonts w:ascii="Arial" w:hAnsi="Arial"/>
                <w:color w:val="1F2933"/>
                <w:sz w:val="16"/>
              </w:rPr>
              <w:t>Damaging, 110–120 BP</w:t>
            </w:r>
          </w:p>
        </w:tc>
        <w:tc>
          <w:tcPr>
            <w:tcW w:type="dxa" w:w="1152"/>
            <w:shd w:fill="F8FAFB"/>
            <w:tcMar>
              <w:top w:w="55" w:type="dxa"/>
              <w:start w:w="65" w:type="dxa"/>
              <w:bottom w:w="55" w:type="dxa"/>
              <w:end w:w="65" w:type="dxa"/>
            </w:tcMar>
            <w:vAlign w:val="top"/>
          </w:tcPr>
          <w:p>
            <w:pPr>
              <w:spacing w:after="0" w:line="240" w:lineRule="auto"/>
            </w:pPr>
            <w:r>
              <w:rPr>
                <w:rFonts w:ascii="Arial" w:hAnsi="Arial"/>
                <w:color w:val="1F2933"/>
                <w:sz w:val="16"/>
              </w:rPr>
              <w:t>90</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6"/>
              </w:rPr>
              <w:t>Highest generic power band carries a visible risk.</w:t>
            </w:r>
          </w:p>
        </w:tc>
      </w:tr>
    </w:tbl>
    <w:p>
      <w:pPr>
        <w:spacing w:after="0"/>
      </w:pPr>
    </w:p>
    <w:p>
      <w:pPr>
        <w:pStyle w:val="ListBullet"/>
        <w:spacing w:after="30" w:line="240" w:lineRule="auto"/>
      </w:pPr>
      <w:r>
        <w:rPr>
          <w:rFonts w:ascii="Arial" w:hAnsi="Arial"/>
          <w:color w:val="1F2933"/>
          <w:sz w:val="18"/>
        </w:rPr>
        <w:t>Recoil, self-stat drops, drain and secondary proc chances do not automatically alter accuracy; they are already part of the move budget.</w:t>
      </w:r>
    </w:p>
    <w:p>
      <w:pPr>
        <w:pStyle w:val="ListBullet"/>
        <w:spacing w:after="30" w:line="240" w:lineRule="auto"/>
      </w:pPr>
      <w:r>
        <w:rPr>
          <w:rFonts w:ascii="Arial" w:hAnsi="Arial"/>
          <w:color w:val="1F2933"/>
          <w:sz w:val="18"/>
        </w:rPr>
        <w:t>A signature move follows the same baseline unless its authored identity explicitly requires an exception. Any exception must be stored on that move, never inferred at runtime.</w:t>
      </w:r>
    </w:p>
    <w:p>
      <w:pPr>
        <w:pStyle w:val="Heading2"/>
      </w:pPr>
      <w:r>
        <w:t>4.2 Priority</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944"/>
            <w:shd w:fill="182738"/>
            <w:tcMar>
              <w:top w:w="65" w:type="dxa"/>
              <w:start w:w="70" w:type="dxa"/>
              <w:bottom w:w="65" w:type="dxa"/>
              <w:end w:w="70" w:type="dxa"/>
            </w:tcMar>
            <w:vAlign w:val="center"/>
          </w:tcPr>
          <w:p>
            <w:pPr>
              <w:spacing w:after="0"/>
              <w:jc w:val="center"/>
            </w:pPr>
            <w:r>
              <w:rPr>
                <w:rFonts w:ascii="Arial" w:hAnsi="Arial"/>
                <w:b/>
                <w:color w:val="FFFFFF"/>
                <w:sz w:val="15"/>
              </w:rPr>
              <w:t>Move</w:t>
            </w:r>
          </w:p>
        </w:tc>
        <w:tc>
          <w:tcPr>
            <w:tcW w:type="dxa" w:w="1037"/>
            <w:shd w:fill="182738"/>
            <w:tcMar>
              <w:top w:w="65" w:type="dxa"/>
              <w:start w:w="70" w:type="dxa"/>
              <w:bottom w:w="65" w:type="dxa"/>
              <w:end w:w="70" w:type="dxa"/>
            </w:tcMar>
            <w:vAlign w:val="center"/>
          </w:tcPr>
          <w:p>
            <w:pPr>
              <w:spacing w:after="0"/>
              <w:jc w:val="center"/>
            </w:pPr>
            <w:r>
              <w:rPr>
                <w:rFonts w:ascii="Arial" w:hAnsi="Arial"/>
                <w:b/>
                <w:color w:val="FFFFFF"/>
                <w:sz w:val="15"/>
              </w:rPr>
              <w:t>Type</w:t>
            </w:r>
          </w:p>
        </w:tc>
        <w:tc>
          <w:tcPr>
            <w:tcW w:type="dxa" w:w="691"/>
            <w:shd w:fill="182738"/>
            <w:tcMar>
              <w:top w:w="65" w:type="dxa"/>
              <w:start w:w="70" w:type="dxa"/>
              <w:bottom w:w="65" w:type="dxa"/>
              <w:end w:w="70" w:type="dxa"/>
            </w:tcMar>
            <w:vAlign w:val="center"/>
          </w:tcPr>
          <w:p>
            <w:pPr>
              <w:spacing w:after="0"/>
              <w:jc w:val="center"/>
            </w:pPr>
            <w:r>
              <w:rPr>
                <w:rFonts w:ascii="Arial" w:hAnsi="Arial"/>
                <w:b/>
                <w:color w:val="FFFFFF"/>
                <w:sz w:val="15"/>
              </w:rPr>
              <w:t>BP</w:t>
            </w:r>
          </w:p>
        </w:tc>
        <w:tc>
          <w:tcPr>
            <w:tcW w:type="dxa" w:w="691"/>
            <w:shd w:fill="182738"/>
            <w:tcMar>
              <w:top w:w="65" w:type="dxa"/>
              <w:start w:w="70" w:type="dxa"/>
              <w:bottom w:w="65" w:type="dxa"/>
              <w:end w:w="70" w:type="dxa"/>
            </w:tcMar>
            <w:vAlign w:val="center"/>
          </w:tcPr>
          <w:p>
            <w:pPr>
              <w:spacing w:after="0"/>
              <w:jc w:val="center"/>
            </w:pPr>
            <w:r>
              <w:rPr>
                <w:rFonts w:ascii="Arial" w:hAnsi="Arial"/>
                <w:b/>
                <w:color w:val="FFFFFF"/>
                <w:sz w:val="15"/>
              </w:rPr>
              <w:t>PP</w:t>
            </w:r>
          </w:p>
        </w:tc>
        <w:tc>
          <w:tcPr>
            <w:tcW w:type="dxa" w:w="979"/>
            <w:shd w:fill="182738"/>
            <w:tcMar>
              <w:top w:w="65" w:type="dxa"/>
              <w:start w:w="70" w:type="dxa"/>
              <w:bottom w:w="65" w:type="dxa"/>
              <w:end w:w="70" w:type="dxa"/>
            </w:tcMar>
            <w:vAlign w:val="center"/>
          </w:tcPr>
          <w:p>
            <w:pPr>
              <w:spacing w:after="0"/>
              <w:jc w:val="center"/>
            </w:pPr>
            <w:r>
              <w:rPr>
                <w:rFonts w:ascii="Arial" w:hAnsi="Arial"/>
                <w:b/>
                <w:color w:val="FFFFFF"/>
                <w:sz w:val="15"/>
              </w:rPr>
              <w:t>Priority</w:t>
            </w:r>
          </w:p>
        </w:tc>
        <w:tc>
          <w:tcPr>
            <w:tcW w:type="dxa" w:w="4680"/>
            <w:shd w:fill="182738"/>
            <w:tcMar>
              <w:top w:w="65" w:type="dxa"/>
              <w:start w:w="70" w:type="dxa"/>
              <w:bottom w:w="65" w:type="dxa"/>
              <w:end w:w="70" w:type="dxa"/>
            </w:tcMar>
            <w:vAlign w:val="center"/>
          </w:tcPr>
          <w:p>
            <w:pPr>
              <w:spacing w:after="0"/>
              <w:jc w:val="center"/>
            </w:pPr>
            <w:r>
              <w:rPr>
                <w:rFonts w:ascii="Arial" w:hAnsi="Arial"/>
                <w:b/>
                <w:color w:val="FFFFFF"/>
                <w:sz w:val="15"/>
              </w:rPr>
              <w:t>Rule</w:t>
            </w:r>
          </w:p>
        </w:tc>
      </w:tr>
      <w:tr>
        <w:trPr>
          <w:cantSplit/>
        </w:trPr>
        <w:tc>
          <w:tcPr>
            <w:tcW w:type="dxa" w:w="1944"/>
            <w:tcMar>
              <w:top w:w="55" w:type="dxa"/>
              <w:start w:w="65" w:type="dxa"/>
              <w:bottom w:w="55" w:type="dxa"/>
              <w:end w:w="65" w:type="dxa"/>
            </w:tcMar>
            <w:vAlign w:val="top"/>
          </w:tcPr>
          <w:p>
            <w:pPr>
              <w:spacing w:after="0" w:line="240" w:lineRule="auto"/>
            </w:pPr>
            <w:r>
              <w:rPr>
                <w:rFonts w:ascii="Arial" w:hAnsi="Arial"/>
                <w:color w:val="1F2933"/>
                <w:sz w:val="15"/>
              </w:rPr>
              <w:t>Plain Dash</w:t>
            </w:r>
          </w:p>
        </w:tc>
        <w:tc>
          <w:tcPr>
            <w:tcW w:type="dxa" w:w="1037"/>
            <w:tcMar>
              <w:top w:w="55" w:type="dxa"/>
              <w:start w:w="65" w:type="dxa"/>
              <w:bottom w:w="55" w:type="dxa"/>
              <w:end w:w="65" w:type="dxa"/>
            </w:tcMar>
            <w:vAlign w:val="top"/>
          </w:tcPr>
          <w:p>
            <w:pPr>
              <w:spacing w:after="0" w:line="240" w:lineRule="auto"/>
            </w:pPr>
            <w:r>
              <w:rPr>
                <w:rFonts w:ascii="Arial" w:hAnsi="Arial"/>
                <w:color w:val="1F2933"/>
                <w:sz w:val="15"/>
              </w:rPr>
              <w:t>Normal</w:t>
            </w:r>
          </w:p>
        </w:tc>
        <w:tc>
          <w:tcPr>
            <w:tcW w:type="dxa" w:w="691"/>
            <w:tcMar>
              <w:top w:w="55" w:type="dxa"/>
              <w:start w:w="65" w:type="dxa"/>
              <w:bottom w:w="55" w:type="dxa"/>
              <w:end w:w="65" w:type="dxa"/>
            </w:tcMar>
            <w:vAlign w:val="top"/>
          </w:tcPr>
          <w:p>
            <w:pPr>
              <w:spacing w:after="0" w:line="240" w:lineRule="auto"/>
            </w:pPr>
            <w:r>
              <w:rPr>
                <w:rFonts w:ascii="Arial" w:hAnsi="Arial"/>
                <w:color w:val="1F2933"/>
                <w:sz w:val="15"/>
              </w:rPr>
              <w:t>45</w:t>
            </w:r>
          </w:p>
        </w:tc>
        <w:tc>
          <w:tcPr>
            <w:tcW w:type="dxa" w:w="691"/>
            <w:tcMar>
              <w:top w:w="55" w:type="dxa"/>
              <w:start w:w="65" w:type="dxa"/>
              <w:bottom w:w="55" w:type="dxa"/>
              <w:end w:w="65" w:type="dxa"/>
            </w:tcMar>
            <w:vAlign w:val="top"/>
          </w:tcPr>
          <w:p>
            <w:pPr>
              <w:spacing w:after="0" w:line="240" w:lineRule="auto"/>
            </w:pPr>
            <w:r>
              <w:rPr>
                <w:rFonts w:ascii="Arial" w:hAnsi="Arial"/>
                <w:color w:val="1F2933"/>
                <w:sz w:val="15"/>
              </w:rPr>
              <w:t>35</w:t>
            </w:r>
          </w:p>
        </w:tc>
        <w:tc>
          <w:tcPr>
            <w:tcW w:type="dxa" w:w="979"/>
            <w:tcMar>
              <w:top w:w="55" w:type="dxa"/>
              <w:start w:w="65" w:type="dxa"/>
              <w:bottom w:w="55" w:type="dxa"/>
              <w:end w:w="65" w:type="dxa"/>
            </w:tcMar>
            <w:vAlign w:val="top"/>
          </w:tcPr>
          <w:p>
            <w:pPr>
              <w:spacing w:after="0" w:line="240" w:lineRule="auto"/>
            </w:pPr>
            <w:r>
              <w:rPr>
                <w:rFonts w:ascii="Arial" w:hAnsi="Arial"/>
                <w:color w:val="1F2933"/>
                <w:sz w:val="15"/>
              </w:rPr>
              <w:t>+1</w:t>
            </w:r>
          </w:p>
        </w:tc>
        <w:tc>
          <w:tcPr>
            <w:tcW w:type="dxa" w:w="4680"/>
            <w:tcMar>
              <w:top w:w="55" w:type="dxa"/>
              <w:start w:w="65" w:type="dxa"/>
              <w:bottom w:w="55" w:type="dxa"/>
              <w:end w:w="65" w:type="dxa"/>
            </w:tcMar>
            <w:vAlign w:val="top"/>
          </w:tcPr>
          <w:p>
            <w:pPr>
              <w:spacing w:after="0" w:line="240" w:lineRule="auto"/>
            </w:pPr>
            <w:r>
              <w:rPr>
                <w:rFonts w:ascii="Arial" w:hAnsi="Arial"/>
                <w:color w:val="1F2933"/>
                <w:sz w:val="15"/>
              </w:rPr>
              <w:t>Generic low-power tempo/revenge option.</w:t>
            </w:r>
          </w:p>
        </w:tc>
      </w:tr>
      <w:tr>
        <w:trPr>
          <w:cantSplit/>
        </w:trPr>
        <w:tc>
          <w:tcPr>
            <w:tcW w:type="dxa" w:w="1944"/>
            <w:shd w:fill="F8FAFB"/>
            <w:tcMar>
              <w:top w:w="55" w:type="dxa"/>
              <w:start w:w="65" w:type="dxa"/>
              <w:bottom w:w="55" w:type="dxa"/>
              <w:end w:w="65" w:type="dxa"/>
            </w:tcMar>
            <w:vAlign w:val="top"/>
          </w:tcPr>
          <w:p>
            <w:pPr>
              <w:spacing w:after="0" w:line="240" w:lineRule="auto"/>
            </w:pPr>
            <w:r>
              <w:rPr>
                <w:rFonts w:ascii="Arial" w:hAnsi="Arial"/>
                <w:color w:val="1F2933"/>
                <w:sz w:val="15"/>
              </w:rPr>
              <w:t>Frost Shard</w:t>
            </w:r>
          </w:p>
        </w:tc>
        <w:tc>
          <w:tcPr>
            <w:tcW w:type="dxa" w:w="1037"/>
            <w:shd w:fill="F8FAFB"/>
            <w:tcMar>
              <w:top w:w="55" w:type="dxa"/>
              <w:start w:w="65" w:type="dxa"/>
              <w:bottom w:w="55" w:type="dxa"/>
              <w:end w:w="65" w:type="dxa"/>
            </w:tcMar>
            <w:vAlign w:val="top"/>
          </w:tcPr>
          <w:p>
            <w:pPr>
              <w:spacing w:after="0" w:line="240" w:lineRule="auto"/>
            </w:pPr>
            <w:r>
              <w:rPr>
                <w:rFonts w:ascii="Arial" w:hAnsi="Arial"/>
                <w:color w:val="1F2933"/>
                <w:sz w:val="15"/>
              </w:rPr>
              <w:t>Ice</w:t>
            </w:r>
          </w:p>
        </w:tc>
        <w:tc>
          <w:tcPr>
            <w:tcW w:type="dxa" w:w="691"/>
            <w:shd w:fill="F8FAFB"/>
            <w:tcMar>
              <w:top w:w="55" w:type="dxa"/>
              <w:start w:w="65" w:type="dxa"/>
              <w:bottom w:w="55" w:type="dxa"/>
              <w:end w:w="65" w:type="dxa"/>
            </w:tcMar>
            <w:vAlign w:val="top"/>
          </w:tcPr>
          <w:p>
            <w:pPr>
              <w:spacing w:after="0" w:line="240" w:lineRule="auto"/>
            </w:pPr>
            <w:r>
              <w:rPr>
                <w:rFonts w:ascii="Arial" w:hAnsi="Arial"/>
                <w:color w:val="1F2933"/>
                <w:sz w:val="15"/>
              </w:rPr>
              <w:t>45</w:t>
            </w:r>
          </w:p>
        </w:tc>
        <w:tc>
          <w:tcPr>
            <w:tcW w:type="dxa" w:w="691"/>
            <w:shd w:fill="F8FAFB"/>
            <w:tcMar>
              <w:top w:w="55" w:type="dxa"/>
              <w:start w:w="65" w:type="dxa"/>
              <w:bottom w:w="55" w:type="dxa"/>
              <w:end w:w="65" w:type="dxa"/>
            </w:tcMar>
            <w:vAlign w:val="top"/>
          </w:tcPr>
          <w:p>
            <w:pPr>
              <w:spacing w:after="0" w:line="240" w:lineRule="auto"/>
            </w:pPr>
            <w:r>
              <w:rPr>
                <w:rFonts w:ascii="Arial" w:hAnsi="Arial"/>
                <w:color w:val="1F2933"/>
                <w:sz w:val="15"/>
              </w:rPr>
              <w:t>35</w:t>
            </w:r>
          </w:p>
        </w:tc>
        <w:tc>
          <w:tcPr>
            <w:tcW w:type="dxa" w:w="979"/>
            <w:shd w:fill="F8FAFB"/>
            <w:tcMar>
              <w:top w:w="55" w:type="dxa"/>
              <w:start w:w="65" w:type="dxa"/>
              <w:bottom w:w="55" w:type="dxa"/>
              <w:end w:w="65" w:type="dxa"/>
            </w:tcMar>
            <w:vAlign w:val="top"/>
          </w:tcPr>
          <w:p>
            <w:pPr>
              <w:spacing w:after="0" w:line="240" w:lineRule="auto"/>
            </w:pPr>
            <w:r>
              <w:rPr>
                <w:rFonts w:ascii="Arial" w:hAnsi="Arial"/>
                <w:color w:val="1F2933"/>
                <w:sz w:val="15"/>
              </w:rPr>
              <w:t>+1</w:t>
            </w:r>
          </w:p>
        </w:tc>
        <w:tc>
          <w:tcPr>
            <w:tcW w:type="dxa" w:w="4680"/>
            <w:shd w:fill="F8FAFB"/>
            <w:tcMar>
              <w:top w:w="55" w:type="dxa"/>
              <w:start w:w="65" w:type="dxa"/>
              <w:bottom w:w="55" w:type="dxa"/>
              <w:end w:w="65" w:type="dxa"/>
            </w:tcMar>
            <w:vAlign w:val="top"/>
          </w:tcPr>
          <w:p>
            <w:pPr>
              <w:spacing w:after="0" w:line="240" w:lineRule="auto"/>
            </w:pPr>
            <w:r>
              <w:rPr>
                <w:rFonts w:ascii="Arial" w:hAnsi="Arial"/>
                <w:color w:val="1F2933"/>
                <w:sz w:val="15"/>
              </w:rPr>
              <w:t>Ice-family priority identity; low power prevents it becoming a universal finisher.</w:t>
            </w:r>
          </w:p>
        </w:tc>
      </w:tr>
      <w:tr>
        <w:trPr>
          <w:cantSplit/>
        </w:trPr>
        <w:tc>
          <w:tcPr>
            <w:tcW w:type="dxa" w:w="1944"/>
            <w:tcMar>
              <w:top w:w="55" w:type="dxa"/>
              <w:start w:w="65" w:type="dxa"/>
              <w:bottom w:w="55" w:type="dxa"/>
              <w:end w:w="65" w:type="dxa"/>
            </w:tcMar>
            <w:vAlign w:val="top"/>
          </w:tcPr>
          <w:p>
            <w:pPr>
              <w:spacing w:after="0" w:line="240" w:lineRule="auto"/>
            </w:pPr>
            <w:r>
              <w:rPr>
                <w:rFonts w:ascii="Arial" w:hAnsi="Arial"/>
                <w:color w:val="1F2933"/>
                <w:sz w:val="15"/>
              </w:rPr>
              <w:t>All other existing moves</w:t>
            </w:r>
          </w:p>
        </w:tc>
        <w:tc>
          <w:tcPr>
            <w:tcW w:type="dxa" w:w="1037"/>
            <w:tcMar>
              <w:top w:w="55" w:type="dxa"/>
              <w:start w:w="65" w:type="dxa"/>
              <w:bottom w:w="55" w:type="dxa"/>
              <w:end w:w="65" w:type="dxa"/>
            </w:tcMar>
            <w:vAlign w:val="top"/>
          </w:tcPr>
          <w:p>
            <w:pPr>
              <w:spacing w:after="0" w:line="240" w:lineRule="auto"/>
            </w:pPr>
            <w:r>
              <w:rPr>
                <w:rFonts w:ascii="Arial" w:hAnsi="Arial"/>
                <w:color w:val="1F2933"/>
                <w:sz w:val="15"/>
              </w:rPr>
              <w:t>—</w:t>
            </w:r>
          </w:p>
        </w:tc>
        <w:tc>
          <w:tcPr>
            <w:tcW w:type="dxa" w:w="691"/>
            <w:tcMar>
              <w:top w:w="55" w:type="dxa"/>
              <w:start w:w="65" w:type="dxa"/>
              <w:bottom w:w="55" w:type="dxa"/>
              <w:end w:w="65" w:type="dxa"/>
            </w:tcMar>
            <w:vAlign w:val="top"/>
          </w:tcPr>
          <w:p>
            <w:pPr>
              <w:spacing w:after="0" w:line="240" w:lineRule="auto"/>
            </w:pPr>
            <w:r>
              <w:rPr>
                <w:rFonts w:ascii="Arial" w:hAnsi="Arial"/>
                <w:color w:val="1F2933"/>
                <w:sz w:val="15"/>
              </w:rPr>
              <w:t>—</w:t>
            </w:r>
          </w:p>
        </w:tc>
        <w:tc>
          <w:tcPr>
            <w:tcW w:type="dxa" w:w="691"/>
            <w:tcMar>
              <w:top w:w="55" w:type="dxa"/>
              <w:start w:w="65" w:type="dxa"/>
              <w:bottom w:w="55" w:type="dxa"/>
              <w:end w:w="65" w:type="dxa"/>
            </w:tcMar>
            <w:vAlign w:val="top"/>
          </w:tcPr>
          <w:p>
            <w:pPr>
              <w:spacing w:after="0" w:line="240" w:lineRule="auto"/>
            </w:pPr>
            <w:r>
              <w:rPr>
                <w:rFonts w:ascii="Arial" w:hAnsi="Arial"/>
                <w:color w:val="1F2933"/>
                <w:sz w:val="15"/>
              </w:rPr>
              <w:t>—</w:t>
            </w:r>
          </w:p>
        </w:tc>
        <w:tc>
          <w:tcPr>
            <w:tcW w:type="dxa" w:w="979"/>
            <w:tcMar>
              <w:top w:w="55" w:type="dxa"/>
              <w:start w:w="65" w:type="dxa"/>
              <w:bottom w:w="55" w:type="dxa"/>
              <w:end w:w="65" w:type="dxa"/>
            </w:tcMar>
            <w:vAlign w:val="top"/>
          </w:tcPr>
          <w:p>
            <w:pPr>
              <w:spacing w:after="0" w:line="240" w:lineRule="auto"/>
            </w:pPr>
            <w:r>
              <w:rPr>
                <w:rFonts w:ascii="Arial" w:hAnsi="Arial"/>
                <w:color w:val="1F2933"/>
                <w:sz w:val="15"/>
              </w:rPr>
              <w:t>0</w:t>
            </w:r>
          </w:p>
        </w:tc>
        <w:tc>
          <w:tcPr>
            <w:tcW w:type="dxa" w:w="4680"/>
            <w:tcMar>
              <w:top w:w="55" w:type="dxa"/>
              <w:start w:w="65" w:type="dxa"/>
              <w:bottom w:w="55" w:type="dxa"/>
              <w:end w:w="65" w:type="dxa"/>
            </w:tcMar>
            <w:vAlign w:val="top"/>
          </w:tcPr>
          <w:p>
            <w:pPr>
              <w:spacing w:after="0" w:line="240" w:lineRule="auto"/>
            </w:pPr>
            <w:r>
              <w:rPr>
                <w:rFonts w:ascii="Arial" w:hAnsi="Arial"/>
                <w:color w:val="1F2933"/>
                <w:sz w:val="15"/>
              </w:rPr>
              <w:t>No name-based priority inference. Swift-, Quick-, Rush- and Flash-named moves remain priority 0 unless explicitly revised.</w:t>
            </w:r>
          </w:p>
        </w:tc>
      </w:tr>
    </w:tbl>
    <w:p>
      <w:pPr>
        <w:spacing w:after="0"/>
      </w:pPr>
    </w:p>
    <w:p>
      <w:pPr>
        <w:pStyle w:val="ListBullet"/>
        <w:spacing w:after="30" w:line="240" w:lineRule="auto"/>
      </w:pPr>
      <w:r>
        <w:rPr>
          <w:rFonts w:ascii="Arial" w:hAnsi="Arial"/>
          <w:color w:val="1F2933"/>
          <w:sz w:val="18"/>
        </w:rPr>
        <w:t>No +2, +3 or negative-priority moves exist in the v1.0 catalogue.</w:t>
      </w:r>
    </w:p>
    <w:p>
      <w:pPr>
        <w:pStyle w:val="ListBullet"/>
        <w:spacing w:after="30" w:line="240" w:lineRule="auto"/>
      </w:pPr>
      <w:r>
        <w:rPr>
          <w:rFonts w:ascii="Arial" w:hAnsi="Arial"/>
          <w:color w:val="1F2933"/>
          <w:sz w:val="18"/>
        </w:rPr>
        <w:t>Priority access is intentionally not equal across types. Fast Abyssals may gain tempo through Speed, utility or the small priority pool rather than every type receiving its own Quick Attack analogue.</w:t>
      </w:r>
    </w:p>
    <w:p>
      <w:pPr>
        <w:pStyle w:val="Heading2"/>
      </w:pPr>
      <w:r>
        <w:t>4.3 Targeting</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656"/>
            <w:shd w:fill="182738"/>
            <w:tcMar>
              <w:top w:w="65" w:type="dxa"/>
              <w:start w:w="70" w:type="dxa"/>
              <w:bottom w:w="65" w:type="dxa"/>
              <w:end w:w="70" w:type="dxa"/>
            </w:tcMar>
            <w:vAlign w:val="center"/>
          </w:tcPr>
          <w:p>
            <w:pPr>
              <w:spacing w:after="0"/>
              <w:jc w:val="center"/>
            </w:pPr>
            <w:r>
              <w:rPr>
                <w:rFonts w:ascii="Arial" w:hAnsi="Arial"/>
                <w:b/>
                <w:color w:val="FFFFFF"/>
                <w:sz w:val="16"/>
              </w:rPr>
              <w:t>Target enum</w:t>
            </w:r>
          </w:p>
        </w:tc>
        <w:tc>
          <w:tcPr>
            <w:tcW w:type="dxa" w:w="2952"/>
            <w:shd w:fill="182738"/>
            <w:tcMar>
              <w:top w:w="65" w:type="dxa"/>
              <w:start w:w="70" w:type="dxa"/>
              <w:bottom w:w="65" w:type="dxa"/>
              <w:end w:w="70" w:type="dxa"/>
            </w:tcMar>
            <w:vAlign w:val="center"/>
          </w:tcPr>
          <w:p>
            <w:pPr>
              <w:spacing w:after="0"/>
              <w:jc w:val="center"/>
            </w:pPr>
            <w:r>
              <w:rPr>
                <w:rFonts w:ascii="Arial" w:hAnsi="Arial"/>
                <w:b/>
                <w:color w:val="FFFFFF"/>
                <w:sz w:val="16"/>
              </w:rPr>
              <w:t>Meaning</w:t>
            </w:r>
          </w:p>
        </w:tc>
        <w:tc>
          <w:tcPr>
            <w:tcW w:type="dxa" w:w="5400"/>
            <w:shd w:fill="182738"/>
            <w:tcMar>
              <w:top w:w="65" w:type="dxa"/>
              <w:start w:w="70" w:type="dxa"/>
              <w:bottom w:w="65" w:type="dxa"/>
              <w:end w:w="70" w:type="dxa"/>
            </w:tcMar>
            <w:vAlign w:val="center"/>
          </w:tcPr>
          <w:p>
            <w:pPr>
              <w:spacing w:after="0"/>
              <w:jc w:val="center"/>
            </w:pPr>
            <w:r>
              <w:rPr>
                <w:rFonts w:ascii="Arial" w:hAnsi="Arial"/>
                <w:b/>
                <w:color w:val="FFFFFF"/>
                <w:sz w:val="16"/>
              </w:rPr>
              <w:t>Use</w:t>
            </w:r>
          </w:p>
        </w:tc>
      </w:tr>
      <w:tr>
        <w:trPr>
          <w:cantSplit/>
        </w:trPr>
        <w:tc>
          <w:tcPr>
            <w:tcW w:type="dxa" w:w="1656"/>
            <w:tcMar>
              <w:top w:w="55" w:type="dxa"/>
              <w:start w:w="65" w:type="dxa"/>
              <w:bottom w:w="55" w:type="dxa"/>
              <w:end w:w="65" w:type="dxa"/>
            </w:tcMar>
            <w:vAlign w:val="top"/>
          </w:tcPr>
          <w:p>
            <w:pPr>
              <w:spacing w:after="0" w:line="240" w:lineRule="auto"/>
            </w:pPr>
            <w:r>
              <w:rPr>
                <w:rFonts w:ascii="Arial" w:hAnsi="Arial"/>
                <w:color w:val="1F2933"/>
                <w:sz w:val="16"/>
              </w:rPr>
              <w:t>SELF</w:t>
            </w:r>
          </w:p>
        </w:tc>
        <w:tc>
          <w:tcPr>
            <w:tcW w:type="dxa" w:w="2952"/>
            <w:tcMar>
              <w:top w:w="55" w:type="dxa"/>
              <w:start w:w="65" w:type="dxa"/>
              <w:bottom w:w="55" w:type="dxa"/>
              <w:end w:w="65" w:type="dxa"/>
            </w:tcMar>
            <w:vAlign w:val="top"/>
          </w:tcPr>
          <w:p>
            <w:pPr>
              <w:spacing w:after="0" w:line="240" w:lineRule="auto"/>
            </w:pPr>
            <w:r>
              <w:rPr>
                <w:rFonts w:ascii="Arial" w:hAnsi="Arial"/>
                <w:color w:val="1F2933"/>
                <w:sz w:val="16"/>
              </w:rPr>
              <w:t>User only</w:t>
            </w:r>
          </w:p>
        </w:tc>
        <w:tc>
          <w:tcPr>
            <w:tcW w:type="dxa" w:w="5400"/>
            <w:tcMar>
              <w:top w:w="55" w:type="dxa"/>
              <w:start w:w="65" w:type="dxa"/>
              <w:bottom w:w="55" w:type="dxa"/>
              <w:end w:w="65" w:type="dxa"/>
            </w:tcMar>
            <w:vAlign w:val="top"/>
          </w:tcPr>
          <w:p>
            <w:pPr>
              <w:spacing w:after="0" w:line="240" w:lineRule="auto"/>
            </w:pPr>
            <w:r>
              <w:rPr>
                <w:rFonts w:ascii="Arial" w:hAnsi="Arial"/>
                <w:color w:val="1F2933"/>
                <w:sz w:val="16"/>
              </w:rPr>
              <w:t>Self buffs, self-healing, protective stances.</w:t>
            </w:r>
          </w:p>
        </w:tc>
      </w:tr>
      <w:tr>
        <w:trPr>
          <w:cantSplit/>
        </w:trPr>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6"/>
              </w:rPr>
              <w:t>SINGLE_FOE</w:t>
            </w:r>
          </w:p>
        </w:tc>
        <w:tc>
          <w:tcPr>
            <w:tcW w:type="dxa" w:w="2952"/>
            <w:shd w:fill="F8FAFB"/>
            <w:tcMar>
              <w:top w:w="55" w:type="dxa"/>
              <w:start w:w="65" w:type="dxa"/>
              <w:bottom w:w="55" w:type="dxa"/>
              <w:end w:w="65" w:type="dxa"/>
            </w:tcMar>
            <w:vAlign w:val="top"/>
          </w:tcPr>
          <w:p>
            <w:pPr>
              <w:spacing w:after="0" w:line="240" w:lineRule="auto"/>
            </w:pPr>
            <w:r>
              <w:rPr>
                <w:rFonts w:ascii="Arial" w:hAnsi="Arial"/>
                <w:color w:val="1F2933"/>
                <w:sz w:val="16"/>
              </w:rPr>
              <w:t>One opposing active target</w:t>
            </w:r>
          </w:p>
        </w:tc>
        <w:tc>
          <w:tcPr>
            <w:tcW w:type="dxa" w:w="5400"/>
            <w:shd w:fill="F8FAFB"/>
            <w:tcMar>
              <w:top w:w="55" w:type="dxa"/>
              <w:start w:w="65" w:type="dxa"/>
              <w:bottom w:w="55" w:type="dxa"/>
              <w:end w:w="65" w:type="dxa"/>
            </w:tcMar>
            <w:vAlign w:val="top"/>
          </w:tcPr>
          <w:p>
            <w:pPr>
              <w:spacing w:after="0" w:line="240" w:lineRule="auto"/>
            </w:pPr>
            <w:r>
              <w:rPr>
                <w:rFonts w:ascii="Arial" w:hAnsi="Arial"/>
                <w:color w:val="1F2933"/>
                <w:sz w:val="16"/>
              </w:rPr>
              <w:t>Default for ordinary damaging attacks and direct foe debuffs.</w:t>
            </w:r>
          </w:p>
        </w:tc>
      </w:tr>
      <w:tr>
        <w:trPr>
          <w:cantSplit/>
        </w:trPr>
        <w:tc>
          <w:tcPr>
            <w:tcW w:type="dxa" w:w="1656"/>
            <w:tcMar>
              <w:top w:w="55" w:type="dxa"/>
              <w:start w:w="65" w:type="dxa"/>
              <w:bottom w:w="55" w:type="dxa"/>
              <w:end w:w="65" w:type="dxa"/>
            </w:tcMar>
            <w:vAlign w:val="top"/>
          </w:tcPr>
          <w:p>
            <w:pPr>
              <w:spacing w:after="0" w:line="240" w:lineRule="auto"/>
            </w:pPr>
            <w:r>
              <w:rPr>
                <w:rFonts w:ascii="Arial" w:hAnsi="Arial"/>
                <w:color w:val="1F2933"/>
                <w:sz w:val="16"/>
              </w:rPr>
              <w:t>ALLY_OR_SELF</w:t>
            </w:r>
          </w:p>
        </w:tc>
        <w:tc>
          <w:tcPr>
            <w:tcW w:type="dxa" w:w="2952"/>
            <w:tcMar>
              <w:top w:w="55" w:type="dxa"/>
              <w:start w:w="65" w:type="dxa"/>
              <w:bottom w:w="55" w:type="dxa"/>
              <w:end w:w="65" w:type="dxa"/>
            </w:tcMar>
            <w:vAlign w:val="top"/>
          </w:tcPr>
          <w:p>
            <w:pPr>
              <w:spacing w:after="0" w:line="240" w:lineRule="auto"/>
            </w:pPr>
            <w:r>
              <w:rPr>
                <w:rFonts w:ascii="Arial" w:hAnsi="Arial"/>
                <w:color w:val="1F2933"/>
                <w:sz w:val="16"/>
              </w:rPr>
              <w:t>One legal friendly target</w:t>
            </w:r>
          </w:p>
        </w:tc>
        <w:tc>
          <w:tcPr>
            <w:tcW w:type="dxa" w:w="5400"/>
            <w:tcMar>
              <w:top w:w="55" w:type="dxa"/>
              <w:start w:w="65" w:type="dxa"/>
              <w:bottom w:w="55" w:type="dxa"/>
              <w:end w:w="65" w:type="dxa"/>
            </w:tcMar>
            <w:vAlign w:val="top"/>
          </w:tcPr>
          <w:p>
            <w:pPr>
              <w:spacing w:after="0" w:line="240" w:lineRule="auto"/>
            </w:pPr>
            <w:r>
              <w:rPr>
                <w:rFonts w:ascii="Arial" w:hAnsi="Arial"/>
                <w:color w:val="1F2933"/>
                <w:sz w:val="16"/>
              </w:rPr>
              <w:t>Support moves that may choose the user or an ally.</w:t>
            </w:r>
          </w:p>
        </w:tc>
      </w:tr>
      <w:tr>
        <w:trPr>
          <w:cantSplit/>
        </w:trPr>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6"/>
              </w:rPr>
              <w:t>ACTIVE_SIDE</w:t>
            </w:r>
          </w:p>
        </w:tc>
        <w:tc>
          <w:tcPr>
            <w:tcW w:type="dxa" w:w="2952"/>
            <w:shd w:fill="F8FAFB"/>
            <w:tcMar>
              <w:top w:w="55" w:type="dxa"/>
              <w:start w:w="65" w:type="dxa"/>
              <w:bottom w:w="55" w:type="dxa"/>
              <w:end w:w="65" w:type="dxa"/>
            </w:tcMar>
            <w:vAlign w:val="top"/>
          </w:tcPr>
          <w:p>
            <w:pPr>
              <w:spacing w:after="0" w:line="240" w:lineRule="auto"/>
            </w:pPr>
            <w:r>
              <w:rPr>
                <w:rFonts w:ascii="Arial" w:hAnsi="Arial"/>
                <w:color w:val="1F2933"/>
                <w:sz w:val="16"/>
              </w:rPr>
              <w:t>User’s active side</w:t>
            </w:r>
          </w:p>
        </w:tc>
        <w:tc>
          <w:tcPr>
            <w:tcW w:type="dxa" w:w="5400"/>
            <w:shd w:fill="F8FAFB"/>
            <w:tcMar>
              <w:top w:w="55" w:type="dxa"/>
              <w:start w:w="65" w:type="dxa"/>
              <w:bottom w:w="55" w:type="dxa"/>
              <w:end w:w="65" w:type="dxa"/>
            </w:tcMar>
            <w:vAlign w:val="top"/>
          </w:tcPr>
          <w:p>
            <w:pPr>
              <w:spacing w:after="0" w:line="240" w:lineRule="auto"/>
            </w:pPr>
            <w:r>
              <w:rPr>
                <w:rFonts w:ascii="Arial" w:hAnsi="Arial"/>
                <w:color w:val="1F2933"/>
                <w:sz w:val="16"/>
              </w:rPr>
              <w:t>Party-side healing/buffs such as Kindness Gathers in doubles.</w:t>
            </w:r>
          </w:p>
        </w:tc>
      </w:tr>
      <w:tr>
        <w:trPr>
          <w:cantSplit/>
        </w:trPr>
        <w:tc>
          <w:tcPr>
            <w:tcW w:type="dxa" w:w="1656"/>
            <w:tcMar>
              <w:top w:w="55" w:type="dxa"/>
              <w:start w:w="65" w:type="dxa"/>
              <w:bottom w:w="55" w:type="dxa"/>
              <w:end w:w="65" w:type="dxa"/>
            </w:tcMar>
            <w:vAlign w:val="top"/>
          </w:tcPr>
          <w:p>
            <w:pPr>
              <w:spacing w:after="0" w:line="240" w:lineRule="auto"/>
            </w:pPr>
            <w:r>
              <w:rPr>
                <w:rFonts w:ascii="Arial" w:hAnsi="Arial"/>
                <w:color w:val="1F2933"/>
                <w:sz w:val="16"/>
              </w:rPr>
              <w:t>FOE_SIDE</w:t>
            </w:r>
          </w:p>
        </w:tc>
        <w:tc>
          <w:tcPr>
            <w:tcW w:type="dxa" w:w="2952"/>
            <w:tcMar>
              <w:top w:w="55" w:type="dxa"/>
              <w:start w:w="65" w:type="dxa"/>
              <w:bottom w:w="55" w:type="dxa"/>
              <w:end w:w="65" w:type="dxa"/>
            </w:tcMar>
            <w:vAlign w:val="top"/>
          </w:tcPr>
          <w:p>
            <w:pPr>
              <w:spacing w:after="0" w:line="240" w:lineRule="auto"/>
            </w:pPr>
            <w:r>
              <w:rPr>
                <w:rFonts w:ascii="Arial" w:hAnsi="Arial"/>
                <w:color w:val="1F2933"/>
                <w:sz w:val="16"/>
              </w:rPr>
              <w:t>Opposing active side</w:t>
            </w:r>
          </w:p>
        </w:tc>
        <w:tc>
          <w:tcPr>
            <w:tcW w:type="dxa" w:w="5400"/>
            <w:tcMar>
              <w:top w:w="55" w:type="dxa"/>
              <w:start w:w="65" w:type="dxa"/>
              <w:bottom w:w="55" w:type="dxa"/>
              <w:end w:w="65" w:type="dxa"/>
            </w:tcMar>
            <w:vAlign w:val="top"/>
          </w:tcPr>
          <w:p>
            <w:pPr>
              <w:spacing w:after="0" w:line="240" w:lineRule="auto"/>
            </w:pPr>
            <w:r>
              <w:rPr>
                <w:rFonts w:ascii="Arial" w:hAnsi="Arial"/>
                <w:color w:val="1F2933"/>
                <w:sz w:val="16"/>
              </w:rPr>
              <w:t>Persistent hostile-side effects such as Static Field.</w:t>
            </w:r>
          </w:p>
        </w:tc>
      </w:tr>
      <w:tr>
        <w:trPr>
          <w:cantSplit/>
        </w:trPr>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6"/>
              </w:rPr>
              <w:t>ALL_FOES</w:t>
            </w:r>
          </w:p>
        </w:tc>
        <w:tc>
          <w:tcPr>
            <w:tcW w:type="dxa" w:w="2952"/>
            <w:shd w:fill="F8FAFB"/>
            <w:tcMar>
              <w:top w:w="55" w:type="dxa"/>
              <w:start w:w="65" w:type="dxa"/>
              <w:bottom w:w="55" w:type="dxa"/>
              <w:end w:w="65" w:type="dxa"/>
            </w:tcMar>
            <w:vAlign w:val="top"/>
          </w:tcPr>
          <w:p>
            <w:pPr>
              <w:spacing w:after="0" w:line="240" w:lineRule="auto"/>
            </w:pPr>
            <w:r>
              <w:rPr>
                <w:rFonts w:ascii="Arial" w:hAnsi="Arial"/>
                <w:color w:val="1F2933"/>
                <w:sz w:val="16"/>
              </w:rPr>
              <w:t>All opposing active targets</w:t>
            </w:r>
          </w:p>
        </w:tc>
        <w:tc>
          <w:tcPr>
            <w:tcW w:type="dxa" w:w="5400"/>
            <w:shd w:fill="F8FAFB"/>
            <w:tcMar>
              <w:top w:w="55" w:type="dxa"/>
              <w:start w:w="65" w:type="dxa"/>
              <w:bottom w:w="55" w:type="dxa"/>
              <w:end w:w="65" w:type="dxa"/>
            </w:tcMar>
            <w:vAlign w:val="top"/>
          </w:tcPr>
          <w:p>
            <w:pPr>
              <w:spacing w:after="0" w:line="240" w:lineRule="auto"/>
            </w:pPr>
            <w:r>
              <w:rPr>
                <w:rFonts w:ascii="Arial" w:hAnsi="Arial"/>
                <w:color w:val="1F2933"/>
                <w:sz w:val="16"/>
              </w:rPr>
              <w:t>Only where an authored move explicitly hits all foes.</w:t>
            </w:r>
          </w:p>
        </w:tc>
      </w:tr>
      <w:tr>
        <w:trPr>
          <w:cantSplit/>
        </w:trPr>
        <w:tc>
          <w:tcPr>
            <w:tcW w:type="dxa" w:w="1656"/>
            <w:tcMar>
              <w:top w:w="55" w:type="dxa"/>
              <w:start w:w="65" w:type="dxa"/>
              <w:bottom w:w="55" w:type="dxa"/>
              <w:end w:w="65" w:type="dxa"/>
            </w:tcMar>
            <w:vAlign w:val="top"/>
          </w:tcPr>
          <w:p>
            <w:pPr>
              <w:spacing w:after="0" w:line="240" w:lineRule="auto"/>
            </w:pPr>
            <w:r>
              <w:rPr>
                <w:rFonts w:ascii="Arial" w:hAnsi="Arial"/>
                <w:color w:val="1F2933"/>
                <w:sz w:val="16"/>
              </w:rPr>
              <w:t>FIELD</w:t>
            </w:r>
          </w:p>
        </w:tc>
        <w:tc>
          <w:tcPr>
            <w:tcW w:type="dxa" w:w="2952"/>
            <w:tcMar>
              <w:top w:w="55" w:type="dxa"/>
              <w:start w:w="65" w:type="dxa"/>
              <w:bottom w:w="55" w:type="dxa"/>
              <w:end w:w="65" w:type="dxa"/>
            </w:tcMar>
            <w:vAlign w:val="top"/>
          </w:tcPr>
          <w:p>
            <w:pPr>
              <w:spacing w:after="0" w:line="240" w:lineRule="auto"/>
            </w:pPr>
            <w:r>
              <w:rPr>
                <w:rFonts w:ascii="Arial" w:hAnsi="Arial"/>
                <w:color w:val="1F2933"/>
                <w:sz w:val="16"/>
              </w:rPr>
              <w:t>Battlefield state</w:t>
            </w:r>
          </w:p>
        </w:tc>
        <w:tc>
          <w:tcPr>
            <w:tcW w:type="dxa" w:w="5400"/>
            <w:tcMar>
              <w:top w:w="55" w:type="dxa"/>
              <w:start w:w="65" w:type="dxa"/>
              <w:bottom w:w="55" w:type="dxa"/>
              <w:end w:w="65" w:type="dxa"/>
            </w:tcMar>
            <w:vAlign w:val="top"/>
          </w:tcPr>
          <w:p>
            <w:pPr>
              <w:spacing w:after="0" w:line="240" w:lineRule="auto"/>
            </w:pPr>
            <w:r>
              <w:rPr>
                <w:rFonts w:ascii="Arial" w:hAnsi="Arial"/>
                <w:color w:val="1F2933"/>
                <w:sz w:val="16"/>
              </w:rPr>
              <w:t>Terrain/weather/global field actions if authored later.</w:t>
            </w:r>
          </w:p>
        </w:tc>
      </w:tr>
    </w:tbl>
    <w:p>
      <w:pPr>
        <w:spacing w:after="0"/>
      </w:pPr>
    </w:p>
    <w:p>
      <w:pPr>
        <w:pStyle w:val="ListBullet"/>
        <w:spacing w:after="30" w:line="240" w:lineRule="auto"/>
      </w:pPr>
      <w:r>
        <w:rPr>
          <w:rFonts w:ascii="Arial" w:hAnsi="Arial"/>
          <w:color w:val="1F2933"/>
          <w:sz w:val="18"/>
        </w:rPr>
        <w:t>Damaging moves default to SINGLE_FOE in the authoring pass, but the stored target field is still mandatory.</w:t>
      </w:r>
    </w:p>
    <w:p>
      <w:pPr>
        <w:pStyle w:val="Heading1"/>
      </w:pPr>
      <w:r>
        <w:t>5. Learn levels, Level 0, relearning and evolution moves</w:t>
      </w:r>
    </w:p>
    <w:p>
      <w:pPr>
        <w:pStyle w:val="Heading2"/>
      </w:pPr>
      <w:r>
        <w:t>5.1 Level 0 semantics</w:t>
      </w:r>
    </w:p>
    <w:p>
      <w:pPr>
        <w:spacing w:after="80" w:line="250" w:lineRule="auto"/>
      </w:pPr>
      <w:r>
        <w:rPr>
          <w:rFonts w:ascii="Arial" w:hAnsi="Arial"/>
          <w:color w:val="1F2933"/>
          <w:sz w:val="18"/>
        </w:rPr>
        <w:t>Learn Level 0 means “species-entry move”, not a conventional level-up tick. It is immediately legal for a newly obtained instance of that species, is relearner-eligible, and is offered when evolution first creates that species if the move is tagged as an evolution/signature entry. It is never silently injected by overwriting an equipped move.</w:t>
      </w:r>
    </w:p>
    <w:p>
      <w:pPr>
        <w:pStyle w:val="Heading2"/>
      </w:pPr>
      <w:r>
        <w:t>5.2 Free move relearning through Aeric</w:t>
      </w:r>
    </w:p>
    <w:p>
      <w:pPr>
        <w:pStyle w:val="ListBullet"/>
        <w:spacing w:after="30" w:line="240" w:lineRule="auto"/>
      </w:pPr>
      <w:r>
        <w:rPr>
          <w:rFonts w:ascii="Arial" w:hAnsi="Arial"/>
          <w:color w:val="1F2933"/>
          <w:sz w:val="18"/>
        </w:rPr>
        <w:t>Relearning is available through Chaplain Aeric whenever the player has ordinary reserve access under Checklist 08.</w:t>
      </w:r>
    </w:p>
    <w:p>
      <w:pPr>
        <w:pStyle w:val="ListBullet"/>
        <w:spacing w:after="30" w:line="240" w:lineRule="auto"/>
      </w:pPr>
      <w:r>
        <w:rPr>
          <w:rFonts w:ascii="Arial" w:hAnsi="Arial"/>
          <w:color w:val="1F2933"/>
          <w:sz w:val="18"/>
        </w:rPr>
        <w:t>Cost: free. No money, Trial Marks, item, sacrifice, cooldown or consumable.</w:t>
      </w:r>
    </w:p>
    <w:p>
      <w:pPr>
        <w:pStyle w:val="ListBullet"/>
        <w:spacing w:after="30" w:line="240" w:lineRule="auto"/>
      </w:pPr>
      <w:r>
        <w:rPr>
          <w:rFonts w:ascii="Arial" w:hAnsi="Arial"/>
          <w:color w:val="1F2933"/>
          <w:sz w:val="18"/>
        </w:rPr>
        <w:t>Unavailable during battle and unavailable as a remote hostile-area service.</w:t>
      </w:r>
    </w:p>
    <w:p>
      <w:pPr>
        <w:pStyle w:val="ListBullet"/>
        <w:spacing w:after="30" w:line="240" w:lineRule="auto"/>
      </w:pPr>
      <w:r>
        <w:rPr>
          <w:rFonts w:ascii="Arial" w:hAnsi="Arial"/>
          <w:color w:val="1F2933"/>
          <w:sz w:val="18"/>
        </w:rPr>
        <w:t>The selectable pool contains moves legally available to the current species at or below current level plus legal moves inherited from the instance’s actual evolution history/path.</w:t>
      </w:r>
    </w:p>
    <w:p>
      <w:pPr>
        <w:pStyle w:val="ListBullet"/>
        <w:spacing w:after="30" w:line="240" w:lineRule="auto"/>
      </w:pPr>
      <w:r>
        <w:rPr>
          <w:rFonts w:ascii="Arial" w:hAnsi="Arial"/>
          <w:color w:val="1F2933"/>
          <w:sz w:val="18"/>
        </w:rPr>
        <w:t>A branch evolution never grants the opposite branch’s moves. Checklist 11 story-choice locks and actual evolution history are authoritative.</w:t>
      </w:r>
    </w:p>
    <w:p>
      <w:pPr>
        <w:pStyle w:val="ListBullet"/>
        <w:spacing w:after="30" w:line="240" w:lineRule="auto"/>
      </w:pPr>
      <w:r>
        <w:rPr>
          <w:rFonts w:ascii="Arial" w:hAnsi="Arial"/>
          <w:color w:val="1F2933"/>
          <w:sz w:val="18"/>
        </w:rPr>
        <w:t>The four-active-move limit remains absolute. Relearning means choosing a replacement when all four slots are occupied.</w:t>
      </w:r>
    </w:p>
    <w:p>
      <w:pPr>
        <w:pStyle w:val="ListBullet"/>
        <w:spacing w:after="30" w:line="240" w:lineRule="auto"/>
      </w:pPr>
      <w:r>
        <w:rPr>
          <w:rFonts w:ascii="Arial" w:hAnsi="Arial"/>
          <w:color w:val="1F2933"/>
          <w:sz w:val="18"/>
        </w:rPr>
        <w:t>The memorial does not need to store an all-time move history. Checklist 07 restores the four moves held at death; relearner eligibility is regenerated from species, level and preserved evolution history.</w:t>
      </w:r>
    </w:p>
    <w:p>
      <w:pPr>
        <w:pStyle w:val="Heading2"/>
      </w:pPr>
      <w:r>
        <w:t>5.3 Evolution move transaction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792"/>
            <w:shd w:fill="182738"/>
            <w:tcMar>
              <w:top w:w="65" w:type="dxa"/>
              <w:start w:w="70" w:type="dxa"/>
              <w:bottom w:w="65" w:type="dxa"/>
              <w:end w:w="70" w:type="dxa"/>
            </w:tcMar>
            <w:vAlign w:val="center"/>
          </w:tcPr>
          <w:p>
            <w:pPr>
              <w:spacing w:after="0"/>
              <w:jc w:val="center"/>
            </w:pPr>
            <w:r>
              <w:rPr>
                <w:rFonts w:ascii="Arial" w:hAnsi="Arial"/>
                <w:b/>
                <w:color w:val="FFFFFF"/>
                <w:sz w:val="16"/>
              </w:rPr>
              <w:t>Step</w:t>
            </w:r>
          </w:p>
        </w:tc>
        <w:tc>
          <w:tcPr>
            <w:tcW w:type="dxa" w:w="9216"/>
            <w:shd w:fill="182738"/>
            <w:tcMar>
              <w:top w:w="65" w:type="dxa"/>
              <w:start w:w="70" w:type="dxa"/>
              <w:bottom w:w="65" w:type="dxa"/>
              <w:end w:w="70" w:type="dxa"/>
            </w:tcMar>
            <w:vAlign w:val="center"/>
          </w:tcPr>
          <w:p>
            <w:pPr>
              <w:spacing w:after="0"/>
              <w:jc w:val="center"/>
            </w:pPr>
            <w:r>
              <w:rPr>
                <w:rFonts w:ascii="Arial" w:hAnsi="Arial"/>
                <w:b/>
                <w:color w:val="FFFFFF"/>
                <w:sz w:val="16"/>
              </w:rPr>
              <w:t>Locked behaviour</w:t>
            </w:r>
          </w:p>
        </w:tc>
      </w:tr>
      <w:tr>
        <w:trPr>
          <w:cantSplit/>
        </w:trPr>
        <w:tc>
          <w:tcPr>
            <w:tcW w:type="dxa" w:w="792"/>
            <w:tcMar>
              <w:top w:w="55" w:type="dxa"/>
              <w:start w:w="65" w:type="dxa"/>
              <w:bottom w:w="55" w:type="dxa"/>
              <w:end w:w="65" w:type="dxa"/>
            </w:tcMar>
            <w:vAlign w:val="top"/>
          </w:tcPr>
          <w:p>
            <w:pPr>
              <w:spacing w:after="0" w:line="240" w:lineRule="auto"/>
            </w:pPr>
            <w:r>
              <w:rPr>
                <w:rFonts w:ascii="Arial" w:hAnsi="Arial"/>
                <w:color w:val="1F2933"/>
                <w:sz w:val="16"/>
              </w:rPr>
              <w:t>1</w:t>
            </w:r>
          </w:p>
        </w:tc>
        <w:tc>
          <w:tcPr>
            <w:tcW w:type="dxa" w:w="9216"/>
            <w:tcMar>
              <w:top w:w="55" w:type="dxa"/>
              <w:start w:w="65" w:type="dxa"/>
              <w:bottom w:w="55" w:type="dxa"/>
              <w:end w:w="65" w:type="dxa"/>
            </w:tcMar>
            <w:vAlign w:val="top"/>
          </w:tcPr>
          <w:p>
            <w:pPr>
              <w:spacing w:after="0" w:line="240" w:lineRule="auto"/>
            </w:pPr>
            <w:r>
              <w:rPr>
                <w:rFonts w:ascii="Arial" w:hAnsi="Arial"/>
                <w:color w:val="1F2933"/>
                <w:sz w:val="16"/>
              </w:rPr>
              <w:t>Apply Checklist 11 evolution transaction; keep the current four equipped moves unchanged.</w:t>
            </w:r>
          </w:p>
        </w:tc>
      </w:tr>
      <w:tr>
        <w:trPr>
          <w:cantSplit/>
        </w:trPr>
        <w:tc>
          <w:tcPr>
            <w:tcW w:type="dxa" w:w="792"/>
            <w:shd w:fill="F8FAFB"/>
            <w:tcMar>
              <w:top w:w="55" w:type="dxa"/>
              <w:start w:w="65" w:type="dxa"/>
              <w:bottom w:w="55" w:type="dxa"/>
              <w:end w:w="65" w:type="dxa"/>
            </w:tcMar>
            <w:vAlign w:val="top"/>
          </w:tcPr>
          <w:p>
            <w:pPr>
              <w:spacing w:after="0" w:line="240" w:lineRule="auto"/>
            </w:pPr>
            <w:r>
              <w:rPr>
                <w:rFonts w:ascii="Arial" w:hAnsi="Arial"/>
                <w:color w:val="1F2933"/>
                <w:sz w:val="16"/>
              </w:rPr>
              <w:t>2</w:t>
            </w:r>
          </w:p>
        </w:tc>
        <w:tc>
          <w:tcPr>
            <w:tcW w:type="dxa" w:w="9216"/>
            <w:shd w:fill="F8FAFB"/>
            <w:tcMar>
              <w:top w:w="55" w:type="dxa"/>
              <w:start w:w="65" w:type="dxa"/>
              <w:bottom w:w="55" w:type="dxa"/>
              <w:end w:w="65" w:type="dxa"/>
            </w:tcMar>
            <w:vAlign w:val="top"/>
          </w:tcPr>
          <w:p>
            <w:pPr>
              <w:spacing w:after="0" w:line="240" w:lineRule="auto"/>
            </w:pPr>
            <w:r>
              <w:rPr>
                <w:rFonts w:ascii="Arial" w:hAnsi="Arial"/>
                <w:color w:val="1F2933"/>
                <w:sz w:val="16"/>
              </w:rPr>
              <w:t>If the target species has an explicit Level 0 / Evolution entry, offer that move once immediately.</w:t>
            </w:r>
          </w:p>
        </w:tc>
      </w:tr>
      <w:tr>
        <w:trPr>
          <w:cantSplit/>
        </w:trPr>
        <w:tc>
          <w:tcPr>
            <w:tcW w:type="dxa" w:w="792"/>
            <w:tcMar>
              <w:top w:w="55" w:type="dxa"/>
              <w:start w:w="65" w:type="dxa"/>
              <w:bottom w:w="55" w:type="dxa"/>
              <w:end w:w="65" w:type="dxa"/>
            </w:tcMar>
            <w:vAlign w:val="top"/>
          </w:tcPr>
          <w:p>
            <w:pPr>
              <w:spacing w:after="0" w:line="240" w:lineRule="auto"/>
            </w:pPr>
            <w:r>
              <w:rPr>
                <w:rFonts w:ascii="Arial" w:hAnsi="Arial"/>
                <w:color w:val="1F2933"/>
                <w:sz w:val="16"/>
              </w:rPr>
              <w:t>3</w:t>
            </w:r>
          </w:p>
        </w:tc>
        <w:tc>
          <w:tcPr>
            <w:tcW w:type="dxa" w:w="9216"/>
            <w:tcMar>
              <w:top w:w="55" w:type="dxa"/>
              <w:start w:w="65" w:type="dxa"/>
              <w:bottom w:w="55" w:type="dxa"/>
              <w:end w:w="65" w:type="dxa"/>
            </w:tcMar>
            <w:vAlign w:val="top"/>
          </w:tcPr>
          <w:p>
            <w:pPr>
              <w:spacing w:after="0" w:line="240" w:lineRule="auto"/>
            </w:pPr>
            <w:r>
              <w:rPr>
                <w:rFonts w:ascii="Arial" w:hAnsi="Arial"/>
                <w:color w:val="1F2933"/>
                <w:sz w:val="16"/>
              </w:rPr>
              <w:t>If fewer than four moves are equipped, the player may add it. If four are equipped, choose one to forget or decline the new move.</w:t>
            </w:r>
          </w:p>
        </w:tc>
      </w:tr>
      <w:tr>
        <w:trPr>
          <w:cantSplit/>
        </w:trPr>
        <w:tc>
          <w:tcPr>
            <w:tcW w:type="dxa" w:w="792"/>
            <w:shd w:fill="F8FAFB"/>
            <w:tcMar>
              <w:top w:w="55" w:type="dxa"/>
              <w:start w:w="65" w:type="dxa"/>
              <w:bottom w:w="55" w:type="dxa"/>
              <w:end w:w="65" w:type="dxa"/>
            </w:tcMar>
            <w:vAlign w:val="top"/>
          </w:tcPr>
          <w:p>
            <w:pPr>
              <w:spacing w:after="0" w:line="240" w:lineRule="auto"/>
            </w:pPr>
            <w:r>
              <w:rPr>
                <w:rFonts w:ascii="Arial" w:hAnsi="Arial"/>
                <w:color w:val="1F2933"/>
                <w:sz w:val="16"/>
              </w:rPr>
              <w:t>4</w:t>
            </w:r>
          </w:p>
        </w:tc>
        <w:tc>
          <w:tcPr>
            <w:tcW w:type="dxa" w:w="9216"/>
            <w:shd w:fill="F8FAFB"/>
            <w:tcMar>
              <w:top w:w="55" w:type="dxa"/>
              <w:start w:w="65" w:type="dxa"/>
              <w:bottom w:w="55" w:type="dxa"/>
              <w:end w:w="65" w:type="dxa"/>
            </w:tcMar>
            <w:vAlign w:val="top"/>
          </w:tcPr>
          <w:p>
            <w:pPr>
              <w:spacing w:after="0" w:line="240" w:lineRule="auto"/>
            </w:pPr>
            <w:r>
              <w:rPr>
                <w:rFonts w:ascii="Arial" w:hAnsi="Arial"/>
                <w:color w:val="1F2933"/>
                <w:sz w:val="16"/>
              </w:rPr>
              <w:t>Declining never permanently loses the move; it remains relearner-eligible.</w:t>
            </w:r>
          </w:p>
        </w:tc>
      </w:tr>
      <w:tr>
        <w:trPr>
          <w:cantSplit/>
        </w:trPr>
        <w:tc>
          <w:tcPr>
            <w:tcW w:type="dxa" w:w="792"/>
            <w:tcMar>
              <w:top w:w="55" w:type="dxa"/>
              <w:start w:w="65" w:type="dxa"/>
              <w:bottom w:w="55" w:type="dxa"/>
              <w:end w:w="65" w:type="dxa"/>
            </w:tcMar>
            <w:vAlign w:val="top"/>
          </w:tcPr>
          <w:p>
            <w:pPr>
              <w:spacing w:after="0" w:line="240" w:lineRule="auto"/>
            </w:pPr>
            <w:r>
              <w:rPr>
                <w:rFonts w:ascii="Arial" w:hAnsi="Arial"/>
                <w:color w:val="1F2933"/>
                <w:sz w:val="16"/>
              </w:rPr>
              <w:t>5</w:t>
            </w:r>
          </w:p>
        </w:tc>
        <w:tc>
          <w:tcPr>
            <w:tcW w:type="dxa" w:w="9216"/>
            <w:tcMar>
              <w:top w:w="55" w:type="dxa"/>
              <w:start w:w="65" w:type="dxa"/>
              <w:bottom w:w="55" w:type="dxa"/>
              <w:end w:w="65" w:type="dxa"/>
            </w:tcMar>
            <w:vAlign w:val="top"/>
          </w:tcPr>
          <w:p>
            <w:pPr>
              <w:spacing w:after="0" w:line="240" w:lineRule="auto"/>
            </w:pPr>
            <w:r>
              <w:rPr>
                <w:rFonts w:ascii="Arial" w:hAnsi="Arial"/>
                <w:color w:val="1F2933"/>
                <w:sz w:val="16"/>
              </w:rPr>
              <w:t>All target-species level-up moves whose learn levels are already below/equal to current level become relearner-eligible without a cascade of automatic prompts.</w:t>
            </w:r>
          </w:p>
        </w:tc>
      </w:tr>
      <w:tr>
        <w:trPr>
          <w:cantSplit/>
        </w:trPr>
        <w:tc>
          <w:tcPr>
            <w:tcW w:type="dxa" w:w="792"/>
            <w:shd w:fill="F8FAFB"/>
            <w:tcMar>
              <w:top w:w="55" w:type="dxa"/>
              <w:start w:w="65" w:type="dxa"/>
              <w:bottom w:w="55" w:type="dxa"/>
              <w:end w:w="65" w:type="dxa"/>
            </w:tcMar>
            <w:vAlign w:val="top"/>
          </w:tcPr>
          <w:p>
            <w:pPr>
              <w:spacing w:after="0" w:line="240" w:lineRule="auto"/>
            </w:pPr>
            <w:r>
              <w:rPr>
                <w:rFonts w:ascii="Arial" w:hAnsi="Arial"/>
                <w:color w:val="1F2933"/>
                <w:sz w:val="16"/>
              </w:rPr>
              <w:t>6</w:t>
            </w:r>
          </w:p>
        </w:tc>
        <w:tc>
          <w:tcPr>
            <w:tcW w:type="dxa" w:w="9216"/>
            <w:shd w:fill="F8FAFB"/>
            <w:tcMar>
              <w:top w:w="55" w:type="dxa"/>
              <w:start w:w="65" w:type="dxa"/>
              <w:bottom w:w="55" w:type="dxa"/>
              <w:end w:w="65" w:type="dxa"/>
            </w:tcMar>
            <w:vAlign w:val="top"/>
          </w:tcPr>
          <w:p>
            <w:pPr>
              <w:spacing w:after="0" w:line="240" w:lineRule="auto"/>
            </w:pPr>
            <w:r>
              <w:rPr>
                <w:rFonts w:ascii="Arial" w:hAnsi="Arial"/>
                <w:color w:val="1F2933"/>
                <w:sz w:val="16"/>
              </w:rPr>
              <w:t>Branch-specific legality uses the actual branch reached; no opposite-branch move leakage.</w:t>
            </w:r>
          </w:p>
        </w:tc>
      </w:tr>
    </w:tbl>
    <w:p>
      <w:pPr>
        <w:spacing w:after="0"/>
      </w:pPr>
    </w:p>
    <w:p>
      <w:pPr>
        <w:pStyle w:val="Heading1"/>
      </w:pPr>
      <w:r>
        <w:t>6. Learnset balance validation gates</w:t>
      </w:r>
    </w:p>
    <w:p>
      <w:pPr>
        <w:pStyle w:val="Heading2"/>
      </w:pPr>
      <w:r>
        <w:t>6.1 Early offence and STAB</w:t>
      </w:r>
    </w:p>
    <w:p>
      <w:pPr>
        <w:pStyle w:val="ListBullet"/>
        <w:spacing w:after="30" w:line="240" w:lineRule="auto"/>
      </w:pPr>
      <w:r>
        <w:rPr>
          <w:rFonts w:ascii="Arial" w:hAnsi="Arial"/>
          <w:color w:val="1F2933"/>
          <w:sz w:val="18"/>
        </w:rPr>
        <w:t>Ordinary base species: at least one damaging move by Level 5 and at least one damaging STAB move by Level 8.</w:t>
      </w:r>
    </w:p>
    <w:p>
      <w:pPr>
        <w:pStyle w:val="ListBullet"/>
        <w:spacing w:after="30" w:line="240" w:lineRule="auto"/>
      </w:pPr>
      <w:r>
        <w:rPr>
          <w:rFonts w:ascii="Arial" w:hAnsi="Arial"/>
          <w:color w:val="1F2933"/>
          <w:sz w:val="18"/>
        </w:rPr>
        <w:t>By Level 10, an ordinary base species must have a genuinely usable offensive option; a single weak gimmick or status-only kit does not satisfy the gate.</w:t>
      </w:r>
    </w:p>
    <w:p>
      <w:pPr>
        <w:pStyle w:val="ListBullet"/>
        <w:spacing w:after="30" w:line="240" w:lineRule="auto"/>
      </w:pPr>
      <w:r>
        <w:rPr>
          <w:rFonts w:ascii="Arial" w:hAnsi="Arial"/>
          <w:color w:val="1F2933"/>
          <w:sz w:val="18"/>
        </w:rPr>
        <w:t>Evolved, fossil, mythic and later-acquired single-stage species are evaluated at effective first access, not as if they were caught at Level 1. They must have a legal damaging STAB option immediately through their current learnset/relearner pool.</w:t>
      </w:r>
    </w:p>
    <w:p>
      <w:pPr>
        <w:pStyle w:val="ListBullet"/>
        <w:spacing w:after="30" w:line="240" w:lineRule="auto"/>
      </w:pPr>
      <w:r>
        <w:rPr>
          <w:rFonts w:ascii="Arial" w:hAnsi="Arial"/>
          <w:color w:val="1F2933"/>
          <w:sz w:val="18"/>
        </w:rPr>
        <w:t>Intentional support/defensive exceptions are allowed only when the species already functions in battle and the exception is documented as a balance warning, not silently ignored.</w:t>
      </w:r>
    </w:p>
    <w:tbl>
      <w:tblPr>
        <w:tblW w:type="auto" w:w="0"/>
        <w:jc w:val="center"/>
        <w:tblLayout w:type="fixed"/>
        <w:tblLook w:firstColumn="1" w:firstRow="1" w:lastColumn="0" w:lastRow="0" w:noHBand="0" w:noVBand="1" w:val="04A0"/>
      </w:tblPr>
      <w:tblGrid>
        <w:gridCol w:w="10080"/>
      </w:tblGrid>
      <w:tr>
        <w:trPr>
          <w:cantSplit/>
        </w:trPr>
        <w:tc>
          <w:tcPr>
            <w:tcW w:type="dxa" w:w="10224"/>
            <w:shd w:fill="E9F2EC"/>
            <w:tcMar>
              <w:top w:w="100" w:type="dxa"/>
              <w:start w:w="120" w:type="dxa"/>
              <w:bottom w:w="100" w:type="dxa"/>
              <w:end w:w="120" w:type="dxa"/>
            </w:tcMar>
            <w:tcBorders>
              <w:top w:val="single" w:sz="8" w:color="5F8E6C"/>
              <w:left w:val="single" w:sz="8" w:color="5F8E6C"/>
              <w:bottom w:val="single" w:sz="8" w:color="5F8E6C"/>
              <w:right w:val="single" w:sz="8" w:color="5F8E6C"/>
            </w:tcBorders>
          </w:tcPr>
          <w:p>
            <w:pPr>
              <w:spacing w:after="40"/>
            </w:pPr>
            <w:r>
              <w:rPr>
                <w:rFonts w:ascii="Arial" w:hAnsi="Arial"/>
                <w:b/>
                <w:color w:val="182738"/>
                <w:sz w:val="19"/>
              </w:rPr>
              <w:t>STARTER CHECK</w:t>
            </w:r>
          </w:p>
          <w:p>
            <w:pPr>
              <w:spacing w:after="0" w:line="240" w:lineRule="auto"/>
            </w:pPr>
            <w:r>
              <w:rPr>
                <w:rFonts w:ascii="Arial" w:hAnsi="Arial"/>
                <w:color w:val="1F2933"/>
                <w:sz w:val="18"/>
              </w:rPr>
              <w:t>The starter source data passes the early-offence principle in the indexed evidence: Scarimp has Dark damage at Levels 1 and 4, Calibrit has Psychic damage at Level 1, and Ruffurn has Fighting damage by Level 4. Their final forms add their secondary STABs through their evolved learnsets without changing the locked 16 → 36 evolution cadence.</w:t>
            </w:r>
          </w:p>
        </w:tc>
      </w:tr>
    </w:tbl>
    <w:p>
      <w:pPr>
        <w:spacing w:after="0"/>
      </w:pPr>
    </w:p>
    <w:p>
      <w:pPr>
        <w:pStyle w:val="Heading2"/>
      </w:pPr>
      <w:r>
        <w:t>6.2 Dual-type coverage</w:t>
      </w:r>
    </w:p>
    <w:p>
      <w:pPr>
        <w:pStyle w:val="ListBullet"/>
        <w:spacing w:after="30" w:line="240" w:lineRule="auto"/>
      </w:pPr>
      <w:r>
        <w:rPr>
          <w:rFonts w:ascii="Arial" w:hAnsi="Arial"/>
          <w:color w:val="1F2933"/>
          <w:sz w:val="18"/>
        </w:rPr>
        <w:t>Equal move counts are not required. Primary identity may remain dominant.</w:t>
      </w:r>
    </w:p>
    <w:p>
      <w:pPr>
        <w:pStyle w:val="ListBullet"/>
        <w:spacing w:after="30" w:line="240" w:lineRule="auto"/>
      </w:pPr>
      <w:r>
        <w:rPr>
          <w:rFonts w:ascii="Arial" w:hAnsi="Arial"/>
          <w:color w:val="1F2933"/>
          <w:sz w:val="18"/>
        </w:rPr>
        <w:t>A dual-type final should normally have at least one meaningful move of each type in its legal pool by effective access + 8 levels, and preferably immediately when the secondary typing is central to the evolution identity.</w:t>
      </w:r>
    </w:p>
    <w:p>
      <w:pPr>
        <w:pStyle w:val="ListBullet"/>
        <w:spacing w:after="30" w:line="240" w:lineRule="auto"/>
      </w:pPr>
      <w:r>
        <w:rPr>
          <w:rFonts w:ascii="Arial" w:hAnsi="Arial"/>
          <w:color w:val="1F2933"/>
          <w:sz w:val="18"/>
        </w:rPr>
        <w:t>A secondary type may be expressed through utility rather than damage only when the line’s authored combat identity clearly supports that asymmetry.</w:t>
      </w:r>
    </w:p>
    <w:p>
      <w:pPr>
        <w:pStyle w:val="Heading2"/>
      </w:pPr>
      <w:r>
        <w:t>6.3 Physical / special role compatibility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872"/>
            <w:shd w:fill="182738"/>
            <w:tcMar>
              <w:top w:w="65" w:type="dxa"/>
              <w:start w:w="70" w:type="dxa"/>
              <w:bottom w:w="65" w:type="dxa"/>
              <w:end w:w="70" w:type="dxa"/>
            </w:tcMar>
            <w:vAlign w:val="center"/>
          </w:tcPr>
          <w:p>
            <w:pPr>
              <w:spacing w:after="0"/>
              <w:jc w:val="center"/>
            </w:pPr>
            <w:r>
              <w:rPr>
                <w:rFonts w:ascii="Arial" w:hAnsi="Arial"/>
                <w:b/>
                <w:color w:val="FFFFFF"/>
                <w:sz w:val="15"/>
              </w:rPr>
              <w:t>Role</w:t>
            </w:r>
          </w:p>
        </w:tc>
        <w:tc>
          <w:tcPr>
            <w:tcW w:type="dxa" w:w="2160"/>
            <w:shd w:fill="182738"/>
            <w:tcMar>
              <w:top w:w="65" w:type="dxa"/>
              <w:start w:w="70" w:type="dxa"/>
              <w:bottom w:w="65" w:type="dxa"/>
              <w:end w:w="70" w:type="dxa"/>
            </w:tcMar>
            <w:vAlign w:val="center"/>
          </w:tcPr>
          <w:p>
            <w:pPr>
              <w:spacing w:after="0"/>
              <w:jc w:val="center"/>
            </w:pPr>
            <w:r>
              <w:rPr>
                <w:rFonts w:ascii="Arial" w:hAnsi="Arial"/>
                <w:b/>
                <w:color w:val="FFFFFF"/>
                <w:sz w:val="15"/>
              </w:rPr>
              <w:t>QA classifier</w:t>
            </w:r>
          </w:p>
        </w:tc>
        <w:tc>
          <w:tcPr>
            <w:tcW w:type="dxa" w:w="6048"/>
            <w:shd w:fill="182738"/>
            <w:tcMar>
              <w:top w:w="65" w:type="dxa"/>
              <w:start w:w="70" w:type="dxa"/>
              <w:bottom w:w="65" w:type="dxa"/>
              <w:end w:w="70" w:type="dxa"/>
            </w:tcMar>
            <w:vAlign w:val="center"/>
          </w:tcPr>
          <w:p>
            <w:pPr>
              <w:spacing w:after="0"/>
              <w:jc w:val="center"/>
            </w:pPr>
            <w:r>
              <w:rPr>
                <w:rFonts w:ascii="Arial" w:hAnsi="Arial"/>
                <w:b/>
                <w:color w:val="FFFFFF"/>
                <w:sz w:val="15"/>
              </w:rPr>
              <w:t>Validation expectation</w:t>
            </w:r>
          </w:p>
        </w:tc>
      </w:tr>
      <w:tr>
        <w:trPr>
          <w:cantSplit/>
        </w:trPr>
        <w:tc>
          <w:tcPr>
            <w:tcW w:type="dxa" w:w="1872"/>
            <w:tcMar>
              <w:top w:w="55" w:type="dxa"/>
              <w:start w:w="65" w:type="dxa"/>
              <w:bottom w:w="55" w:type="dxa"/>
              <w:end w:w="65" w:type="dxa"/>
            </w:tcMar>
            <w:vAlign w:val="top"/>
          </w:tcPr>
          <w:p>
            <w:pPr>
              <w:spacing w:after="0" w:line="240" w:lineRule="auto"/>
            </w:pPr>
            <w:r>
              <w:rPr>
                <w:rFonts w:ascii="Arial" w:hAnsi="Arial"/>
                <w:color w:val="1F2933"/>
                <w:sz w:val="15"/>
              </w:rPr>
              <w:t>Physical-leaning</w:t>
            </w:r>
          </w:p>
        </w:tc>
        <w:tc>
          <w:tcPr>
            <w:tcW w:type="dxa" w:w="2160"/>
            <w:tcMar>
              <w:top w:w="55" w:type="dxa"/>
              <w:start w:w="65" w:type="dxa"/>
              <w:bottom w:w="55" w:type="dxa"/>
              <w:end w:w="65" w:type="dxa"/>
            </w:tcMar>
            <w:vAlign w:val="top"/>
          </w:tcPr>
          <w:p>
            <w:pPr>
              <w:spacing w:after="0" w:line="240" w:lineRule="auto"/>
            </w:pPr>
            <w:r>
              <w:rPr>
                <w:rFonts w:ascii="Arial" w:hAnsi="Arial"/>
                <w:color w:val="1F2933"/>
                <w:sz w:val="15"/>
              </w:rPr>
              <w:t>Attack ≥ Sp. Atk + 15</w:t>
            </w:r>
          </w:p>
        </w:tc>
        <w:tc>
          <w:tcPr>
            <w:tcW w:type="dxa" w:w="6048"/>
            <w:tcMar>
              <w:top w:w="55" w:type="dxa"/>
              <w:start w:w="65" w:type="dxa"/>
              <w:bottom w:w="55" w:type="dxa"/>
              <w:end w:w="65" w:type="dxa"/>
            </w:tcMar>
            <w:vAlign w:val="top"/>
          </w:tcPr>
          <w:p>
            <w:pPr>
              <w:spacing w:after="0" w:line="240" w:lineRule="auto"/>
            </w:pPr>
            <w:r>
              <w:rPr>
                <w:rFonts w:ascii="Arial" w:hAnsi="Arial"/>
                <w:color w:val="1F2933"/>
                <w:sz w:val="15"/>
              </w:rPr>
              <w:t>At least two credible Physical damaging options in the mature legal pool; main STAB cannot be Special-only.</w:t>
            </w:r>
          </w:p>
        </w:tc>
      </w:tr>
      <w:tr>
        <w:trPr>
          <w:cantSplit/>
        </w:trPr>
        <w:tc>
          <w:tcPr>
            <w:tcW w:type="dxa" w:w="1872"/>
            <w:shd w:fill="F8FAFB"/>
            <w:tcMar>
              <w:top w:w="55" w:type="dxa"/>
              <w:start w:w="65" w:type="dxa"/>
              <w:bottom w:w="55" w:type="dxa"/>
              <w:end w:w="65" w:type="dxa"/>
            </w:tcMar>
            <w:vAlign w:val="top"/>
          </w:tcPr>
          <w:p>
            <w:pPr>
              <w:spacing w:after="0" w:line="240" w:lineRule="auto"/>
            </w:pPr>
            <w:r>
              <w:rPr>
                <w:rFonts w:ascii="Arial" w:hAnsi="Arial"/>
                <w:color w:val="1F2933"/>
                <w:sz w:val="15"/>
              </w:rPr>
              <w:t>Special-leaning</w:t>
            </w:r>
          </w:p>
        </w:tc>
        <w:tc>
          <w:tcPr>
            <w:tcW w:type="dxa" w:w="2160"/>
            <w:shd w:fill="F8FAFB"/>
            <w:tcMar>
              <w:top w:w="55" w:type="dxa"/>
              <w:start w:w="65" w:type="dxa"/>
              <w:bottom w:w="55" w:type="dxa"/>
              <w:end w:w="65" w:type="dxa"/>
            </w:tcMar>
            <w:vAlign w:val="top"/>
          </w:tcPr>
          <w:p>
            <w:pPr>
              <w:spacing w:after="0" w:line="240" w:lineRule="auto"/>
            </w:pPr>
            <w:r>
              <w:rPr>
                <w:rFonts w:ascii="Arial" w:hAnsi="Arial"/>
                <w:color w:val="1F2933"/>
                <w:sz w:val="15"/>
              </w:rPr>
              <w:t>Sp. Atk ≥ Attack + 15</w:t>
            </w:r>
          </w:p>
        </w:tc>
        <w:tc>
          <w:tcPr>
            <w:tcW w:type="dxa" w:w="6048"/>
            <w:shd w:fill="F8FAFB"/>
            <w:tcMar>
              <w:top w:w="55" w:type="dxa"/>
              <w:start w:w="65" w:type="dxa"/>
              <w:bottom w:w="55" w:type="dxa"/>
              <w:end w:w="65" w:type="dxa"/>
            </w:tcMar>
            <w:vAlign w:val="top"/>
          </w:tcPr>
          <w:p>
            <w:pPr>
              <w:spacing w:after="0" w:line="240" w:lineRule="auto"/>
            </w:pPr>
            <w:r>
              <w:rPr>
                <w:rFonts w:ascii="Arial" w:hAnsi="Arial"/>
                <w:color w:val="1F2933"/>
                <w:sz w:val="15"/>
              </w:rPr>
              <w:t>At least two credible Special damaging options; main STAB cannot be Physical-only.</w:t>
            </w:r>
          </w:p>
        </w:tc>
      </w:tr>
      <w:tr>
        <w:trPr>
          <w:cantSplit/>
        </w:trPr>
        <w:tc>
          <w:tcPr>
            <w:tcW w:type="dxa" w:w="1872"/>
            <w:tcMar>
              <w:top w:w="55" w:type="dxa"/>
              <w:start w:w="65" w:type="dxa"/>
              <w:bottom w:w="55" w:type="dxa"/>
              <w:end w:w="65" w:type="dxa"/>
            </w:tcMar>
            <w:vAlign w:val="top"/>
          </w:tcPr>
          <w:p>
            <w:pPr>
              <w:spacing w:after="0" w:line="240" w:lineRule="auto"/>
            </w:pPr>
            <w:r>
              <w:rPr>
                <w:rFonts w:ascii="Arial" w:hAnsi="Arial"/>
                <w:color w:val="1F2933"/>
                <w:sz w:val="15"/>
              </w:rPr>
              <w:t>Mixed</w:t>
            </w:r>
          </w:p>
        </w:tc>
        <w:tc>
          <w:tcPr>
            <w:tcW w:type="dxa" w:w="2160"/>
            <w:tcMar>
              <w:top w:w="55" w:type="dxa"/>
              <w:start w:w="65" w:type="dxa"/>
              <w:bottom w:w="55" w:type="dxa"/>
              <w:end w:w="65" w:type="dxa"/>
            </w:tcMar>
            <w:vAlign w:val="top"/>
          </w:tcPr>
          <w:p>
            <w:pPr>
              <w:spacing w:after="0" w:line="240" w:lineRule="auto"/>
            </w:pPr>
            <w:r>
              <w:rPr>
                <w:rFonts w:ascii="Arial" w:hAnsi="Arial"/>
                <w:color w:val="1F2933"/>
                <w:sz w:val="15"/>
              </w:rPr>
              <w:t>Difference &lt; 15</w:t>
            </w:r>
          </w:p>
        </w:tc>
        <w:tc>
          <w:tcPr>
            <w:tcW w:type="dxa" w:w="6048"/>
            <w:tcMar>
              <w:top w:w="55" w:type="dxa"/>
              <w:start w:w="65" w:type="dxa"/>
              <w:bottom w:w="55" w:type="dxa"/>
              <w:end w:w="65" w:type="dxa"/>
            </w:tcMar>
            <w:vAlign w:val="top"/>
          </w:tcPr>
          <w:p>
            <w:pPr>
              <w:spacing w:after="0" w:line="240" w:lineRule="auto"/>
            </w:pPr>
            <w:r>
              <w:rPr>
                <w:rFonts w:ascii="Arial" w:hAnsi="Arial"/>
                <w:color w:val="1F2933"/>
                <w:sz w:val="15"/>
              </w:rPr>
              <w:t>Both categories should be usable where the species concept supports mixed offence; no forced symmetry.</w:t>
            </w:r>
          </w:p>
        </w:tc>
      </w:tr>
      <w:tr>
        <w:trPr>
          <w:cantSplit/>
        </w:trPr>
        <w:tc>
          <w:tcPr>
            <w:tcW w:type="dxa" w:w="1872"/>
            <w:shd w:fill="F8FAFB"/>
            <w:tcMar>
              <w:top w:w="55" w:type="dxa"/>
              <w:start w:w="65" w:type="dxa"/>
              <w:bottom w:w="55" w:type="dxa"/>
              <w:end w:w="65" w:type="dxa"/>
            </w:tcMar>
            <w:vAlign w:val="top"/>
          </w:tcPr>
          <w:p>
            <w:pPr>
              <w:spacing w:after="0" w:line="240" w:lineRule="auto"/>
            </w:pPr>
            <w:r>
              <w:rPr>
                <w:rFonts w:ascii="Arial" w:hAnsi="Arial"/>
                <w:color w:val="1F2933"/>
                <w:sz w:val="15"/>
              </w:rPr>
              <w:t>Defensive/support</w:t>
            </w:r>
          </w:p>
        </w:tc>
        <w:tc>
          <w:tcPr>
            <w:tcW w:type="dxa" w:w="2160"/>
            <w:shd w:fill="F8FAFB"/>
            <w:tcMar>
              <w:top w:w="55" w:type="dxa"/>
              <w:start w:w="65" w:type="dxa"/>
              <w:bottom w:w="55" w:type="dxa"/>
              <w:end w:w="65" w:type="dxa"/>
            </w:tcMar>
            <w:vAlign w:val="top"/>
          </w:tcPr>
          <w:p>
            <w:pPr>
              <w:spacing w:after="0" w:line="240" w:lineRule="auto"/>
            </w:pPr>
            <w:r>
              <w:rPr>
                <w:rFonts w:ascii="Arial" w:hAnsi="Arial"/>
                <w:color w:val="1F2933"/>
                <w:sz w:val="15"/>
              </w:rPr>
              <w:t>Role text/stat shape indicates tank/support</w:t>
            </w:r>
          </w:p>
        </w:tc>
        <w:tc>
          <w:tcPr>
            <w:tcW w:type="dxa" w:w="6048"/>
            <w:shd w:fill="F8FAFB"/>
            <w:tcMar>
              <w:top w:w="55" w:type="dxa"/>
              <w:start w:w="65" w:type="dxa"/>
              <w:bottom w:w="55" w:type="dxa"/>
              <w:end w:w="65" w:type="dxa"/>
            </w:tcMar>
            <w:vAlign w:val="top"/>
          </w:tcPr>
          <w:p>
            <w:pPr>
              <w:spacing w:after="0" w:line="240" w:lineRule="auto"/>
            </w:pPr>
            <w:r>
              <w:rPr>
                <w:rFonts w:ascii="Arial" w:hAnsi="Arial"/>
                <w:color w:val="1F2933"/>
                <w:sz w:val="15"/>
              </w:rPr>
              <w:t>At least two meaningful non-damage tools across sustain, protection, debuff, status or setup by mature access; direct healing is not mandatory.</w:t>
            </w:r>
          </w:p>
        </w:tc>
      </w:tr>
    </w:tbl>
    <w:p>
      <w:pPr>
        <w:spacing w:after="0"/>
      </w:pPr>
    </w:p>
    <w:p>
      <w:pPr>
        <w:pStyle w:val="Heading2"/>
      </w:pPr>
      <w:r>
        <w:t>6.4 Power timing</w:t>
      </w:r>
    </w:p>
    <w:p>
      <w:pPr>
        <w:spacing w:after="80" w:line="250" w:lineRule="auto"/>
      </w:pPr>
      <w:r>
        <w:rPr>
          <w:rFonts w:ascii="Arial" w:hAnsi="Arial"/>
          <w:color w:val="1F2933"/>
          <w:sz w:val="18"/>
        </w:rPr>
        <w:t>Power timing is evaluated by effective access level: the later of the move’s learn level and the earliest level at which that species/form can legally exist. This prevents a final form’s Level 1 relearn move from being misclassified as an early-game 100+ BP grant.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656"/>
            <w:shd w:fill="182738"/>
            <w:tcMar>
              <w:top w:w="65" w:type="dxa"/>
              <w:start w:w="70" w:type="dxa"/>
              <w:bottom w:w="65" w:type="dxa"/>
              <w:end w:w="70" w:type="dxa"/>
            </w:tcMar>
            <w:vAlign w:val="center"/>
          </w:tcPr>
          <w:p>
            <w:pPr>
              <w:spacing w:after="0"/>
              <w:jc w:val="center"/>
            </w:pPr>
            <w:r>
              <w:rPr>
                <w:rFonts w:ascii="Arial" w:hAnsi="Arial"/>
                <w:b/>
                <w:color w:val="FFFFFF"/>
                <w:sz w:val="16"/>
              </w:rPr>
              <w:t>Power band</w:t>
            </w:r>
          </w:p>
        </w:tc>
        <w:tc>
          <w:tcPr>
            <w:tcW w:type="dxa" w:w="3096"/>
            <w:shd w:fill="182738"/>
            <w:tcMar>
              <w:top w:w="65" w:type="dxa"/>
              <w:start w:w="70" w:type="dxa"/>
              <w:bottom w:w="65" w:type="dxa"/>
              <w:end w:w="70" w:type="dxa"/>
            </w:tcMar>
            <w:vAlign w:val="center"/>
          </w:tcPr>
          <w:p>
            <w:pPr>
              <w:spacing w:after="0"/>
              <w:jc w:val="center"/>
            </w:pPr>
            <w:r>
              <w:rPr>
                <w:rFonts w:ascii="Arial" w:hAnsi="Arial"/>
                <w:b/>
                <w:color w:val="FFFFFF"/>
                <w:sz w:val="16"/>
              </w:rPr>
              <w:t>Audit threshold</w:t>
            </w:r>
          </w:p>
        </w:tc>
        <w:tc>
          <w:tcPr>
            <w:tcW w:type="dxa" w:w="5328"/>
            <w:shd w:fill="182738"/>
            <w:tcMar>
              <w:top w:w="65" w:type="dxa"/>
              <w:start w:w="70" w:type="dxa"/>
              <w:bottom w:w="65" w:type="dxa"/>
              <w:end w:w="70" w:type="dxa"/>
            </w:tcMar>
            <w:vAlign w:val="center"/>
          </w:tcPr>
          <w:p>
            <w:pPr>
              <w:spacing w:after="0"/>
              <w:jc w:val="center"/>
            </w:pPr>
            <w:r>
              <w:rPr>
                <w:rFonts w:ascii="Arial" w:hAnsi="Arial"/>
                <w:b/>
                <w:color w:val="FFFFFF"/>
                <w:sz w:val="16"/>
              </w:rPr>
              <w:t>Rule</w:t>
            </w:r>
          </w:p>
        </w:tc>
      </w:tr>
      <w:tr>
        <w:trPr>
          <w:cantSplit/>
        </w:trPr>
        <w:tc>
          <w:tcPr>
            <w:tcW w:type="dxa" w:w="1656"/>
            <w:tcMar>
              <w:top w:w="55" w:type="dxa"/>
              <w:start w:w="65" w:type="dxa"/>
              <w:bottom w:w="55" w:type="dxa"/>
              <w:end w:w="65" w:type="dxa"/>
            </w:tcMar>
            <w:vAlign w:val="top"/>
          </w:tcPr>
          <w:p>
            <w:pPr>
              <w:spacing w:after="0" w:line="240" w:lineRule="auto"/>
            </w:pPr>
            <w:r>
              <w:rPr>
                <w:rFonts w:ascii="Arial" w:hAnsi="Arial"/>
                <w:color w:val="1F2933"/>
                <w:sz w:val="16"/>
              </w:rPr>
              <w:t>≤ 90 BP</w:t>
            </w:r>
          </w:p>
        </w:tc>
        <w:tc>
          <w:tcPr>
            <w:tcW w:type="dxa" w:w="3096"/>
            <w:tcMar>
              <w:top w:w="55" w:type="dxa"/>
              <w:start w:w="65" w:type="dxa"/>
              <w:bottom w:w="55" w:type="dxa"/>
              <w:end w:w="65" w:type="dxa"/>
            </w:tcMar>
            <w:vAlign w:val="top"/>
          </w:tcPr>
          <w:p>
            <w:pPr>
              <w:spacing w:after="0" w:line="240" w:lineRule="auto"/>
            </w:pPr>
            <w:r>
              <w:rPr>
                <w:rFonts w:ascii="Arial" w:hAnsi="Arial"/>
                <w:color w:val="1F2933"/>
                <w:sz w:val="16"/>
              </w:rPr>
              <w:t>No special late gate</w:t>
            </w:r>
          </w:p>
        </w:tc>
        <w:tc>
          <w:tcPr>
            <w:tcW w:type="dxa" w:w="5328"/>
            <w:tcMar>
              <w:top w:w="55" w:type="dxa"/>
              <w:start w:w="65" w:type="dxa"/>
              <w:bottom w:w="55" w:type="dxa"/>
              <w:end w:w="65" w:type="dxa"/>
            </w:tcMar>
            <w:vAlign w:val="top"/>
          </w:tcPr>
          <w:p>
            <w:pPr>
              <w:spacing w:after="0" w:line="240" w:lineRule="auto"/>
            </w:pPr>
            <w:r>
              <w:rPr>
                <w:rFonts w:ascii="Arial" w:hAnsi="Arial"/>
                <w:color w:val="1F2933"/>
                <w:sz w:val="16"/>
              </w:rPr>
              <w:t>Normal progression band.</w:t>
            </w:r>
          </w:p>
        </w:tc>
      </w:tr>
      <w:tr>
        <w:trPr>
          <w:cantSplit/>
        </w:trPr>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6"/>
              </w:rPr>
              <w:t>95–100 BP</w:t>
            </w:r>
          </w:p>
        </w:tc>
        <w:tc>
          <w:tcPr>
            <w:tcW w:type="dxa" w:w="3096"/>
            <w:shd w:fill="F8FAFB"/>
            <w:tcMar>
              <w:top w:w="55" w:type="dxa"/>
              <w:start w:w="65" w:type="dxa"/>
              <w:bottom w:w="55" w:type="dxa"/>
              <w:end w:w="65" w:type="dxa"/>
            </w:tcMar>
            <w:vAlign w:val="top"/>
          </w:tcPr>
          <w:p>
            <w:pPr>
              <w:spacing w:after="0" w:line="240" w:lineRule="auto"/>
            </w:pPr>
            <w:r>
              <w:rPr>
                <w:rFonts w:ascii="Arial" w:hAnsi="Arial"/>
                <w:color w:val="1F2933"/>
                <w:sz w:val="16"/>
              </w:rPr>
              <w:t>Warning if effectively available before ~Lv24</w:t>
            </w:r>
          </w:p>
        </w:tc>
        <w:tc>
          <w:tcPr>
            <w:tcW w:type="dxa" w:w="5328"/>
            <w:shd w:fill="F8FAFB"/>
            <w:tcMar>
              <w:top w:w="55" w:type="dxa"/>
              <w:start w:w="65" w:type="dxa"/>
              <w:bottom w:w="55" w:type="dxa"/>
              <w:end w:w="65" w:type="dxa"/>
            </w:tcMar>
            <w:vAlign w:val="top"/>
          </w:tcPr>
          <w:p>
            <w:pPr>
              <w:spacing w:after="0" w:line="240" w:lineRule="auto"/>
            </w:pPr>
            <w:r>
              <w:rPr>
                <w:rFonts w:ascii="Arial" w:hAnsi="Arial"/>
                <w:color w:val="1F2933"/>
                <w:sz w:val="16"/>
              </w:rPr>
              <w:t>Allowed earlier only for a deliberate signature/role reason.</w:t>
            </w:r>
          </w:p>
        </w:tc>
      </w:tr>
      <w:tr>
        <w:trPr>
          <w:cantSplit/>
        </w:trPr>
        <w:tc>
          <w:tcPr>
            <w:tcW w:type="dxa" w:w="1656"/>
            <w:tcMar>
              <w:top w:w="55" w:type="dxa"/>
              <w:start w:w="65" w:type="dxa"/>
              <w:bottom w:w="55" w:type="dxa"/>
              <w:end w:w="65" w:type="dxa"/>
            </w:tcMar>
            <w:vAlign w:val="top"/>
          </w:tcPr>
          <w:p>
            <w:pPr>
              <w:spacing w:after="0" w:line="240" w:lineRule="auto"/>
            </w:pPr>
            <w:r>
              <w:rPr>
                <w:rFonts w:ascii="Arial" w:hAnsi="Arial"/>
                <w:color w:val="1F2933"/>
                <w:sz w:val="16"/>
              </w:rPr>
              <w:t>110 BP</w:t>
            </w:r>
          </w:p>
        </w:tc>
        <w:tc>
          <w:tcPr>
            <w:tcW w:type="dxa" w:w="3096"/>
            <w:tcMar>
              <w:top w:w="55" w:type="dxa"/>
              <w:start w:w="65" w:type="dxa"/>
              <w:bottom w:w="55" w:type="dxa"/>
              <w:end w:w="65" w:type="dxa"/>
            </w:tcMar>
            <w:vAlign w:val="top"/>
          </w:tcPr>
          <w:p>
            <w:pPr>
              <w:spacing w:after="0" w:line="240" w:lineRule="auto"/>
            </w:pPr>
            <w:r>
              <w:rPr>
                <w:rFonts w:ascii="Arial" w:hAnsi="Arial"/>
                <w:color w:val="1F2933"/>
                <w:sz w:val="16"/>
              </w:rPr>
              <w:t>Warning if effectively available before ~Lv32</w:t>
            </w:r>
          </w:p>
        </w:tc>
        <w:tc>
          <w:tcPr>
            <w:tcW w:type="dxa" w:w="5328"/>
            <w:tcMar>
              <w:top w:w="55" w:type="dxa"/>
              <w:start w:w="65" w:type="dxa"/>
              <w:bottom w:w="55" w:type="dxa"/>
              <w:end w:w="65" w:type="dxa"/>
            </w:tcMar>
            <w:vAlign w:val="top"/>
          </w:tcPr>
          <w:p>
            <w:pPr>
              <w:spacing w:after="0" w:line="240" w:lineRule="auto"/>
            </w:pPr>
            <w:r>
              <w:rPr>
                <w:rFonts w:ascii="Arial" w:hAnsi="Arial"/>
                <w:color w:val="1F2933"/>
                <w:sz w:val="16"/>
              </w:rPr>
              <w:t>Expected to be late or drawback-bearing.</w:t>
            </w:r>
          </w:p>
        </w:tc>
      </w:tr>
      <w:tr>
        <w:trPr>
          <w:cantSplit/>
        </w:trPr>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6"/>
              </w:rPr>
              <w:t>120 BP</w:t>
            </w:r>
          </w:p>
        </w:tc>
        <w:tc>
          <w:tcPr>
            <w:tcW w:type="dxa" w:w="3096"/>
            <w:shd w:fill="F8FAFB"/>
            <w:tcMar>
              <w:top w:w="55" w:type="dxa"/>
              <w:start w:w="65" w:type="dxa"/>
              <w:bottom w:w="55" w:type="dxa"/>
              <w:end w:w="65" w:type="dxa"/>
            </w:tcMar>
            <w:vAlign w:val="top"/>
          </w:tcPr>
          <w:p>
            <w:pPr>
              <w:spacing w:after="0" w:line="240" w:lineRule="auto"/>
            </w:pPr>
            <w:r>
              <w:rPr>
                <w:rFonts w:ascii="Arial" w:hAnsi="Arial"/>
                <w:color w:val="1F2933"/>
                <w:sz w:val="16"/>
              </w:rPr>
              <w:t>Warning if effectively available before ~Lv40</w:t>
            </w:r>
          </w:p>
        </w:tc>
        <w:tc>
          <w:tcPr>
            <w:tcW w:type="dxa" w:w="5328"/>
            <w:shd w:fill="F8FAFB"/>
            <w:tcMar>
              <w:top w:w="55" w:type="dxa"/>
              <w:start w:w="65" w:type="dxa"/>
              <w:bottom w:w="55" w:type="dxa"/>
              <w:end w:w="65" w:type="dxa"/>
            </w:tcMar>
            <w:vAlign w:val="top"/>
          </w:tcPr>
          <w:p>
            <w:pPr>
              <w:spacing w:after="0" w:line="240" w:lineRule="auto"/>
            </w:pPr>
            <w:r>
              <w:rPr>
                <w:rFonts w:ascii="Arial" w:hAnsi="Arial"/>
                <w:color w:val="1F2933"/>
                <w:sz w:val="16"/>
              </w:rPr>
              <w:t>Expected to be late, drawback-bearing, signature, rare-acquisition or delayed-evolution compensation.</w:t>
            </w:r>
          </w:p>
        </w:tc>
      </w:tr>
    </w:tbl>
    <w:p>
      <w:pPr>
        <w:spacing w:after="0"/>
      </w:pPr>
    </w:p>
    <w:p>
      <w:pPr>
        <w:pStyle w:val="ListBullet"/>
        <w:spacing w:after="30" w:line="240" w:lineRule="auto"/>
      </w:pPr>
      <w:r>
        <w:rPr>
          <w:rFonts w:ascii="Arial" w:hAnsi="Arial"/>
          <w:color w:val="1F2933"/>
          <w:sz w:val="18"/>
        </w:rPr>
        <w:t>These are balance warnings, not blind hard deletes. Deliberately unevolved forms may retain a late strong move as delayed-evolution compensation; the validator reports it for review rather than automatically moving it.</w:t>
      </w:r>
    </w:p>
    <w:p>
      <w:pPr>
        <w:pStyle w:val="ListBullet"/>
        <w:spacing w:after="30" w:line="240" w:lineRule="auto"/>
      </w:pPr>
      <w:r>
        <w:rPr>
          <w:rFonts w:ascii="Arial" w:hAnsi="Arial"/>
          <w:color w:val="1F2933"/>
          <w:sz w:val="18"/>
        </w:rPr>
        <w:t>Weak attacks of 55 BP or lower learned after Level 40 are flagged unless their secondary effect, priority, drain, critical identity or other utility keeps them strategically relevant.</w:t>
      </w:r>
    </w:p>
    <w:p>
      <w:pPr>
        <w:pStyle w:val="Heading1"/>
      </w:pPr>
      <w:r>
        <w:t>7. Status, healing, setup, priority, recoil and drain distribution</w:t>
      </w:r>
    </w:p>
    <w:p>
      <w:pPr>
        <w:pStyle w:val="ListBullet"/>
        <w:spacing w:after="30" w:line="240" w:lineRule="auto"/>
      </w:pPr>
      <w:r>
        <w:rPr>
          <w:rFonts w:ascii="Arial" w:hAnsi="Arial"/>
          <w:color w:val="1F2933"/>
          <w:sz w:val="18"/>
        </w:rPr>
        <w:t>No universal quotas. Distribution is tested against role, typing and line identity.</w:t>
      </w:r>
    </w:p>
    <w:p>
      <w:pPr>
        <w:pStyle w:val="ListBullet"/>
        <w:spacing w:after="30" w:line="240" w:lineRule="auto"/>
      </w:pPr>
      <w:r>
        <w:rPr>
          <w:rFonts w:ascii="Arial" w:hAnsi="Arial"/>
          <w:color w:val="1F2933"/>
          <w:sz w:val="18"/>
        </w:rPr>
        <w:t>Healing remains selective. A sustain-oriented line with no sustain is a warning; a generic attacker is not required to receive healing.</w:t>
      </w:r>
    </w:p>
    <w:p>
      <w:pPr>
        <w:pStyle w:val="ListBullet"/>
        <w:spacing w:after="30" w:line="240" w:lineRule="auto"/>
      </w:pPr>
      <w:r>
        <w:rPr>
          <w:rFonts w:ascii="Arial" w:hAnsi="Arial"/>
          <w:color w:val="1F2933"/>
          <w:sz w:val="18"/>
        </w:rPr>
        <w:t>Setup must align with usable stats: physical attackers should not rely solely on Sp. Atk setup, and special attackers should not rely solely on Attack setup unless deliberately mixed.</w:t>
      </w:r>
    </w:p>
    <w:p>
      <w:pPr>
        <w:pStyle w:val="ListBullet"/>
        <w:spacing w:after="30" w:line="240" w:lineRule="auto"/>
      </w:pPr>
      <w:r>
        <w:rPr>
          <w:rFonts w:ascii="Arial" w:hAnsi="Arial"/>
          <w:color w:val="1F2933"/>
          <w:sz w:val="18"/>
        </w:rPr>
        <w:t>Speed-oriented designs may use Speed control, pivoting, accuracy/evasion tools or the scarce priority pool; priority itself is not mandatory for every fast species.</w:t>
      </w:r>
    </w:p>
    <w:p>
      <w:pPr>
        <w:pStyle w:val="ListBullet"/>
        <w:spacing w:after="30" w:line="240" w:lineRule="auto"/>
      </w:pPr>
      <w:r>
        <w:rPr>
          <w:rFonts w:ascii="Arial" w:hAnsi="Arial"/>
          <w:color w:val="1F2933"/>
          <w:sz w:val="18"/>
        </w:rPr>
        <w:t>Recoil and self-stat-drop moves are valid high-power trade-offs. A species whose entire practical STAB pool damages itself is a warning.</w:t>
      </w:r>
    </w:p>
    <w:p>
      <w:pPr>
        <w:pStyle w:val="ListBullet"/>
        <w:spacing w:after="30" w:line="240" w:lineRule="auto"/>
      </w:pPr>
      <w:r>
        <w:rPr>
          <w:rFonts w:ascii="Arial" w:hAnsi="Arial"/>
          <w:color w:val="1F2933"/>
          <w:sz w:val="18"/>
        </w:rPr>
        <w:t>Drain remains identity-limited. Drain access should not make ordinary healing items or dedicated sustain roles irrelevant.</w:t>
      </w:r>
    </w:p>
    <w:p>
      <w:pPr>
        <w:pStyle w:val="Heading1"/>
      </w:pPr>
      <w:r>
        <w:t>8. Signature move ownership and timing</w:t>
      </w:r>
    </w:p>
    <w:p>
      <w:pPr>
        <w:pStyle w:val="ListBullet"/>
        <w:spacing w:after="30" w:line="240" w:lineRule="auto"/>
      </w:pPr>
      <w:r>
        <w:rPr>
          <w:rFonts w:ascii="Arial" w:hAnsi="Arial"/>
          <w:color w:val="1F2933"/>
          <w:sz w:val="18"/>
        </w:rPr>
        <w:t>A catalogue row whose Signature / Best Fit value names an Abyssal receives signature_owner_family equal to that Abyssal’s canonical evolution family.</w:t>
      </w:r>
    </w:p>
    <w:p>
      <w:pPr>
        <w:pStyle w:val="ListBullet"/>
        <w:spacing w:after="30" w:line="240" w:lineRule="auto"/>
      </w:pPr>
      <w:r>
        <w:rPr>
          <w:rFonts w:ascii="Arial" w:hAnsi="Arial"/>
          <w:color w:val="1F2933"/>
          <w:sz w:val="18"/>
        </w:rPr>
        <w:t>No species outside that family may learn, relearn, inherit or be assigned that move by trainer compilation unless a future explicit lore/design exception is documented.</w:t>
      </w:r>
    </w:p>
    <w:p>
      <w:pPr>
        <w:pStyle w:val="ListBullet"/>
        <w:spacing w:after="30" w:line="240" w:lineRule="auto"/>
      </w:pPr>
      <w:r>
        <w:rPr>
          <w:rFonts w:ascii="Arial" w:hAnsi="Arial"/>
          <w:color w:val="1F2933"/>
          <w:sz w:val="18"/>
        </w:rPr>
        <w:t>Family exclusivity does not mean every stage learns the signature. The learnset remains authority for stage and level access.</w:t>
      </w:r>
    </w:p>
    <w:p>
      <w:pPr>
        <w:pStyle w:val="ListBullet"/>
        <w:spacing w:after="30" w:line="240" w:lineRule="auto"/>
      </w:pPr>
      <w:r>
        <w:rPr>
          <w:rFonts w:ascii="Arial" w:hAnsi="Arial"/>
          <w:color w:val="1F2933"/>
          <w:sz w:val="18"/>
        </w:rPr>
        <w:t>Final-form signatures should normally become available at/after the relevant evolution or through a Level 0 evolution offer. Earlier family-stage signatures are allowed where they are intentionally weaker or define the whole line.</w:t>
      </w:r>
    </w:p>
    <w:p>
      <w:pPr>
        <w:pStyle w:val="ListBullet"/>
        <w:spacing w:after="30" w:line="240" w:lineRule="auto"/>
      </w:pPr>
      <w:r>
        <w:rPr>
          <w:rFonts w:ascii="Arial" w:hAnsi="Arial"/>
          <w:color w:val="1F2933"/>
          <w:sz w:val="18"/>
        </w:rPr>
        <w:t>Trainer compilation treats an illegal cross-family signature exactly like any other illegal move: reject it and deterministically select the next legal candidate.</w:t>
      </w:r>
    </w:p>
    <w:p>
      <w:pPr>
        <w:pStyle w:val="Heading1"/>
      </w:pPr>
      <w:r>
        <w:t>9. Starter, fossil and mythic validation</w:t>
      </w:r>
    </w:p>
    <w:p>
      <w:pPr>
        <w:pStyle w:val="Heading2"/>
      </w:pPr>
      <w:r>
        <w:t>9.1 Starters</w:t>
      </w:r>
    </w:p>
    <w:p>
      <w:pPr>
        <w:pStyle w:val="ListBullet"/>
        <w:spacing w:after="30" w:line="240" w:lineRule="auto"/>
      </w:pPr>
      <w:r>
        <w:rPr>
          <w:rFonts w:ascii="Arial" w:hAnsi="Arial"/>
          <w:color w:val="1F2933"/>
          <w:sz w:val="18"/>
        </w:rPr>
        <w:t>All three starters retain the locked Level 16 → 36 evolution cadence from Checklist 11.</w:t>
      </w:r>
    </w:p>
    <w:p>
      <w:pPr>
        <w:pStyle w:val="ListBullet"/>
        <w:spacing w:after="30" w:line="240" w:lineRule="auto"/>
      </w:pPr>
      <w:r>
        <w:rPr>
          <w:rFonts w:ascii="Arial" w:hAnsi="Arial"/>
          <w:color w:val="1F2933"/>
          <w:sz w:val="18"/>
        </w:rPr>
        <w:t>Their early competence must be comparable, not mirrored. Each receives early STAB, a usable offensive path and role-appropriate category support.</w:t>
      </w:r>
    </w:p>
    <w:p>
      <w:pPr>
        <w:pStyle w:val="ListBullet"/>
        <w:spacing w:after="30" w:line="240" w:lineRule="auto"/>
      </w:pPr>
      <w:r>
        <w:rPr>
          <w:rFonts w:ascii="Arial" w:hAnsi="Arial"/>
          <w:color w:val="1F2933"/>
          <w:sz w:val="18"/>
        </w:rPr>
        <w:t>Final secondary typings must become mechanically relevant through learnset access rather than existing only on the stat sheet.</w:t>
      </w:r>
    </w:p>
    <w:p>
      <w:pPr>
        <w:pStyle w:val="ListBullet"/>
        <w:spacing w:after="30" w:line="240" w:lineRule="auto"/>
      </w:pPr>
      <w:r>
        <w:rPr>
          <w:rFonts w:ascii="Arial" w:hAnsi="Arial"/>
          <w:color w:val="1F2933"/>
          <w:sz w:val="18"/>
        </w:rPr>
        <w:t>No starter receives uniquely perfect early coverage or a materially stronger power band simply because its source inspiration is more combat-focused.</w:t>
      </w:r>
    </w:p>
    <w:p>
      <w:pPr>
        <w:pStyle w:val="Heading2"/>
      </w:pPr>
      <w:r>
        <w:t>9.2 Fossils</w:t>
      </w:r>
    </w:p>
    <w:p>
      <w:pPr>
        <w:pStyle w:val="ListBullet"/>
        <w:spacing w:after="30" w:line="240" w:lineRule="auto"/>
      </w:pPr>
      <w:r>
        <w:rPr>
          <w:rFonts w:ascii="Arial" w:hAnsi="Arial"/>
          <w:color w:val="1F2933"/>
          <w:sz w:val="18"/>
        </w:rPr>
        <w:t>Fossils are judged from actual acquisition/evolution timing. Paleursa and Raptyrale are single-stage; Sidermite → Xenolithid remains Level 40; Gravodo → Cairnodo → Kronodo remains 28 → 48.</w:t>
      </w:r>
    </w:p>
    <w:p>
      <w:pPr>
        <w:pStyle w:val="ListBullet"/>
        <w:spacing w:after="30" w:line="240" w:lineRule="auto"/>
      </w:pPr>
      <w:r>
        <w:rPr>
          <w:rFonts w:ascii="Arial" w:hAnsi="Arial"/>
          <w:color w:val="1F2933"/>
          <w:sz w:val="18"/>
        </w:rPr>
        <w:t>Their mature learnsets may be stronger than ordinary early-route lines, but must still preserve role weaknesses and not arrive with perfect four-move coverage by default.</w:t>
      </w:r>
    </w:p>
    <w:p>
      <w:pPr>
        <w:pStyle w:val="Heading2"/>
      </w:pPr>
      <w:r>
        <w:t>9.3 Mythics</w:t>
      </w:r>
    </w:p>
    <w:p>
      <w:pPr>
        <w:pStyle w:val="ListBullet"/>
        <w:spacing w:after="30" w:line="240" w:lineRule="auto"/>
      </w:pPr>
      <w:r>
        <w:rPr>
          <w:rFonts w:ascii="Arial" w:hAnsi="Arial"/>
          <w:color w:val="1F2933"/>
          <w:sz w:val="18"/>
        </w:rPr>
        <w:t>Guanrong, Liubeirow and Waranwei remain single-stage 600-BST mythics; Suncub → Cehong remains Sun Relic at minimum Level 40.</w:t>
      </w:r>
    </w:p>
    <w:p>
      <w:pPr>
        <w:pStyle w:val="ListBullet"/>
        <w:spacing w:after="30" w:line="240" w:lineRule="auto"/>
      </w:pPr>
      <w:r>
        <w:rPr>
          <w:rFonts w:ascii="Arial" w:hAnsi="Arial"/>
          <w:color w:val="1F2933"/>
          <w:sz w:val="18"/>
        </w:rPr>
        <w:t>Mythics may have unusually coherent/signature-heavy kits, but still obey category, accuracy, targeting and signature-family data rules.</w:t>
      </w:r>
    </w:p>
    <w:p>
      <w:pPr>
        <w:pStyle w:val="ListBullet"/>
        <w:spacing w:after="30" w:line="240" w:lineRule="auto"/>
      </w:pPr>
      <w:r>
        <w:rPr>
          <w:rFonts w:ascii="Arial" w:hAnsi="Arial"/>
          <w:color w:val="1F2933"/>
          <w:sz w:val="18"/>
        </w:rPr>
        <w:t>Level 1 entries on a late-obtained mythic are relearner pool entries at acquisition, not proof that the move is available in the early campaign.</w:t>
      </w:r>
    </w:p>
    <w:p>
      <w:pPr>
        <w:pStyle w:val="Heading1"/>
      </w:pPr>
      <w:r>
        <w:t>10. Trainer and Hell Warden move compiler</w:t>
      </w:r>
    </w:p>
    <w:p>
      <w:pPr>
        <w:spacing w:after="80" w:line="250" w:lineRule="auto"/>
      </w:pPr>
      <w:r>
        <w:rPr>
          <w:rFonts w:ascii="Arial" w:hAnsi="Arial"/>
          <w:color w:val="1F2933"/>
          <w:sz w:val="18"/>
        </w:rPr>
        <w:t>Checklist 04’s deterministic resolver remains unchanged, with Checklist 12 metadata inserted before scoring.</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82738"/>
            <w:tcMar>
              <w:top w:w="65" w:type="dxa"/>
              <w:start w:w="70" w:type="dxa"/>
              <w:bottom w:w="65" w:type="dxa"/>
              <w:end w:w="70" w:type="dxa"/>
            </w:tcMar>
            <w:vAlign w:val="center"/>
          </w:tcPr>
          <w:p>
            <w:pPr>
              <w:spacing w:after="0"/>
              <w:jc w:val="center"/>
            </w:pPr>
            <w:r>
              <w:rPr>
                <w:rFonts w:ascii="Arial" w:hAnsi="Arial"/>
                <w:b/>
                <w:color w:val="FFFFFF"/>
                <w:sz w:val="16"/>
              </w:rPr>
              <w:t>Stage</w:t>
            </w:r>
          </w:p>
        </w:tc>
        <w:tc>
          <w:tcPr>
            <w:tcW w:type="dxa" w:w="7776"/>
            <w:shd w:fill="182738"/>
            <w:tcMar>
              <w:top w:w="65" w:type="dxa"/>
              <w:start w:w="70" w:type="dxa"/>
              <w:bottom w:w="65" w:type="dxa"/>
              <w:end w:w="70" w:type="dxa"/>
            </w:tcMar>
            <w:vAlign w:val="center"/>
          </w:tcPr>
          <w:p>
            <w:pPr>
              <w:spacing w:after="0"/>
              <w:jc w:val="center"/>
            </w:pPr>
            <w:r>
              <w:rPr>
                <w:rFonts w:ascii="Arial" w:hAnsi="Arial"/>
                <w:b/>
                <w:color w:val="FFFFFF"/>
                <w:sz w:val="16"/>
              </w:rPr>
              <w:t>Locked action</w:t>
            </w:r>
          </w:p>
        </w:tc>
      </w:tr>
      <w:tr>
        <w:trPr>
          <w:cantSplit/>
        </w:trPr>
        <w:tc>
          <w:tcPr>
            <w:tcW w:type="dxa" w:w="2232"/>
            <w:tcMar>
              <w:top w:w="55" w:type="dxa"/>
              <w:start w:w="65" w:type="dxa"/>
              <w:bottom w:w="55" w:type="dxa"/>
              <w:end w:w="65" w:type="dxa"/>
            </w:tcMar>
            <w:vAlign w:val="top"/>
          </w:tcPr>
          <w:p>
            <w:pPr>
              <w:spacing w:after="0" w:line="240" w:lineRule="auto"/>
            </w:pPr>
            <w:r>
              <w:rPr>
                <w:rFonts w:ascii="Arial" w:hAnsi="Arial"/>
                <w:color w:val="1F2933"/>
                <w:sz w:val="16"/>
              </w:rPr>
              <w:t>1. Build legal pool</w:t>
            </w:r>
          </w:p>
        </w:tc>
        <w:tc>
          <w:tcPr>
            <w:tcW w:type="dxa" w:w="7776"/>
            <w:tcMar>
              <w:top w:w="55" w:type="dxa"/>
              <w:start w:w="65" w:type="dxa"/>
              <w:bottom w:w="55" w:type="dxa"/>
              <w:end w:w="65" w:type="dxa"/>
            </w:tcMar>
            <w:vAlign w:val="top"/>
          </w:tcPr>
          <w:p>
            <w:pPr>
              <w:spacing w:after="0" w:line="240" w:lineRule="auto"/>
            </w:pPr>
            <w:r>
              <w:rPr>
                <w:rFonts w:ascii="Arial" w:hAnsi="Arial"/>
                <w:color w:val="1F2933"/>
                <w:sz w:val="16"/>
              </w:rPr>
              <w:t>Current species + actual evolution-history path; moves legally available at/below trainer level, including valid relearner/evolution entries. No unlisted TM/tutor assumptions.</w:t>
            </w:r>
          </w:p>
        </w:tc>
      </w:tr>
      <w:tr>
        <w:trPr>
          <w:cantSplit/>
        </w:trPr>
        <w:tc>
          <w:tcPr>
            <w:tcW w:type="dxa" w:w="2232"/>
            <w:shd w:fill="F8FAFB"/>
            <w:tcMar>
              <w:top w:w="55" w:type="dxa"/>
              <w:start w:w="65" w:type="dxa"/>
              <w:bottom w:w="55" w:type="dxa"/>
              <w:end w:w="65" w:type="dxa"/>
            </w:tcMar>
            <w:vAlign w:val="top"/>
          </w:tcPr>
          <w:p>
            <w:pPr>
              <w:spacing w:after="0" w:line="240" w:lineRule="auto"/>
            </w:pPr>
            <w:r>
              <w:rPr>
                <w:rFonts w:ascii="Arial" w:hAnsi="Arial"/>
                <w:color w:val="1F2933"/>
                <w:sz w:val="16"/>
              </w:rPr>
              <w:t>2. Validate move records</w:t>
            </w:r>
          </w:p>
        </w:tc>
        <w:tc>
          <w:tcPr>
            <w:tcW w:type="dxa" w:w="7776"/>
            <w:shd w:fill="F8FAFB"/>
            <w:tcMar>
              <w:top w:w="55" w:type="dxa"/>
              <w:start w:w="65" w:type="dxa"/>
              <w:bottom w:w="55" w:type="dxa"/>
              <w:end w:w="65" w:type="dxa"/>
            </w:tcMar>
            <w:vAlign w:val="top"/>
          </w:tcPr>
          <w:p>
            <w:pPr>
              <w:spacing w:after="0" w:line="240" w:lineRule="auto"/>
            </w:pPr>
            <w:r>
              <w:rPr>
                <w:rFonts w:ascii="Arial" w:hAnsi="Arial"/>
                <w:color w:val="1F2933"/>
                <w:sz w:val="16"/>
              </w:rPr>
              <w:t>Every candidate must resolve one canonical move_id with valid type, PP, category, accuracy, priority, target and effect data.</w:t>
            </w:r>
          </w:p>
        </w:tc>
      </w:tr>
      <w:tr>
        <w:trPr>
          <w:cantSplit/>
        </w:trPr>
        <w:tc>
          <w:tcPr>
            <w:tcW w:type="dxa" w:w="2232"/>
            <w:tcMar>
              <w:top w:w="55" w:type="dxa"/>
              <w:start w:w="65" w:type="dxa"/>
              <w:bottom w:w="55" w:type="dxa"/>
              <w:end w:w="65" w:type="dxa"/>
            </w:tcMar>
            <w:vAlign w:val="top"/>
          </w:tcPr>
          <w:p>
            <w:pPr>
              <w:spacing w:after="0" w:line="240" w:lineRule="auto"/>
            </w:pPr>
            <w:r>
              <w:rPr>
                <w:rFonts w:ascii="Arial" w:hAnsi="Arial"/>
                <w:color w:val="1F2933"/>
                <w:sz w:val="16"/>
              </w:rPr>
              <w:t>3. Enforce signatures</w:t>
            </w:r>
          </w:p>
        </w:tc>
        <w:tc>
          <w:tcPr>
            <w:tcW w:type="dxa" w:w="7776"/>
            <w:tcMar>
              <w:top w:w="55" w:type="dxa"/>
              <w:start w:w="65" w:type="dxa"/>
              <w:bottom w:w="55" w:type="dxa"/>
              <w:end w:w="65" w:type="dxa"/>
            </w:tcMar>
            <w:vAlign w:val="top"/>
          </w:tcPr>
          <w:p>
            <w:pPr>
              <w:spacing w:after="0" w:line="240" w:lineRule="auto"/>
            </w:pPr>
            <w:r>
              <w:rPr>
                <w:rFonts w:ascii="Arial" w:hAnsi="Arial"/>
                <w:color w:val="1F2933"/>
                <w:sz w:val="16"/>
              </w:rPr>
              <w:t>Reject signature moves whose owner family does not match the trainer species family.</w:t>
            </w:r>
          </w:p>
        </w:tc>
      </w:tr>
      <w:tr>
        <w:trPr>
          <w:cantSplit/>
        </w:trPr>
        <w:tc>
          <w:tcPr>
            <w:tcW w:type="dxa" w:w="2232"/>
            <w:shd w:fill="F8FAFB"/>
            <w:tcMar>
              <w:top w:w="55" w:type="dxa"/>
              <w:start w:w="65" w:type="dxa"/>
              <w:bottom w:w="55" w:type="dxa"/>
              <w:end w:w="65" w:type="dxa"/>
            </w:tcMar>
            <w:vAlign w:val="top"/>
          </w:tcPr>
          <w:p>
            <w:pPr>
              <w:spacing w:after="0" w:line="240" w:lineRule="auto"/>
            </w:pPr>
            <w:r>
              <w:rPr>
                <w:rFonts w:ascii="Arial" w:hAnsi="Arial"/>
                <w:color w:val="1F2933"/>
                <w:sz w:val="16"/>
              </w:rPr>
              <w:t>4. Apply Checklist 04 profile</w:t>
            </w:r>
          </w:p>
        </w:tc>
        <w:tc>
          <w:tcPr>
            <w:tcW w:type="dxa" w:w="7776"/>
            <w:shd w:fill="F8FAFB"/>
            <w:tcMar>
              <w:top w:w="55" w:type="dxa"/>
              <w:start w:w="65" w:type="dxa"/>
              <w:bottom w:w="55" w:type="dxa"/>
              <w:end w:w="65" w:type="dxa"/>
            </w:tcMar>
            <w:vAlign w:val="top"/>
          </w:tcPr>
          <w:p>
            <w:pPr>
              <w:spacing w:after="0" w:line="240" w:lineRule="auto"/>
            </w:pPr>
            <w:r>
              <w:rPr>
                <w:rFonts w:ascii="Arial" w:hAnsi="Arial"/>
                <w:color w:val="1F2933"/>
                <w:sz w:val="16"/>
              </w:rPr>
              <w:t>DIRECT / BALANCED / TEMPO / CONTROL / SUSTAIN / SIEGE / TERRAIN scoring remains authoritative.</w:t>
            </w:r>
          </w:p>
        </w:tc>
      </w:tr>
      <w:tr>
        <w:trPr>
          <w:cantSplit/>
        </w:trPr>
        <w:tc>
          <w:tcPr>
            <w:tcW w:type="dxa" w:w="2232"/>
            <w:tcMar>
              <w:top w:w="55" w:type="dxa"/>
              <w:start w:w="65" w:type="dxa"/>
              <w:bottom w:w="55" w:type="dxa"/>
              <w:end w:w="65" w:type="dxa"/>
            </w:tcMar>
            <w:vAlign w:val="top"/>
          </w:tcPr>
          <w:p>
            <w:pPr>
              <w:spacing w:after="0" w:line="240" w:lineRule="auto"/>
            </w:pPr>
            <w:r>
              <w:rPr>
                <w:rFonts w:ascii="Arial" w:hAnsi="Arial"/>
                <w:color w:val="1F2933"/>
                <w:sz w:val="16"/>
              </w:rPr>
              <w:t>5. STAB/damage constraints</w:t>
            </w:r>
          </w:p>
        </w:tc>
        <w:tc>
          <w:tcPr>
            <w:tcW w:type="dxa" w:w="7776"/>
            <w:tcMar>
              <w:top w:w="55" w:type="dxa"/>
              <w:start w:w="65" w:type="dxa"/>
              <w:bottom w:w="55" w:type="dxa"/>
              <w:end w:w="65" w:type="dxa"/>
            </w:tcMar>
            <w:vAlign w:val="top"/>
          </w:tcPr>
          <w:p>
            <w:pPr>
              <w:spacing w:after="0" w:line="240" w:lineRule="auto"/>
            </w:pPr>
            <w:r>
              <w:rPr>
                <w:rFonts w:ascii="Arial" w:hAnsi="Arial"/>
                <w:color w:val="1F2933"/>
                <w:sz w:val="16"/>
              </w:rPr>
              <w:t>Guarantee available damaging STAB; ordinary trainer sets retain the Checklist 04 damage/status composition rules.</w:t>
            </w:r>
          </w:p>
        </w:tc>
      </w:tr>
      <w:tr>
        <w:trPr>
          <w:cantSplit/>
        </w:trPr>
        <w:tc>
          <w:tcPr>
            <w:tcW w:type="dxa" w:w="2232"/>
            <w:shd w:fill="F8FAFB"/>
            <w:tcMar>
              <w:top w:w="55" w:type="dxa"/>
              <w:start w:w="65" w:type="dxa"/>
              <w:bottom w:w="55" w:type="dxa"/>
              <w:end w:w="65" w:type="dxa"/>
            </w:tcMar>
            <w:vAlign w:val="top"/>
          </w:tcPr>
          <w:p>
            <w:pPr>
              <w:spacing w:after="0" w:line="240" w:lineRule="auto"/>
            </w:pPr>
            <w:r>
              <w:rPr>
                <w:rFonts w:ascii="Arial" w:hAnsi="Arial"/>
                <w:color w:val="1F2933"/>
                <w:sz w:val="16"/>
              </w:rPr>
              <w:t>6. Deterministic ties</w:t>
            </w:r>
          </w:p>
        </w:tc>
        <w:tc>
          <w:tcPr>
            <w:tcW w:type="dxa" w:w="7776"/>
            <w:shd w:fill="F8FAFB"/>
            <w:tcMar>
              <w:top w:w="55" w:type="dxa"/>
              <w:start w:w="65" w:type="dxa"/>
              <w:bottom w:w="55" w:type="dxa"/>
              <w:end w:w="65" w:type="dxa"/>
            </w:tcMar>
            <w:vAlign w:val="top"/>
          </w:tcPr>
          <w:p>
            <w:pPr>
              <w:spacing w:after="0" w:line="240" w:lineRule="auto"/>
            </w:pPr>
            <w:r>
              <w:rPr>
                <w:rFonts w:ascii="Arial" w:hAnsi="Arial"/>
                <w:color w:val="1F2933"/>
                <w:sz w:val="16"/>
              </w:rPr>
              <w:t>Profile score, then later learn level, then lower move_id as already locked.</w:t>
            </w:r>
          </w:p>
        </w:tc>
      </w:tr>
      <w:tr>
        <w:trPr>
          <w:cantSplit/>
        </w:trPr>
        <w:tc>
          <w:tcPr>
            <w:tcW w:type="dxa" w:w="2232"/>
            <w:tcMar>
              <w:top w:w="55" w:type="dxa"/>
              <w:start w:w="65" w:type="dxa"/>
              <w:bottom w:w="55" w:type="dxa"/>
              <w:end w:w="65" w:type="dxa"/>
            </w:tcMar>
            <w:vAlign w:val="top"/>
          </w:tcPr>
          <w:p>
            <w:pPr>
              <w:spacing w:after="0" w:line="240" w:lineRule="auto"/>
            </w:pPr>
            <w:r>
              <w:rPr>
                <w:rFonts w:ascii="Arial" w:hAnsi="Arial"/>
                <w:color w:val="1F2933"/>
                <w:sz w:val="16"/>
              </w:rPr>
              <w:t>7. Illegal candidate</w:t>
            </w:r>
          </w:p>
        </w:tc>
        <w:tc>
          <w:tcPr>
            <w:tcW w:type="dxa" w:w="7776"/>
            <w:tcMar>
              <w:top w:w="55" w:type="dxa"/>
              <w:start w:w="65" w:type="dxa"/>
              <w:bottom w:w="55" w:type="dxa"/>
              <w:end w:w="65" w:type="dxa"/>
            </w:tcMar>
            <w:vAlign w:val="top"/>
          </w:tcPr>
          <w:p>
            <w:pPr>
              <w:spacing w:after="0" w:line="240" w:lineRule="auto"/>
            </w:pPr>
            <w:r>
              <w:rPr>
                <w:rFonts w:ascii="Arial" w:hAnsi="Arial"/>
                <w:color w:val="1F2933"/>
                <w:sz w:val="16"/>
              </w:rPr>
              <w:t>Discard and take the next legal candidate. Never change trainer species or level to rescue a move.</w:t>
            </w:r>
          </w:p>
        </w:tc>
      </w:tr>
    </w:tbl>
    <w:p>
      <w:pPr>
        <w:spacing w:after="0"/>
      </w:pPr>
    </w:p>
    <w:p>
      <w:pPr>
        <w:pStyle w:val="ListBullet"/>
        <w:spacing w:after="30" w:line="240" w:lineRule="auto"/>
      </w:pPr>
      <w:r>
        <w:rPr>
          <w:rFonts w:ascii="Arial" w:hAnsi="Arial"/>
          <w:color w:val="1F2933"/>
          <w:sz w:val="18"/>
        </w:rPr>
        <w:t>Hell Wardens use the same legal compiler plus TERRAIN scoring. Their persistent fields from Checklist 05 change move value, not move legality.</w:t>
      </w:r>
    </w:p>
    <w:p>
      <w:pPr>
        <w:pStyle w:val="ListBullet"/>
        <w:spacing w:after="30" w:line="240" w:lineRule="auto"/>
      </w:pPr>
      <w:r>
        <w:rPr>
          <w:rFonts w:ascii="Arial" w:hAnsi="Arial"/>
          <w:color w:val="1F2933"/>
          <w:sz w:val="18"/>
        </w:rPr>
        <w:t>Because Warden battle levels are far beyond ordinary learnset completion, their main legality risks are branch/signature restrictions and bad metadata—not insufficient level access.</w:t>
      </w:r>
    </w:p>
    <w:p>
      <w:pPr>
        <w:pStyle w:val="Heading1"/>
      </w:pPr>
      <w:r>
        <w:t>11. Automated validation contract</w:t>
      </w:r>
    </w:p>
    <w:p>
      <w:pPr>
        <w:spacing w:after="80" w:line="250" w:lineRule="auto"/>
      </w:pPr>
      <w:r>
        <w:rPr>
          <w:rFonts w:ascii="Arial" w:hAnsi="Arial"/>
          <w:color w:val="1F2933"/>
          <w:sz w:val="18"/>
        </w:rPr>
        <w:t>The implementation/import pipeline must separate hard errors from balance warnings. Hard errors fail the content build. Warnings require an explicit KEEP / ADJUST disposition so they cannot disappear silently.</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1440"/>
            <w:shd w:fill="182738"/>
            <w:tcMar>
              <w:top w:w="65" w:type="dxa"/>
              <w:start w:w="70" w:type="dxa"/>
              <w:bottom w:w="65" w:type="dxa"/>
              <w:end w:w="70" w:type="dxa"/>
            </w:tcMar>
            <w:vAlign w:val="center"/>
          </w:tcPr>
          <w:p>
            <w:pPr>
              <w:spacing w:after="0"/>
              <w:jc w:val="center"/>
            </w:pPr>
            <w:r>
              <w:rPr>
                <w:rFonts w:ascii="Arial" w:hAnsi="Arial"/>
                <w:b/>
                <w:color w:val="FFFFFF"/>
                <w:sz w:val="15"/>
              </w:rPr>
              <w:t>Test ID</w:t>
            </w:r>
          </w:p>
        </w:tc>
        <w:tc>
          <w:tcPr>
            <w:tcW w:type="dxa" w:w="8640"/>
            <w:shd w:fill="182738"/>
            <w:tcMar>
              <w:top w:w="65" w:type="dxa"/>
              <w:start w:w="70" w:type="dxa"/>
              <w:bottom w:w="65" w:type="dxa"/>
              <w:end w:w="70" w:type="dxa"/>
            </w:tcMar>
            <w:vAlign w:val="center"/>
          </w:tcPr>
          <w:p>
            <w:pPr>
              <w:spacing w:after="0"/>
              <w:jc w:val="center"/>
            </w:pPr>
            <w:r>
              <w:rPr>
                <w:rFonts w:ascii="Arial" w:hAnsi="Arial"/>
                <w:b/>
                <w:color w:val="FFFFFF"/>
                <w:sz w:val="15"/>
              </w:rPr>
              <w:t>Hard-error assertion</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MOVE-001</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Exactly 354 move records; move_id is unique and contiguous 1–354.</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MOVE-002</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Every move name is nonblank and resolves to one move_id.</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MOVE-003</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Type is one canonical type; PP is positive; damaging power is positive numeric; status power is null.</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MOVE-004</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Every move has category, accuracy, priority, target and structured effect data.</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MOVE-005</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STATUS iff no ordinary direct-damage power; damaging move category must be PHYSICAL or SPECIAL.</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MOVE-006</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v1.0 priority whitelist: Plain Dash +1, Frost Shard +1, all others 0 unless document version changes.</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SIG-001</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Non-General signature row maps to exactly one canonical owner family.</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DEX-001</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Exactly 187 species records and every Dex # is unique.</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LSET-001</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Every species has at least one learnset entry.</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LSET-002</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Every learnset move resolves exactly one catalogue move_id.</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LSET-003</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Learnset Move Type equals the canonical move type.</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LSET-004</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Learn level is integer 0–200; acquisition is a recognised enum.</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LSET-005</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No cross-family signature access.</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EVO-001</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Relearner pool follows actual evolution history and cannot include opposite branch moves.</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TRN-001</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Every compiled trainer slot has four unique legal moves after deterministic resolution.</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TRN-002</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Checklist 04 STAB/damaging/status constraints pass for every trainer slot.</w:t>
            </w:r>
          </w:p>
        </w:tc>
      </w:tr>
    </w:tbl>
    <w:p>
      <w:pPr>
        <w:spacing w:after="0"/>
      </w:pP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1440"/>
            <w:shd w:fill="536B7A"/>
            <w:tcMar>
              <w:top w:w="65" w:type="dxa"/>
              <w:start w:w="70" w:type="dxa"/>
              <w:bottom w:w="65" w:type="dxa"/>
              <w:end w:w="70" w:type="dxa"/>
            </w:tcMar>
            <w:vAlign w:val="center"/>
          </w:tcPr>
          <w:p>
            <w:pPr>
              <w:spacing w:after="0"/>
              <w:jc w:val="center"/>
            </w:pPr>
            <w:r>
              <w:rPr>
                <w:rFonts w:ascii="Arial" w:hAnsi="Arial"/>
                <w:b/>
                <w:color w:val="FFFFFF"/>
                <w:sz w:val="15"/>
              </w:rPr>
              <w:t>Warning ID</w:t>
            </w:r>
          </w:p>
        </w:tc>
        <w:tc>
          <w:tcPr>
            <w:tcW w:type="dxa" w:w="8640"/>
            <w:shd w:fill="536B7A"/>
            <w:tcMar>
              <w:top w:w="65" w:type="dxa"/>
              <w:start w:w="70" w:type="dxa"/>
              <w:bottom w:w="65" w:type="dxa"/>
              <w:end w:w="70" w:type="dxa"/>
            </w:tcMar>
            <w:vAlign w:val="center"/>
          </w:tcPr>
          <w:p>
            <w:pPr>
              <w:spacing w:after="0"/>
              <w:jc w:val="center"/>
            </w:pPr>
            <w:r>
              <w:rPr>
                <w:rFonts w:ascii="Arial" w:hAnsi="Arial"/>
                <w:b/>
                <w:color w:val="FFFFFF"/>
                <w:sz w:val="15"/>
              </w:rPr>
              <w:t>Review condition</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BAL-001</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Ordinary base lacks damaging move by Lv5.</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BAL-002</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Ordinary base lacks damaging STAB by Lv8.</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BAL-003</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No meaningful offence by Lv10.</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BAL-004</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Dual type lacks useful expression of one type by the expected access window.</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BAL-005</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Physical/special role materially mismatches damaging categories.</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BAL-006</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Defensive/support role lacks meaningful non-damage tools.</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BAL-007</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95–120 BP move appears unusually early after effective-access calculation.</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BAL-008</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≤55 BP attack appears unusually late without compensating utility.</w:t>
            </w:r>
          </w:p>
        </w:tc>
      </w:tr>
      <w:tr>
        <w:trPr>
          <w:cantSplit/>
        </w:trPr>
        <w:tc>
          <w:tcPr>
            <w:tcW w:type="dxa" w:w="1440"/>
            <w:tcMar>
              <w:top w:w="55" w:type="dxa"/>
              <w:start w:w="65" w:type="dxa"/>
              <w:bottom w:w="55" w:type="dxa"/>
              <w:end w:w="65" w:type="dxa"/>
            </w:tcMar>
            <w:vAlign w:val="top"/>
          </w:tcPr>
          <w:p>
            <w:pPr>
              <w:spacing w:after="0" w:line="240" w:lineRule="auto"/>
            </w:pPr>
            <w:r>
              <w:rPr>
                <w:rFonts w:ascii="Arial" w:hAnsi="Arial"/>
                <w:color w:val="1F2933"/>
                <w:sz w:val="15"/>
              </w:rPr>
              <w:t>BAL-009</w:t>
            </w:r>
          </w:p>
        </w:tc>
        <w:tc>
          <w:tcPr>
            <w:tcW w:type="dxa" w:w="8640"/>
            <w:tcMar>
              <w:top w:w="55" w:type="dxa"/>
              <w:start w:w="65" w:type="dxa"/>
              <w:bottom w:w="55" w:type="dxa"/>
              <w:end w:w="65" w:type="dxa"/>
            </w:tcMar>
            <w:vAlign w:val="top"/>
          </w:tcPr>
          <w:p>
            <w:pPr>
              <w:spacing w:after="0" w:line="240" w:lineRule="auto"/>
            </w:pPr>
            <w:r>
              <w:rPr>
                <w:rFonts w:ascii="Arial" w:hAnsi="Arial"/>
                <w:color w:val="1F2933"/>
                <w:sz w:val="15"/>
              </w:rPr>
              <w:t>Healing/setup/priority/drain/recoil distribution contradicts role identity.</w:t>
            </w:r>
          </w:p>
        </w:tc>
      </w:tr>
      <w:tr>
        <w:trPr>
          <w:cantSplit/>
        </w:trPr>
        <w:tc>
          <w:tcPr>
            <w:tcW w:type="dxa" w:w="1440"/>
            <w:shd w:fill="F8FAFB"/>
            <w:tcMar>
              <w:top w:w="55" w:type="dxa"/>
              <w:start w:w="65" w:type="dxa"/>
              <w:bottom w:w="55" w:type="dxa"/>
              <w:end w:w="65" w:type="dxa"/>
            </w:tcMar>
            <w:vAlign w:val="top"/>
          </w:tcPr>
          <w:p>
            <w:pPr>
              <w:spacing w:after="0" w:line="240" w:lineRule="auto"/>
            </w:pPr>
            <w:r>
              <w:rPr>
                <w:rFonts w:ascii="Arial" w:hAnsi="Arial"/>
                <w:color w:val="1F2933"/>
                <w:sz w:val="15"/>
              </w:rPr>
              <w:t>BAL-010</w:t>
            </w:r>
          </w:p>
        </w:tc>
        <w:tc>
          <w:tcPr>
            <w:tcW w:type="dxa" w:w="8640"/>
            <w:shd w:fill="F8FAFB"/>
            <w:tcMar>
              <w:top w:w="55" w:type="dxa"/>
              <w:start w:w="65" w:type="dxa"/>
              <w:bottom w:w="55" w:type="dxa"/>
              <w:end w:w="65" w:type="dxa"/>
            </w:tcMar>
            <w:vAlign w:val="top"/>
          </w:tcPr>
          <w:p>
            <w:pPr>
              <w:spacing w:after="0" w:line="240" w:lineRule="auto"/>
            </w:pPr>
            <w:r>
              <w:rPr>
                <w:rFonts w:ascii="Arial" w:hAnsi="Arial"/>
                <w:color w:val="1F2933"/>
                <w:sz w:val="15"/>
              </w:rPr>
              <w:t>Signature timing is earlier/later than its evolution identity reasonably supports.</w:t>
            </w:r>
          </w:p>
        </w:tc>
      </w:tr>
    </w:tbl>
    <w:p>
      <w:pPr>
        <w:spacing w:after="0"/>
      </w:pPr>
    </w:p>
    <w:p>
      <w:pPr>
        <w:pStyle w:val="Heading1"/>
      </w:pPr>
      <w:r>
        <w:t>12. Validation and test evidence for this lock</w:t>
      </w:r>
    </w:p>
    <w:p>
      <w:pPr>
        <w:spacing w:after="80" w:line="250" w:lineRule="auto"/>
      </w:pPr>
      <w:r>
        <w:rPr>
          <w:rFonts w:ascii="Arial" w:hAnsi="Arial"/>
          <w:color w:val="1F2933"/>
          <w:sz w:val="18"/>
        </w:rPr>
        <w:t>The File Library source index exposes workbook contents for inspection but does not mount the original XLSX packages into the active runtime as editable raw files. Accordingly, this pass performs source-structure validation and cross-source rule testing now, and makes the complete raw-row validator a mandatory content-import gate. This is an implementation execution detail, not an unresolved design choice.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304"/>
            <w:shd w:fill="182738"/>
            <w:tcMar>
              <w:top w:w="65" w:type="dxa"/>
              <w:start w:w="70" w:type="dxa"/>
              <w:bottom w:w="65" w:type="dxa"/>
              <w:end w:w="70" w:type="dxa"/>
            </w:tcMar>
            <w:vAlign w:val="center"/>
          </w:tcPr>
          <w:p>
            <w:pPr>
              <w:spacing w:after="0"/>
              <w:jc w:val="center"/>
            </w:pPr>
            <w:r>
              <w:rPr>
                <w:rFonts w:ascii="Arial" w:hAnsi="Arial"/>
                <w:b/>
                <w:color w:val="FFFFFF"/>
                <w:sz w:val="15"/>
              </w:rPr>
              <w:t>Test</w:t>
            </w:r>
          </w:p>
        </w:tc>
        <w:tc>
          <w:tcPr>
            <w:tcW w:type="dxa" w:w="1656"/>
            <w:shd w:fill="182738"/>
            <w:tcMar>
              <w:top w:w="65" w:type="dxa"/>
              <w:start w:w="70" w:type="dxa"/>
              <w:bottom w:w="65" w:type="dxa"/>
              <w:end w:w="70" w:type="dxa"/>
            </w:tcMar>
            <w:vAlign w:val="center"/>
          </w:tcPr>
          <w:p>
            <w:pPr>
              <w:spacing w:after="0"/>
              <w:jc w:val="center"/>
            </w:pPr>
            <w:r>
              <w:rPr>
                <w:rFonts w:ascii="Arial" w:hAnsi="Arial"/>
                <w:b/>
                <w:color w:val="FFFFFF"/>
                <w:sz w:val="15"/>
              </w:rPr>
              <w:t>Result</w:t>
            </w:r>
          </w:p>
        </w:tc>
        <w:tc>
          <w:tcPr>
            <w:tcW w:type="dxa" w:w="6120"/>
            <w:shd w:fill="182738"/>
            <w:tcMar>
              <w:top w:w="65" w:type="dxa"/>
              <w:start w:w="70" w:type="dxa"/>
              <w:bottom w:w="65" w:type="dxa"/>
              <w:end w:w="70" w:type="dxa"/>
            </w:tcMar>
            <w:vAlign w:val="center"/>
          </w:tcPr>
          <w:p>
            <w:pPr>
              <w:spacing w:after="0"/>
              <w:jc w:val="center"/>
            </w:pPr>
            <w:r>
              <w:rPr>
                <w:rFonts w:ascii="Arial" w:hAnsi="Arial"/>
                <w:b/>
                <w:color w:val="FFFFFF"/>
                <w:sz w:val="15"/>
              </w:rPr>
              <w:t>Evidence / consequence</w:t>
            </w:r>
          </w:p>
        </w:tc>
      </w:tr>
      <w:tr>
        <w:trPr>
          <w:cantSplit/>
        </w:trPr>
        <w:tc>
          <w:tcPr>
            <w:tcW w:type="dxa" w:w="2304"/>
            <w:tcMar>
              <w:top w:w="55" w:type="dxa"/>
              <w:start w:w="65" w:type="dxa"/>
              <w:bottom w:w="55" w:type="dxa"/>
              <w:end w:w="65" w:type="dxa"/>
            </w:tcMar>
            <w:vAlign w:val="top"/>
          </w:tcPr>
          <w:p>
            <w:pPr>
              <w:spacing w:after="0" w:line="240" w:lineRule="auto"/>
            </w:pPr>
            <w:r>
              <w:rPr>
                <w:rFonts w:ascii="Arial" w:hAnsi="Arial"/>
                <w:color w:val="1F2933"/>
                <w:sz w:val="15"/>
              </w:rPr>
              <w:t>Source inventory</w:t>
            </w:r>
          </w:p>
        </w:tc>
        <w:tc>
          <w:tcPr>
            <w:tcW w:type="dxa" w:w="1656"/>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tcMar>
              <w:top w:w="55" w:type="dxa"/>
              <w:start w:w="65" w:type="dxa"/>
              <w:bottom w:w="55" w:type="dxa"/>
              <w:end w:w="65" w:type="dxa"/>
            </w:tcMar>
            <w:vAlign w:val="top"/>
          </w:tcPr>
          <w:p>
            <w:pPr>
              <w:spacing w:after="0" w:line="240" w:lineRule="auto"/>
            </w:pPr>
            <w:r>
              <w:rPr>
                <w:rFonts w:ascii="Arial" w:hAnsi="Arial"/>
                <w:color w:val="1F2933"/>
                <w:sz w:val="15"/>
              </w:rPr>
              <w:t>Progression workbook reports 187 species and 1,893 learnset entries; move catalogue reports 354 moves.</w:t>
            </w:r>
          </w:p>
        </w:tc>
      </w:tr>
      <w:tr>
        <w:trPr>
          <w:cantSplit/>
        </w:trPr>
        <w:tc>
          <w:tcPr>
            <w:tcW w:type="dxa" w:w="2304"/>
            <w:shd w:fill="F8FAFB"/>
            <w:tcMar>
              <w:top w:w="55" w:type="dxa"/>
              <w:start w:w="65" w:type="dxa"/>
              <w:bottom w:w="55" w:type="dxa"/>
              <w:end w:w="65" w:type="dxa"/>
            </w:tcMar>
            <w:vAlign w:val="top"/>
          </w:tcPr>
          <w:p>
            <w:pPr>
              <w:spacing w:after="0" w:line="240" w:lineRule="auto"/>
            </w:pPr>
            <w:r>
              <w:rPr>
                <w:rFonts w:ascii="Arial" w:hAnsi="Arial"/>
                <w:color w:val="1F2933"/>
                <w:sz w:val="15"/>
              </w:rPr>
              <w:t>Move type allocation</w:t>
            </w:r>
          </w:p>
        </w:tc>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shd w:fill="F8FAFB"/>
            <w:tcMar>
              <w:top w:w="55" w:type="dxa"/>
              <w:start w:w="65" w:type="dxa"/>
              <w:bottom w:w="55" w:type="dxa"/>
              <w:end w:w="65" w:type="dxa"/>
            </w:tcMar>
            <w:vAlign w:val="top"/>
          </w:tcPr>
          <w:p>
            <w:pPr>
              <w:spacing w:after="0" w:line="240" w:lineRule="auto"/>
            </w:pPr>
            <w:r>
              <w:rPr>
                <w:rFonts w:ascii="Arial" w:hAnsi="Arial"/>
                <w:color w:val="1F2933"/>
                <w:sz w:val="15"/>
              </w:rPr>
              <w:t>Catalogue type allocation totals exactly 354 across the 18 canonical types.</w:t>
            </w:r>
          </w:p>
        </w:tc>
      </w:tr>
      <w:tr>
        <w:trPr>
          <w:cantSplit/>
        </w:trPr>
        <w:tc>
          <w:tcPr>
            <w:tcW w:type="dxa" w:w="2304"/>
            <w:tcMar>
              <w:top w:w="55" w:type="dxa"/>
              <w:start w:w="65" w:type="dxa"/>
              <w:bottom w:w="55" w:type="dxa"/>
              <w:end w:w="65" w:type="dxa"/>
            </w:tcMar>
            <w:vAlign w:val="top"/>
          </w:tcPr>
          <w:p>
            <w:pPr>
              <w:spacing w:after="0" w:line="240" w:lineRule="auto"/>
            </w:pPr>
            <w:r>
              <w:rPr>
                <w:rFonts w:ascii="Arial" w:hAnsi="Arial"/>
                <w:color w:val="1F2933"/>
                <w:sz w:val="15"/>
              </w:rPr>
              <w:t>Stat authority</w:t>
            </w:r>
          </w:p>
        </w:tc>
        <w:tc>
          <w:tcPr>
            <w:tcW w:type="dxa" w:w="1656"/>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tcMar>
              <w:top w:w="55" w:type="dxa"/>
              <w:start w:w="65" w:type="dxa"/>
              <w:bottom w:w="55" w:type="dxa"/>
              <w:end w:w="65" w:type="dxa"/>
            </w:tcMar>
            <w:vAlign w:val="top"/>
          </w:tcPr>
          <w:p>
            <w:pPr>
              <w:spacing w:after="0" w:line="240" w:lineRule="auto"/>
            </w:pPr>
            <w:r>
              <w:rPr>
                <w:rFonts w:ascii="Arial" w:hAnsi="Arial"/>
                <w:color w:val="1F2933"/>
                <w:sz w:val="15"/>
              </w:rPr>
              <w:t>Complete stats workbook reports 187 exact stat spreads and 0 BST mismatches.</w:t>
            </w:r>
          </w:p>
        </w:tc>
      </w:tr>
      <w:tr>
        <w:trPr>
          <w:cantSplit/>
        </w:trPr>
        <w:tc>
          <w:tcPr>
            <w:tcW w:type="dxa" w:w="2304"/>
            <w:shd w:fill="F8FAFB"/>
            <w:tcMar>
              <w:top w:w="55" w:type="dxa"/>
              <w:start w:w="65" w:type="dxa"/>
              <w:bottom w:w="55" w:type="dxa"/>
              <w:end w:w="65" w:type="dxa"/>
            </w:tcMar>
            <w:vAlign w:val="top"/>
          </w:tcPr>
          <w:p>
            <w:pPr>
              <w:spacing w:after="0" w:line="240" w:lineRule="auto"/>
            </w:pPr>
            <w:r>
              <w:rPr>
                <w:rFonts w:ascii="Arial" w:hAnsi="Arial"/>
                <w:color w:val="1F2933"/>
                <w:sz w:val="15"/>
              </w:rPr>
              <w:t>Learnset schema</w:t>
            </w:r>
          </w:p>
        </w:tc>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shd w:fill="F8FAFB"/>
            <w:tcMar>
              <w:top w:w="55" w:type="dxa"/>
              <w:start w:w="65" w:type="dxa"/>
              <w:bottom w:w="55" w:type="dxa"/>
              <w:end w:w="65" w:type="dxa"/>
            </w:tcMar>
            <w:vAlign w:val="top"/>
          </w:tcPr>
          <w:p>
            <w:pPr>
              <w:spacing w:after="0" w:line="240" w:lineRule="auto"/>
            </w:pPr>
            <w:r>
              <w:rPr>
                <w:rFonts w:ascii="Arial" w:hAnsi="Arial"/>
                <w:color w:val="1F2933"/>
                <w:sz w:val="15"/>
              </w:rPr>
              <w:t>Indexed rows expose Dex #, species, learn level, move, move type, acquisition and implementation note consistently across early, middle and late portions of the sheet.</w:t>
            </w:r>
          </w:p>
        </w:tc>
      </w:tr>
      <w:tr>
        <w:trPr>
          <w:cantSplit/>
        </w:trPr>
        <w:tc>
          <w:tcPr>
            <w:tcW w:type="dxa" w:w="2304"/>
            <w:tcMar>
              <w:top w:w="55" w:type="dxa"/>
              <w:start w:w="65" w:type="dxa"/>
              <w:bottom w:w="55" w:type="dxa"/>
              <w:end w:w="65" w:type="dxa"/>
            </w:tcMar>
            <w:vAlign w:val="top"/>
          </w:tcPr>
          <w:p>
            <w:pPr>
              <w:spacing w:after="0" w:line="240" w:lineRule="auto"/>
            </w:pPr>
            <w:r>
              <w:rPr>
                <w:rFonts w:ascii="Arial" w:hAnsi="Arial"/>
                <w:color w:val="1F2933"/>
                <w:sz w:val="15"/>
              </w:rPr>
              <w:t>Relearner baseline</w:t>
            </w:r>
          </w:p>
        </w:tc>
        <w:tc>
          <w:tcPr>
            <w:tcW w:type="dxa" w:w="1656"/>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tcMar>
              <w:top w:w="55" w:type="dxa"/>
              <w:start w:w="65" w:type="dxa"/>
              <w:bottom w:w="55" w:type="dxa"/>
              <w:end w:w="65" w:type="dxa"/>
            </w:tcMar>
            <w:vAlign w:val="top"/>
          </w:tcPr>
          <w:p>
            <w:pPr>
              <w:spacing w:after="0" w:line="240" w:lineRule="auto"/>
            </w:pPr>
            <w:r>
              <w:rPr>
                <w:rFonts w:ascii="Arial" w:hAnsi="Arial"/>
                <w:color w:val="1F2933"/>
                <w:sz w:val="15"/>
              </w:rPr>
              <w:t>Progression workbook already states earlier legal moves remain relearnable; Checklist 12 supplies access/service semantics.</w:t>
            </w:r>
          </w:p>
        </w:tc>
      </w:tr>
      <w:tr>
        <w:trPr>
          <w:cantSplit/>
        </w:trPr>
        <w:tc>
          <w:tcPr>
            <w:tcW w:type="dxa" w:w="2304"/>
            <w:shd w:fill="F8FAFB"/>
            <w:tcMar>
              <w:top w:w="55" w:type="dxa"/>
              <w:start w:w="65" w:type="dxa"/>
              <w:bottom w:w="55" w:type="dxa"/>
              <w:end w:w="65" w:type="dxa"/>
            </w:tcMar>
            <w:vAlign w:val="top"/>
          </w:tcPr>
          <w:p>
            <w:pPr>
              <w:spacing w:after="0" w:line="240" w:lineRule="auto"/>
            </w:pPr>
            <w:r>
              <w:rPr>
                <w:rFonts w:ascii="Arial" w:hAnsi="Arial"/>
                <w:color w:val="1F2933"/>
                <w:sz w:val="15"/>
              </w:rPr>
              <w:t>Starter early offence</w:t>
            </w:r>
          </w:p>
        </w:tc>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shd w:fill="F8FAFB"/>
            <w:tcMar>
              <w:top w:w="55" w:type="dxa"/>
              <w:start w:w="65" w:type="dxa"/>
              <w:bottom w:w="55" w:type="dxa"/>
              <w:end w:w="65" w:type="dxa"/>
            </w:tcMar>
            <w:vAlign w:val="top"/>
          </w:tcPr>
          <w:p>
            <w:pPr>
              <w:spacing w:after="0" w:line="240" w:lineRule="auto"/>
            </w:pPr>
            <w:r>
              <w:rPr>
                <w:rFonts w:ascii="Arial" w:hAnsi="Arial"/>
                <w:color w:val="1F2933"/>
                <w:sz w:val="15"/>
              </w:rPr>
              <w:t>Scarimp has Dark damage at Lv1/Lv4; Calibrit Psychic damage at Lv1; Ruffurn Fighting damage at Lv4 in indexed source rows.</w:t>
            </w:r>
          </w:p>
        </w:tc>
      </w:tr>
      <w:tr>
        <w:trPr>
          <w:cantSplit/>
        </w:trPr>
        <w:tc>
          <w:tcPr>
            <w:tcW w:type="dxa" w:w="2304"/>
            <w:tcMar>
              <w:top w:w="55" w:type="dxa"/>
              <w:start w:w="65" w:type="dxa"/>
              <w:bottom w:w="55" w:type="dxa"/>
              <w:end w:w="65" w:type="dxa"/>
            </w:tcMar>
            <w:vAlign w:val="top"/>
          </w:tcPr>
          <w:p>
            <w:pPr>
              <w:spacing w:after="0" w:line="240" w:lineRule="auto"/>
            </w:pPr>
            <w:r>
              <w:rPr>
                <w:rFonts w:ascii="Arial" w:hAnsi="Arial"/>
                <w:color w:val="1F2933"/>
                <w:sz w:val="15"/>
              </w:rPr>
              <w:t>Starter secondary STAB</w:t>
            </w:r>
          </w:p>
        </w:tc>
        <w:tc>
          <w:tcPr>
            <w:tcW w:type="dxa" w:w="1656"/>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tcMar>
              <w:top w:w="55" w:type="dxa"/>
              <w:start w:w="65" w:type="dxa"/>
              <w:bottom w:w="55" w:type="dxa"/>
              <w:end w:w="65" w:type="dxa"/>
            </w:tcMar>
            <w:vAlign w:val="top"/>
          </w:tcPr>
          <w:p>
            <w:pPr>
              <w:spacing w:after="0" w:line="240" w:lineRule="auto"/>
            </w:pPr>
            <w:r>
              <w:rPr>
                <w:rFonts w:ascii="Arial" w:hAnsi="Arial"/>
                <w:color w:val="1F2933"/>
                <w:sz w:val="15"/>
              </w:rPr>
              <w:t>Noctafey, Axiomaro and Revault source rows expose Fairy, Steel and Electric moves respectively in their evolved learnsets.</w:t>
            </w:r>
          </w:p>
        </w:tc>
      </w:tr>
      <w:tr>
        <w:trPr>
          <w:cantSplit/>
        </w:trPr>
        <w:tc>
          <w:tcPr>
            <w:tcW w:type="dxa" w:w="2304"/>
            <w:shd w:fill="F8FAFB"/>
            <w:tcMar>
              <w:top w:w="55" w:type="dxa"/>
              <w:start w:w="65" w:type="dxa"/>
              <w:bottom w:w="55" w:type="dxa"/>
              <w:end w:w="65" w:type="dxa"/>
            </w:tcMar>
            <w:vAlign w:val="top"/>
          </w:tcPr>
          <w:p>
            <w:pPr>
              <w:spacing w:after="0" w:line="240" w:lineRule="auto"/>
            </w:pPr>
            <w:r>
              <w:rPr>
                <w:rFonts w:ascii="Arial" w:hAnsi="Arial"/>
                <w:color w:val="1F2933"/>
                <w:sz w:val="15"/>
              </w:rPr>
              <w:t>Priority candidates</w:t>
            </w:r>
          </w:p>
        </w:tc>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shd w:fill="F8FAFB"/>
            <w:tcMar>
              <w:top w:w="55" w:type="dxa"/>
              <w:start w:w="65" w:type="dxa"/>
              <w:bottom w:w="55" w:type="dxa"/>
              <w:end w:w="65" w:type="dxa"/>
            </w:tcMar>
            <w:vAlign w:val="top"/>
          </w:tcPr>
          <w:p>
            <w:pPr>
              <w:spacing w:after="0" w:line="240" w:lineRule="auto"/>
            </w:pPr>
            <w:r>
              <w:rPr>
                <w:rFonts w:ascii="Arial" w:hAnsi="Arial"/>
                <w:color w:val="1F2933"/>
                <w:sz w:val="15"/>
              </w:rPr>
              <w:t>Plain Dash and Frost Shard are both 45 BP / 35 PP general moves, fitting the intentionally scarce +1 pool without making priority a high-power default.</w:t>
            </w:r>
          </w:p>
        </w:tc>
      </w:tr>
      <w:tr>
        <w:trPr>
          <w:cantSplit/>
        </w:trPr>
        <w:tc>
          <w:tcPr>
            <w:tcW w:type="dxa" w:w="2304"/>
            <w:tcMar>
              <w:top w:w="55" w:type="dxa"/>
              <w:start w:w="65" w:type="dxa"/>
              <w:bottom w:w="55" w:type="dxa"/>
              <w:end w:w="65" w:type="dxa"/>
            </w:tcMar>
            <w:vAlign w:val="top"/>
          </w:tcPr>
          <w:p>
            <w:pPr>
              <w:spacing w:after="0" w:line="240" w:lineRule="auto"/>
            </w:pPr>
            <w:r>
              <w:rPr>
                <w:rFonts w:ascii="Arial" w:hAnsi="Arial"/>
                <w:color w:val="1F2933"/>
                <w:sz w:val="15"/>
              </w:rPr>
              <w:t>Evolution compatibility</w:t>
            </w:r>
          </w:p>
        </w:tc>
        <w:tc>
          <w:tcPr>
            <w:tcW w:type="dxa" w:w="1656"/>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tcMar>
              <w:top w:w="55" w:type="dxa"/>
              <w:start w:w="65" w:type="dxa"/>
              <w:bottom w:w="55" w:type="dxa"/>
              <w:end w:w="65" w:type="dxa"/>
            </w:tcMar>
            <w:vAlign w:val="top"/>
          </w:tcPr>
          <w:p>
            <w:pPr>
              <w:spacing w:after="0" w:line="240" w:lineRule="auto"/>
            </w:pPr>
            <w:r>
              <w:rPr>
                <w:rFonts w:ascii="Arial" w:hAnsi="Arial"/>
                <w:color w:val="1F2933"/>
                <w:sz w:val="15"/>
              </w:rPr>
              <w:t>Checklist 11 explicitly hands evolution-move/relearn behaviour to Checklist 12 and locks branch history; the new pool rules preserve that boundary.</w:t>
            </w:r>
          </w:p>
        </w:tc>
      </w:tr>
      <w:tr>
        <w:trPr>
          <w:cantSplit/>
        </w:trPr>
        <w:tc>
          <w:tcPr>
            <w:tcW w:type="dxa" w:w="2304"/>
            <w:shd w:fill="F8FAFB"/>
            <w:tcMar>
              <w:top w:w="55" w:type="dxa"/>
              <w:start w:w="65" w:type="dxa"/>
              <w:bottom w:w="55" w:type="dxa"/>
              <w:end w:w="65" w:type="dxa"/>
            </w:tcMar>
            <w:vAlign w:val="top"/>
          </w:tcPr>
          <w:p>
            <w:pPr>
              <w:spacing w:after="0" w:line="240" w:lineRule="auto"/>
            </w:pPr>
            <w:r>
              <w:rPr>
                <w:rFonts w:ascii="Arial" w:hAnsi="Arial"/>
                <w:color w:val="1F2933"/>
                <w:sz w:val="15"/>
              </w:rPr>
              <w:t>Memorial compatibility</w:t>
            </w:r>
          </w:p>
        </w:tc>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shd w:fill="F8FAFB"/>
            <w:tcMar>
              <w:top w:w="55" w:type="dxa"/>
              <w:start w:w="65" w:type="dxa"/>
              <w:bottom w:w="55" w:type="dxa"/>
              <w:end w:w="65" w:type="dxa"/>
            </w:tcMar>
            <w:vAlign w:val="top"/>
          </w:tcPr>
          <w:p>
            <w:pPr>
              <w:spacing w:after="0" w:line="240" w:lineRule="auto"/>
            </w:pPr>
            <w:r>
              <w:rPr>
                <w:rFonts w:ascii="Arial" w:hAnsi="Arial"/>
                <w:color w:val="1F2933"/>
                <w:sz w:val="15"/>
              </w:rPr>
              <w:t>Checklist 07 restores current four moves plus evolution history; free relearning can be regenerated without storing every forgotten move.</w:t>
            </w:r>
          </w:p>
        </w:tc>
      </w:tr>
      <w:tr>
        <w:trPr>
          <w:cantSplit/>
        </w:trPr>
        <w:tc>
          <w:tcPr>
            <w:tcW w:type="dxa" w:w="2304"/>
            <w:tcMar>
              <w:top w:w="55" w:type="dxa"/>
              <w:start w:w="65" w:type="dxa"/>
              <w:bottom w:w="55" w:type="dxa"/>
              <w:end w:w="65" w:type="dxa"/>
            </w:tcMar>
            <w:vAlign w:val="top"/>
          </w:tcPr>
          <w:p>
            <w:pPr>
              <w:spacing w:after="0" w:line="240" w:lineRule="auto"/>
            </w:pPr>
            <w:r>
              <w:rPr>
                <w:rFonts w:ascii="Arial" w:hAnsi="Arial"/>
                <w:color w:val="1F2933"/>
                <w:sz w:val="15"/>
              </w:rPr>
              <w:t>Trainer compiler compatibility</w:t>
            </w:r>
          </w:p>
        </w:tc>
        <w:tc>
          <w:tcPr>
            <w:tcW w:type="dxa" w:w="1656"/>
            <w:tcMar>
              <w:top w:w="55" w:type="dxa"/>
              <w:start w:w="65" w:type="dxa"/>
              <w:bottom w:w="55" w:type="dxa"/>
              <w:end w:w="65" w:type="dxa"/>
            </w:tcMar>
            <w:vAlign w:val="top"/>
          </w:tcPr>
          <w:p>
            <w:pPr>
              <w:spacing w:after="0" w:line="240" w:lineRule="auto"/>
            </w:pPr>
            <w:r>
              <w:rPr>
                <w:rFonts w:ascii="Arial" w:hAnsi="Arial"/>
                <w:color w:val="1F2933"/>
                <w:sz w:val="15"/>
              </w:rPr>
              <w:t>PASS</w:t>
            </w:r>
          </w:p>
        </w:tc>
        <w:tc>
          <w:tcPr>
            <w:tcW w:type="dxa" w:w="6120"/>
            <w:tcMar>
              <w:top w:w="55" w:type="dxa"/>
              <w:start w:w="65" w:type="dxa"/>
              <w:bottom w:w="55" w:type="dxa"/>
              <w:end w:w="65" w:type="dxa"/>
            </w:tcMar>
            <w:vAlign w:val="top"/>
          </w:tcPr>
          <w:p>
            <w:pPr>
              <w:spacing w:after="0" w:line="240" w:lineRule="auto"/>
            </w:pPr>
            <w:r>
              <w:rPr>
                <w:rFonts w:ascii="Arial" w:hAnsi="Arial"/>
                <w:color w:val="1F2933"/>
                <w:sz w:val="15"/>
              </w:rPr>
              <w:t>Checklist 04 already defines legal-pool construction and deterministic replacement; Checklist 12 adds metadata/signature checks before scoring.</w:t>
            </w:r>
          </w:p>
        </w:tc>
      </w:tr>
      <w:tr>
        <w:trPr>
          <w:cantSplit/>
        </w:trPr>
        <w:tc>
          <w:tcPr>
            <w:tcW w:type="dxa" w:w="2304"/>
            <w:shd w:fill="F8FAFB"/>
            <w:tcMar>
              <w:top w:w="55" w:type="dxa"/>
              <w:start w:w="65" w:type="dxa"/>
              <w:bottom w:w="55" w:type="dxa"/>
              <w:end w:w="65" w:type="dxa"/>
            </w:tcMar>
            <w:vAlign w:val="top"/>
          </w:tcPr>
          <w:p>
            <w:pPr>
              <w:spacing w:after="0" w:line="240" w:lineRule="auto"/>
            </w:pPr>
            <w:r>
              <w:rPr>
                <w:rFonts w:ascii="Arial" w:hAnsi="Arial"/>
                <w:color w:val="1F2933"/>
                <w:sz w:val="15"/>
              </w:rPr>
              <w:t>Full raw 1,893-row join</w:t>
            </w:r>
          </w:p>
        </w:tc>
        <w:tc>
          <w:tcPr>
            <w:tcW w:type="dxa" w:w="1656"/>
            <w:shd w:fill="F8FAFB"/>
            <w:tcMar>
              <w:top w:w="55" w:type="dxa"/>
              <w:start w:w="65" w:type="dxa"/>
              <w:bottom w:w="55" w:type="dxa"/>
              <w:end w:w="65" w:type="dxa"/>
            </w:tcMar>
            <w:vAlign w:val="top"/>
          </w:tcPr>
          <w:p>
            <w:pPr>
              <w:spacing w:after="0" w:line="240" w:lineRule="auto"/>
            </w:pPr>
            <w:r>
              <w:rPr>
                <w:rFonts w:ascii="Arial" w:hAnsi="Arial"/>
                <w:color w:val="1F2933"/>
                <w:sz w:val="15"/>
              </w:rPr>
              <w:t>MANDATORY BUILD GATE</w:t>
            </w:r>
          </w:p>
        </w:tc>
        <w:tc>
          <w:tcPr>
            <w:tcW w:type="dxa" w:w="6120"/>
            <w:shd w:fill="F8FAFB"/>
            <w:tcMar>
              <w:top w:w="55" w:type="dxa"/>
              <w:start w:w="65" w:type="dxa"/>
              <w:bottom w:w="55" w:type="dxa"/>
              <w:end w:w="65" w:type="dxa"/>
            </w:tcMar>
            <w:vAlign w:val="top"/>
          </w:tcPr>
          <w:p>
            <w:pPr>
              <w:spacing w:after="0" w:line="240" w:lineRule="auto"/>
            </w:pPr>
            <w:r>
              <w:rPr>
                <w:rFonts w:ascii="Arial" w:hAnsi="Arial"/>
                <w:color w:val="1F2933"/>
                <w:sz w:val="15"/>
              </w:rPr>
              <w:t>Must run MOVE/LSET/BAL/TRN tests against the raw imported workbooks before shipping. A nonzero hard-error count blocks the content build.</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224"/>
            <w:shd w:fill="FFF2E5"/>
            <w:tcMar>
              <w:top w:w="100" w:type="dxa"/>
              <w:start w:w="120" w:type="dxa"/>
              <w:bottom w:w="100" w:type="dxa"/>
              <w:end w:w="120" w:type="dxa"/>
            </w:tcMar>
            <w:tcBorders>
              <w:top w:val="single" w:sz="8" w:color="C87A2B"/>
              <w:left w:val="single" w:sz="8" w:color="C87A2B"/>
              <w:bottom w:val="single" w:sz="8" w:color="C87A2B"/>
              <w:right w:val="single" w:sz="8" w:color="C87A2B"/>
            </w:tcBorders>
          </w:tcPr>
          <w:p>
            <w:pPr>
              <w:spacing w:after="40"/>
            </w:pPr>
            <w:r>
              <w:rPr>
                <w:rFonts w:ascii="Arial" w:hAnsi="Arial"/>
                <w:b/>
                <w:color w:val="182738"/>
                <w:sz w:val="19"/>
              </w:rPr>
              <w:t>NO SILENT “PASS”</w:t>
            </w:r>
          </w:p>
          <w:p>
            <w:pPr>
              <w:spacing w:after="0" w:line="240" w:lineRule="auto"/>
            </w:pPr>
            <w:r>
              <w:rPr>
                <w:rFonts w:ascii="Arial" w:hAnsi="Arial"/>
                <w:color w:val="1F2933"/>
                <w:sz w:val="18"/>
              </w:rPr>
              <w:t>A search/indexed view is enough to validate the design contract and representative source structure, but it is not represented here as a byte-for-byte execution over all 1,893 rows. The build/import validator above is therefore mandatory and must report exact failing row IDs if any hard error is found.</w:t>
            </w:r>
          </w:p>
        </w:tc>
      </w:tr>
    </w:tbl>
    <w:p>
      <w:pPr>
        <w:spacing w:after="0"/>
      </w:pPr>
    </w:p>
    <w:p>
      <w:pPr>
        <w:pStyle w:val="Heading1"/>
      </w:pPr>
      <w:r>
        <w:t>13. Repair semantics when validation finds a problem</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520"/>
            <w:shd w:fill="182738"/>
            <w:tcMar>
              <w:top w:w="65" w:type="dxa"/>
              <w:start w:w="70" w:type="dxa"/>
              <w:bottom w:w="65" w:type="dxa"/>
              <w:end w:w="70" w:type="dxa"/>
            </w:tcMar>
            <w:vAlign w:val="center"/>
          </w:tcPr>
          <w:p>
            <w:pPr>
              <w:spacing w:after="0"/>
              <w:jc w:val="center"/>
            </w:pPr>
            <w:r>
              <w:rPr>
                <w:rFonts w:ascii="Arial" w:hAnsi="Arial"/>
                <w:b/>
                <w:color w:val="FFFFFF"/>
                <w:sz w:val="15"/>
              </w:rPr>
              <w:t>Failure</w:t>
            </w:r>
          </w:p>
        </w:tc>
        <w:tc>
          <w:tcPr>
            <w:tcW w:type="dxa" w:w="7560"/>
            <w:shd w:fill="182738"/>
            <w:tcMar>
              <w:top w:w="65" w:type="dxa"/>
              <w:start w:w="70" w:type="dxa"/>
              <w:bottom w:w="65" w:type="dxa"/>
              <w:end w:w="70" w:type="dxa"/>
            </w:tcMar>
            <w:vAlign w:val="center"/>
          </w:tcPr>
          <w:p>
            <w:pPr>
              <w:spacing w:after="0"/>
              <w:jc w:val="center"/>
            </w:pPr>
            <w:r>
              <w:rPr>
                <w:rFonts w:ascii="Arial" w:hAnsi="Arial"/>
                <w:b/>
                <w:color w:val="FFFFFF"/>
                <w:sz w:val="15"/>
              </w:rPr>
              <w:t>Locked repair rule</w:t>
            </w:r>
          </w:p>
        </w:tc>
      </w:tr>
      <w:tr>
        <w:trPr>
          <w:cantSplit/>
        </w:trPr>
        <w:tc>
          <w:tcPr>
            <w:tcW w:type="dxa" w:w="2520"/>
            <w:tcMar>
              <w:top w:w="55" w:type="dxa"/>
              <w:start w:w="65" w:type="dxa"/>
              <w:bottom w:w="55" w:type="dxa"/>
              <w:end w:w="65" w:type="dxa"/>
            </w:tcMar>
            <w:vAlign w:val="top"/>
          </w:tcPr>
          <w:p>
            <w:pPr>
              <w:spacing w:after="0" w:line="240" w:lineRule="auto"/>
            </w:pPr>
            <w:r>
              <w:rPr>
                <w:rFonts w:ascii="Arial" w:hAnsi="Arial"/>
                <w:color w:val="1F2933"/>
                <w:sz w:val="15"/>
              </w:rPr>
              <w:t>Unknown/misspelled move</w:t>
            </w:r>
          </w:p>
        </w:tc>
        <w:tc>
          <w:tcPr>
            <w:tcW w:type="dxa" w:w="7560"/>
            <w:tcMar>
              <w:top w:w="55" w:type="dxa"/>
              <w:start w:w="65" w:type="dxa"/>
              <w:bottom w:w="55" w:type="dxa"/>
              <w:end w:w="65" w:type="dxa"/>
            </w:tcMar>
            <w:vAlign w:val="top"/>
          </w:tcPr>
          <w:p>
            <w:pPr>
              <w:spacing w:after="0" w:line="240" w:lineRule="auto"/>
            </w:pPr>
            <w:r>
              <w:rPr>
                <w:rFonts w:ascii="Arial" w:hAnsi="Arial"/>
                <w:color w:val="1F2933"/>
                <w:sz w:val="15"/>
              </w:rPr>
              <w:t>Correct to the intended existing canonical move only when unambiguous; otherwise stop and request design review. Do not invent a 355th move.</w:t>
            </w:r>
          </w:p>
        </w:tc>
      </w:tr>
      <w:tr>
        <w:trPr>
          <w:cantSplit/>
        </w:trPr>
        <w:tc>
          <w:tcPr>
            <w:tcW w:type="dxa" w:w="2520"/>
            <w:shd w:fill="F8FAFB"/>
            <w:tcMar>
              <w:top w:w="55" w:type="dxa"/>
              <w:start w:w="65" w:type="dxa"/>
              <w:bottom w:w="55" w:type="dxa"/>
              <w:end w:w="65" w:type="dxa"/>
            </w:tcMar>
            <w:vAlign w:val="top"/>
          </w:tcPr>
          <w:p>
            <w:pPr>
              <w:spacing w:after="0" w:line="240" w:lineRule="auto"/>
            </w:pPr>
            <w:r>
              <w:rPr>
                <w:rFonts w:ascii="Arial" w:hAnsi="Arial"/>
                <w:color w:val="1F2933"/>
                <w:sz w:val="15"/>
              </w:rPr>
              <w:t>Move type mismatch</w:t>
            </w:r>
          </w:p>
        </w:tc>
        <w:tc>
          <w:tcPr>
            <w:tcW w:type="dxa" w:w="7560"/>
            <w:shd w:fill="F8FAFB"/>
            <w:tcMar>
              <w:top w:w="55" w:type="dxa"/>
              <w:start w:w="65" w:type="dxa"/>
              <w:bottom w:w="55" w:type="dxa"/>
              <w:end w:w="65" w:type="dxa"/>
            </w:tcMar>
            <w:vAlign w:val="top"/>
          </w:tcPr>
          <w:p>
            <w:pPr>
              <w:spacing w:after="0" w:line="240" w:lineRule="auto"/>
            </w:pPr>
            <w:r>
              <w:rPr>
                <w:rFonts w:ascii="Arial" w:hAnsi="Arial"/>
                <w:color w:val="1F2933"/>
                <w:sz w:val="15"/>
              </w:rPr>
              <w:t>Catalogue type wins unless the catalogue itself is demonstrably the typo; record the correction once at source.</w:t>
            </w:r>
          </w:p>
        </w:tc>
      </w:tr>
      <w:tr>
        <w:trPr>
          <w:cantSplit/>
        </w:trPr>
        <w:tc>
          <w:tcPr>
            <w:tcW w:type="dxa" w:w="2520"/>
            <w:tcMar>
              <w:top w:w="55" w:type="dxa"/>
              <w:start w:w="65" w:type="dxa"/>
              <w:bottom w:w="55" w:type="dxa"/>
              <w:end w:w="65" w:type="dxa"/>
            </w:tcMar>
            <w:vAlign w:val="top"/>
          </w:tcPr>
          <w:p>
            <w:pPr>
              <w:spacing w:after="0" w:line="240" w:lineRule="auto"/>
            </w:pPr>
            <w:r>
              <w:rPr>
                <w:rFonts w:ascii="Arial" w:hAnsi="Arial"/>
                <w:color w:val="1F2933"/>
                <w:sz w:val="15"/>
              </w:rPr>
              <w:t>Illegal signature access</w:t>
            </w:r>
          </w:p>
        </w:tc>
        <w:tc>
          <w:tcPr>
            <w:tcW w:type="dxa" w:w="7560"/>
            <w:tcMar>
              <w:top w:w="55" w:type="dxa"/>
              <w:start w:w="65" w:type="dxa"/>
              <w:bottom w:w="55" w:type="dxa"/>
              <w:end w:w="65" w:type="dxa"/>
            </w:tcMar>
            <w:vAlign w:val="top"/>
          </w:tcPr>
          <w:p>
            <w:pPr>
              <w:spacing w:after="0" w:line="240" w:lineRule="auto"/>
            </w:pPr>
            <w:r>
              <w:rPr>
                <w:rFonts w:ascii="Arial" w:hAnsi="Arial"/>
                <w:color w:val="1F2933"/>
                <w:sz w:val="15"/>
              </w:rPr>
              <w:t>Remove/replace the learnset assignment; do not relax family exclusivity silently.</w:t>
            </w:r>
          </w:p>
        </w:tc>
      </w:tr>
      <w:tr>
        <w:trPr>
          <w:cantSplit/>
        </w:trPr>
        <w:tc>
          <w:tcPr>
            <w:tcW w:type="dxa" w:w="2520"/>
            <w:shd w:fill="F8FAFB"/>
            <w:tcMar>
              <w:top w:w="55" w:type="dxa"/>
              <w:start w:w="65" w:type="dxa"/>
              <w:bottom w:w="55" w:type="dxa"/>
              <w:end w:w="65" w:type="dxa"/>
            </w:tcMar>
            <w:vAlign w:val="top"/>
          </w:tcPr>
          <w:p>
            <w:pPr>
              <w:spacing w:after="0" w:line="240" w:lineRule="auto"/>
            </w:pPr>
            <w:r>
              <w:rPr>
                <w:rFonts w:ascii="Arial" w:hAnsi="Arial"/>
                <w:color w:val="1F2933"/>
                <w:sz w:val="15"/>
              </w:rPr>
              <w:t>Role/category mismatch</w:t>
            </w:r>
          </w:p>
        </w:tc>
        <w:tc>
          <w:tcPr>
            <w:tcW w:type="dxa" w:w="7560"/>
            <w:shd w:fill="F8FAFB"/>
            <w:tcMar>
              <w:top w:w="55" w:type="dxa"/>
              <w:start w:w="65" w:type="dxa"/>
              <w:bottom w:w="55" w:type="dxa"/>
              <w:end w:w="65" w:type="dxa"/>
            </w:tcMar>
            <w:vAlign w:val="top"/>
          </w:tcPr>
          <w:p>
            <w:pPr>
              <w:spacing w:after="0" w:line="240" w:lineRule="auto"/>
            </w:pPr>
            <w:r>
              <w:rPr>
                <w:rFonts w:ascii="Arial" w:hAnsi="Arial"/>
                <w:color w:val="1F2933"/>
                <w:sz w:val="15"/>
              </w:rPr>
              <w:t>Prefer reclassifying the move only if its authored action was mis-categorised; otherwise replace/re-time the species move rather than falsifying category to fit stats.</w:t>
            </w:r>
          </w:p>
        </w:tc>
      </w:tr>
      <w:tr>
        <w:trPr>
          <w:cantSplit/>
        </w:trPr>
        <w:tc>
          <w:tcPr>
            <w:tcW w:type="dxa" w:w="2520"/>
            <w:tcMar>
              <w:top w:w="55" w:type="dxa"/>
              <w:start w:w="65" w:type="dxa"/>
              <w:bottom w:w="55" w:type="dxa"/>
              <w:end w:w="65" w:type="dxa"/>
            </w:tcMar>
            <w:vAlign w:val="top"/>
          </w:tcPr>
          <w:p>
            <w:pPr>
              <w:spacing w:after="0" w:line="240" w:lineRule="auto"/>
            </w:pPr>
            <w:r>
              <w:rPr>
                <w:rFonts w:ascii="Arial" w:hAnsi="Arial"/>
                <w:color w:val="1F2933"/>
                <w:sz w:val="15"/>
              </w:rPr>
              <w:t>High-power too early</w:t>
            </w:r>
          </w:p>
        </w:tc>
        <w:tc>
          <w:tcPr>
            <w:tcW w:type="dxa" w:w="7560"/>
            <w:tcMar>
              <w:top w:w="55" w:type="dxa"/>
              <w:start w:w="65" w:type="dxa"/>
              <w:bottom w:w="55" w:type="dxa"/>
              <w:end w:w="65" w:type="dxa"/>
            </w:tcMar>
            <w:vAlign w:val="top"/>
          </w:tcPr>
          <w:p>
            <w:pPr>
              <w:spacing w:after="0" w:line="240" w:lineRule="auto"/>
            </w:pPr>
            <w:r>
              <w:rPr>
                <w:rFonts w:ascii="Arial" w:hAnsi="Arial"/>
                <w:color w:val="1F2933"/>
                <w:sz w:val="15"/>
              </w:rPr>
              <w:t>First consider effective-access/evolution timing and drawbacks. If still excessive, move the learn level later or substitute the next lower-band move.</w:t>
            </w:r>
          </w:p>
        </w:tc>
      </w:tr>
      <w:tr>
        <w:trPr>
          <w:cantSplit/>
        </w:trPr>
        <w:tc>
          <w:tcPr>
            <w:tcW w:type="dxa" w:w="2520"/>
            <w:shd w:fill="F8FAFB"/>
            <w:tcMar>
              <w:top w:w="55" w:type="dxa"/>
              <w:start w:w="65" w:type="dxa"/>
              <w:bottom w:w="55" w:type="dxa"/>
              <w:end w:w="65" w:type="dxa"/>
            </w:tcMar>
            <w:vAlign w:val="top"/>
          </w:tcPr>
          <w:p>
            <w:pPr>
              <w:spacing w:after="0" w:line="240" w:lineRule="auto"/>
            </w:pPr>
            <w:r>
              <w:rPr>
                <w:rFonts w:ascii="Arial" w:hAnsi="Arial"/>
                <w:color w:val="1F2933"/>
                <w:sz w:val="15"/>
              </w:rPr>
              <w:t>Weak move too late</w:t>
            </w:r>
          </w:p>
        </w:tc>
        <w:tc>
          <w:tcPr>
            <w:tcW w:type="dxa" w:w="7560"/>
            <w:shd w:fill="F8FAFB"/>
            <w:tcMar>
              <w:top w:w="55" w:type="dxa"/>
              <w:start w:w="65" w:type="dxa"/>
              <w:bottom w:w="55" w:type="dxa"/>
              <w:end w:w="65" w:type="dxa"/>
            </w:tcMar>
            <w:vAlign w:val="top"/>
          </w:tcPr>
          <w:p>
            <w:pPr>
              <w:spacing w:after="0" w:line="240" w:lineRule="auto"/>
            </w:pPr>
            <w:r>
              <w:rPr>
                <w:rFonts w:ascii="Arial" w:hAnsi="Arial"/>
                <w:color w:val="1F2933"/>
                <w:sz w:val="15"/>
              </w:rPr>
              <w:t>Keep it in relearner history but replace the late level-up reward unless utility justifies it.</w:t>
            </w:r>
          </w:p>
        </w:tc>
      </w:tr>
      <w:tr>
        <w:trPr>
          <w:cantSplit/>
        </w:trPr>
        <w:tc>
          <w:tcPr>
            <w:tcW w:type="dxa" w:w="2520"/>
            <w:tcMar>
              <w:top w:w="55" w:type="dxa"/>
              <w:start w:w="65" w:type="dxa"/>
              <w:bottom w:w="55" w:type="dxa"/>
              <w:end w:w="65" w:type="dxa"/>
            </w:tcMar>
            <w:vAlign w:val="top"/>
          </w:tcPr>
          <w:p>
            <w:pPr>
              <w:spacing w:after="0" w:line="240" w:lineRule="auto"/>
            </w:pPr>
            <w:r>
              <w:rPr>
                <w:rFonts w:ascii="Arial" w:hAnsi="Arial"/>
                <w:color w:val="1F2933"/>
                <w:sz w:val="15"/>
              </w:rPr>
              <w:t>Trainer illegal move</w:t>
            </w:r>
          </w:p>
        </w:tc>
        <w:tc>
          <w:tcPr>
            <w:tcW w:type="dxa" w:w="7560"/>
            <w:tcMar>
              <w:top w:w="55" w:type="dxa"/>
              <w:start w:w="65" w:type="dxa"/>
              <w:bottom w:w="55" w:type="dxa"/>
              <w:end w:w="65" w:type="dxa"/>
            </w:tcMar>
            <w:vAlign w:val="top"/>
          </w:tcPr>
          <w:p>
            <w:pPr>
              <w:spacing w:after="0" w:line="240" w:lineRule="auto"/>
            </w:pPr>
            <w:r>
              <w:rPr>
                <w:rFonts w:ascii="Arial" w:hAnsi="Arial"/>
                <w:color w:val="1F2933"/>
                <w:sz w:val="15"/>
              </w:rPr>
              <w:t>Use Checklist 04 next-legal-candidate rule. Species and trainer level remain fixed.</w:t>
            </w:r>
          </w:p>
        </w:tc>
      </w:tr>
    </w:tbl>
    <w:p>
      <w:pPr>
        <w:spacing w:after="0"/>
      </w:pPr>
    </w:p>
    <w:p>
      <w:pPr>
        <w:pStyle w:val="Heading1"/>
      </w:pPr>
      <w:r>
        <w:t>14. Cross-checklist handoffs</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3096"/>
            <w:shd w:fill="182738"/>
            <w:tcMar>
              <w:top w:w="65" w:type="dxa"/>
              <w:start w:w="70" w:type="dxa"/>
              <w:bottom w:w="65" w:type="dxa"/>
              <w:end w:w="70" w:type="dxa"/>
            </w:tcMar>
            <w:vAlign w:val="center"/>
          </w:tcPr>
          <w:p>
            <w:pPr>
              <w:spacing w:after="0"/>
              <w:jc w:val="center"/>
            </w:pPr>
            <w:r>
              <w:rPr>
                <w:rFonts w:ascii="Arial" w:hAnsi="Arial"/>
                <w:b/>
                <w:color w:val="FFFFFF"/>
                <w:sz w:val="15"/>
              </w:rPr>
              <w:t>Later workstream</w:t>
            </w:r>
          </w:p>
        </w:tc>
        <w:tc>
          <w:tcPr>
            <w:tcW w:type="dxa" w:w="6984"/>
            <w:shd w:fill="182738"/>
            <w:tcMar>
              <w:top w:w="65" w:type="dxa"/>
              <w:start w:w="70" w:type="dxa"/>
              <w:bottom w:w="65" w:type="dxa"/>
              <w:end w:w="70" w:type="dxa"/>
            </w:tcMar>
            <w:vAlign w:val="center"/>
          </w:tcPr>
          <w:p>
            <w:pPr>
              <w:spacing w:after="0"/>
              <w:jc w:val="center"/>
            </w:pPr>
            <w:r>
              <w:rPr>
                <w:rFonts w:ascii="Arial" w:hAnsi="Arial"/>
                <w:b/>
                <w:color w:val="FFFFFF"/>
                <w:sz w:val="15"/>
              </w:rPr>
              <w:t>May define without reopening Checklist 12</w:t>
            </w:r>
          </w:p>
        </w:tc>
      </w:tr>
      <w:tr>
        <w:trPr>
          <w:cantSplit/>
        </w:trPr>
        <w:tc>
          <w:tcPr>
            <w:tcW w:type="dxa" w:w="3096"/>
            <w:tcMar>
              <w:top w:w="55" w:type="dxa"/>
              <w:start w:w="65" w:type="dxa"/>
              <w:bottom w:w="55" w:type="dxa"/>
              <w:end w:w="65" w:type="dxa"/>
            </w:tcMar>
            <w:vAlign w:val="top"/>
          </w:tcPr>
          <w:p>
            <w:pPr>
              <w:spacing w:after="0" w:line="240" w:lineRule="auto"/>
            </w:pPr>
            <w:r>
              <w:rPr>
                <w:rFonts w:ascii="Arial" w:hAnsi="Arial"/>
                <w:color w:val="1F2933"/>
                <w:sz w:val="15"/>
              </w:rPr>
              <w:t>Checklist 13 — Battle Edge Cases</w:t>
            </w:r>
          </w:p>
        </w:tc>
        <w:tc>
          <w:tcPr>
            <w:tcW w:type="dxa" w:w="6984"/>
            <w:tcMar>
              <w:top w:w="55" w:type="dxa"/>
              <w:start w:w="65" w:type="dxa"/>
              <w:bottom w:w="55" w:type="dxa"/>
              <w:end w:w="65" w:type="dxa"/>
            </w:tcMar>
            <w:vAlign w:val="top"/>
          </w:tcPr>
          <w:p>
            <w:pPr>
              <w:spacing w:after="0" w:line="240" w:lineRule="auto"/>
            </w:pPr>
            <w:r>
              <w:rPr>
                <w:rFonts w:ascii="Arial" w:hAnsi="Arial"/>
                <w:color w:val="1F2933"/>
                <w:sz w:val="15"/>
              </w:rPr>
              <w:t>May define resolution order for recoil, simultaneous KOs, move-learning prompts after battle and unusual battle-end evolution timing. It may not change move legality/category/priority.</w:t>
            </w:r>
          </w:p>
        </w:tc>
      </w:tr>
      <w:tr>
        <w:trPr>
          <w:cantSplit/>
        </w:trPr>
        <w:tc>
          <w:tcPr>
            <w:tcW w:type="dxa" w:w="3096"/>
            <w:shd w:fill="F8FAFB"/>
            <w:tcMar>
              <w:top w:w="55" w:type="dxa"/>
              <w:start w:w="65" w:type="dxa"/>
              <w:bottom w:w="55" w:type="dxa"/>
              <w:end w:w="65" w:type="dxa"/>
            </w:tcMar>
            <w:vAlign w:val="top"/>
          </w:tcPr>
          <w:p>
            <w:pPr>
              <w:spacing w:after="0" w:line="240" w:lineRule="auto"/>
            </w:pPr>
            <w:r>
              <w:rPr>
                <w:rFonts w:ascii="Arial" w:hAnsi="Arial"/>
                <w:color w:val="1F2933"/>
                <w:sz w:val="15"/>
              </w:rPr>
              <w:t>Checklist 14 — Starter Three-Life System</w:t>
            </w:r>
          </w:p>
        </w:tc>
        <w:tc>
          <w:tcPr>
            <w:tcW w:type="dxa" w:w="6984"/>
            <w:shd w:fill="F8FAFB"/>
            <w:tcMar>
              <w:top w:w="55" w:type="dxa"/>
              <w:start w:w="65" w:type="dxa"/>
              <w:bottom w:w="55" w:type="dxa"/>
              <w:end w:w="65" w:type="dxa"/>
            </w:tcMar>
            <w:vAlign w:val="top"/>
          </w:tcPr>
          <w:p>
            <w:pPr>
              <w:spacing w:after="0" w:line="240" w:lineRule="auto"/>
            </w:pPr>
            <w:r>
              <w:rPr>
                <w:rFonts w:ascii="Arial" w:hAnsi="Arial"/>
                <w:color w:val="1F2933"/>
                <w:sz w:val="15"/>
              </w:rPr>
              <w:t>May define starter life-state transitions; it does not alter starter learnsets.</w:t>
            </w:r>
          </w:p>
        </w:tc>
      </w:tr>
      <w:tr>
        <w:trPr>
          <w:cantSplit/>
        </w:trPr>
        <w:tc>
          <w:tcPr>
            <w:tcW w:type="dxa" w:w="3096"/>
            <w:tcMar>
              <w:top w:w="55" w:type="dxa"/>
              <w:start w:w="65" w:type="dxa"/>
              <w:bottom w:w="55" w:type="dxa"/>
              <w:end w:w="65" w:type="dxa"/>
            </w:tcMar>
            <w:vAlign w:val="top"/>
          </w:tcPr>
          <w:p>
            <w:pPr>
              <w:spacing w:after="0" w:line="240" w:lineRule="auto"/>
            </w:pPr>
            <w:r>
              <w:rPr>
                <w:rFonts w:ascii="Arial" w:hAnsi="Arial"/>
                <w:color w:val="1F2933"/>
                <w:sz w:val="15"/>
              </w:rPr>
              <w:t>Checklist 15 — Ironman Save &amp; Persistence</w:t>
            </w:r>
          </w:p>
        </w:tc>
        <w:tc>
          <w:tcPr>
            <w:tcW w:type="dxa" w:w="6984"/>
            <w:tcMar>
              <w:top w:w="55" w:type="dxa"/>
              <w:start w:w="65" w:type="dxa"/>
              <w:bottom w:w="55" w:type="dxa"/>
              <w:end w:w="65" w:type="dxa"/>
            </w:tcMar>
            <w:vAlign w:val="top"/>
          </w:tcPr>
          <w:p>
            <w:pPr>
              <w:spacing w:after="0" w:line="240" w:lineRule="auto"/>
            </w:pPr>
            <w:r>
              <w:rPr>
                <w:rFonts w:ascii="Arial" w:hAnsi="Arial"/>
                <w:color w:val="1F2933"/>
                <w:sz w:val="15"/>
              </w:rPr>
              <w:t>Stores equipped move IDs and any move-change transaction state required for crash safety. It cannot create rollback-based move duplication.</w:t>
            </w:r>
          </w:p>
        </w:tc>
      </w:tr>
      <w:tr>
        <w:trPr>
          <w:cantSplit/>
        </w:trPr>
        <w:tc>
          <w:tcPr>
            <w:tcW w:type="dxa" w:w="3096"/>
            <w:shd w:fill="F8FAFB"/>
            <w:tcMar>
              <w:top w:w="55" w:type="dxa"/>
              <w:start w:w="65" w:type="dxa"/>
              <w:bottom w:w="55" w:type="dxa"/>
              <w:end w:w="65" w:type="dxa"/>
            </w:tcMar>
            <w:vAlign w:val="top"/>
          </w:tcPr>
          <w:p>
            <w:pPr>
              <w:spacing w:after="0" w:line="240" w:lineRule="auto"/>
            </w:pPr>
            <w:r>
              <w:rPr>
                <w:rFonts w:ascii="Arial" w:hAnsi="Arial"/>
                <w:color w:val="1F2933"/>
                <w:sz w:val="15"/>
              </w:rPr>
              <w:t>Checklist 16 — Battle Presentation</w:t>
            </w:r>
          </w:p>
        </w:tc>
        <w:tc>
          <w:tcPr>
            <w:tcW w:type="dxa" w:w="6984"/>
            <w:shd w:fill="F8FAFB"/>
            <w:tcMar>
              <w:top w:w="55" w:type="dxa"/>
              <w:start w:w="65" w:type="dxa"/>
              <w:bottom w:w="55" w:type="dxa"/>
              <w:end w:w="65" w:type="dxa"/>
            </w:tcMar>
            <w:vAlign w:val="top"/>
          </w:tcPr>
          <w:p>
            <w:pPr>
              <w:spacing w:after="0" w:line="240" w:lineRule="auto"/>
            </w:pPr>
            <w:r>
              <w:rPr>
                <w:rFonts w:ascii="Arial" w:hAnsi="Arial"/>
                <w:color w:val="1F2933"/>
                <w:sz w:val="15"/>
              </w:rPr>
              <w:t>May present category/accuracy/priority/target information in UI; it does not change the mechanics.</w:t>
            </w:r>
          </w:p>
        </w:tc>
      </w:tr>
      <w:tr>
        <w:trPr>
          <w:cantSplit/>
        </w:trPr>
        <w:tc>
          <w:tcPr>
            <w:tcW w:type="dxa" w:w="3096"/>
            <w:tcMar>
              <w:top w:w="55" w:type="dxa"/>
              <w:start w:w="65" w:type="dxa"/>
              <w:bottom w:w="55" w:type="dxa"/>
              <w:end w:w="65" w:type="dxa"/>
            </w:tcMar>
            <w:vAlign w:val="top"/>
          </w:tcPr>
          <w:p>
            <w:pPr>
              <w:spacing w:after="0" w:line="240" w:lineRule="auto"/>
            </w:pPr>
            <w:r>
              <w:rPr>
                <w:rFonts w:ascii="Arial" w:hAnsi="Arial"/>
                <w:color w:val="1F2933"/>
                <w:sz w:val="15"/>
              </w:rPr>
              <w:t>Checklist 17 — Overworld Interaction</w:t>
            </w:r>
          </w:p>
        </w:tc>
        <w:tc>
          <w:tcPr>
            <w:tcW w:type="dxa" w:w="6984"/>
            <w:tcMar>
              <w:top w:w="55" w:type="dxa"/>
              <w:start w:w="65" w:type="dxa"/>
              <w:bottom w:w="55" w:type="dxa"/>
              <w:end w:w="65" w:type="dxa"/>
            </w:tcMar>
            <w:vAlign w:val="top"/>
          </w:tcPr>
          <w:p>
            <w:pPr>
              <w:spacing w:after="0" w:line="240" w:lineRule="auto"/>
            </w:pPr>
            <w:r>
              <w:rPr>
                <w:rFonts w:ascii="Arial" w:hAnsi="Arial"/>
                <w:color w:val="1F2933"/>
                <w:sz w:val="15"/>
              </w:rPr>
              <w:t>May define Aeric interaction choreography and menu presentation; free/non-remote relearning remains fixed.</w:t>
            </w:r>
          </w:p>
        </w:tc>
      </w:tr>
      <w:tr>
        <w:trPr>
          <w:cantSplit/>
        </w:trPr>
        <w:tc>
          <w:tcPr>
            <w:tcW w:type="dxa" w:w="3096"/>
            <w:shd w:fill="F8FAFB"/>
            <w:tcMar>
              <w:top w:w="55" w:type="dxa"/>
              <w:start w:w="65" w:type="dxa"/>
              <w:bottom w:w="55" w:type="dxa"/>
              <w:end w:w="65" w:type="dxa"/>
            </w:tcMar>
            <w:vAlign w:val="top"/>
          </w:tcPr>
          <w:p>
            <w:pPr>
              <w:spacing w:after="0" w:line="240" w:lineRule="auto"/>
            </w:pPr>
            <w:r>
              <w:rPr>
                <w:rFonts w:ascii="Arial" w:hAnsi="Arial"/>
                <w:color w:val="1F2933"/>
                <w:sz w:val="15"/>
              </w:rPr>
              <w:t>Future TM/tutor work if authorised</w:t>
            </w:r>
          </w:p>
        </w:tc>
        <w:tc>
          <w:tcPr>
            <w:tcW w:type="dxa" w:w="6984"/>
            <w:shd w:fill="F8FAFB"/>
            <w:tcMar>
              <w:top w:w="55" w:type="dxa"/>
              <w:start w:w="65" w:type="dxa"/>
              <w:bottom w:w="55" w:type="dxa"/>
              <w:end w:w="65" w:type="dxa"/>
            </w:tcMar>
            <w:vAlign w:val="top"/>
          </w:tcPr>
          <w:p>
            <w:pPr>
              <w:spacing w:after="0" w:line="240" w:lineRule="auto"/>
            </w:pPr>
            <w:r>
              <w:rPr>
                <w:rFonts w:ascii="Arial" w:hAnsi="Arial"/>
                <w:color w:val="1F2933"/>
                <w:sz w:val="15"/>
              </w:rPr>
              <w:t>Must add explicit acquisition records and rerun the same legality/compiler validation. No implicit TM/tutor pool exists today.</w:t>
            </w:r>
          </w:p>
        </w:tc>
      </w:tr>
    </w:tbl>
    <w:p>
      <w:pPr>
        <w:spacing w:after="0"/>
      </w:pPr>
    </w:p>
    <w:p>
      <w:pPr>
        <w:pStyle w:val="Heading1"/>
      </w:pPr>
      <w:r>
        <w:t>15. Checklist 12 completion matrix</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312"/>
            <w:shd w:fill="182738"/>
            <w:tcMar>
              <w:top w:w="65" w:type="dxa"/>
              <w:start w:w="70" w:type="dxa"/>
              <w:bottom w:w="65" w:type="dxa"/>
              <w:end w:w="70" w:type="dxa"/>
            </w:tcMar>
            <w:vAlign w:val="center"/>
          </w:tcPr>
          <w:p>
            <w:pPr>
              <w:spacing w:after="0"/>
              <w:jc w:val="center"/>
            </w:pPr>
            <w:r>
              <w:rPr>
                <w:rFonts w:ascii="Arial" w:hAnsi="Arial"/>
                <w:b/>
                <w:color w:val="FFFFFF"/>
                <w:sz w:val="14"/>
              </w:rPr>
              <w:t>Checklist requirement</w:t>
            </w:r>
          </w:p>
        </w:tc>
        <w:tc>
          <w:tcPr>
            <w:tcW w:type="dxa" w:w="1728"/>
            <w:shd w:fill="182738"/>
            <w:tcMar>
              <w:top w:w="65" w:type="dxa"/>
              <w:start w:w="70" w:type="dxa"/>
              <w:bottom w:w="65" w:type="dxa"/>
              <w:end w:w="70" w:type="dxa"/>
            </w:tcMar>
            <w:vAlign w:val="center"/>
          </w:tcPr>
          <w:p>
            <w:pPr>
              <w:spacing w:after="0"/>
              <w:jc w:val="center"/>
            </w:pPr>
            <w:r>
              <w:rPr>
                <w:rFonts w:ascii="Arial" w:hAnsi="Arial"/>
                <w:b/>
                <w:color w:val="FFFFFF"/>
                <w:sz w:val="14"/>
              </w:rPr>
              <w:t>Status</w:t>
            </w:r>
          </w:p>
        </w:tc>
        <w:tc>
          <w:tcPr>
            <w:tcW w:type="dxa" w:w="5040"/>
            <w:shd w:fill="182738"/>
            <w:tcMar>
              <w:top w:w="65" w:type="dxa"/>
              <w:start w:w="70" w:type="dxa"/>
              <w:bottom w:w="65" w:type="dxa"/>
              <w:end w:w="70" w:type="dxa"/>
            </w:tcMar>
            <w:vAlign w:val="center"/>
          </w:tcPr>
          <w:p>
            <w:pPr>
              <w:spacing w:after="0"/>
              <w:jc w:val="center"/>
            </w:pPr>
            <w:r>
              <w:rPr>
                <w:rFonts w:ascii="Arial" w:hAnsi="Arial"/>
                <w:b/>
                <w:color w:val="FFFFFF"/>
                <w:sz w:val="14"/>
              </w:rPr>
              <w:t>Locked result</w:t>
            </w:r>
          </w:p>
        </w:tc>
      </w:tr>
      <w:tr>
        <w:trPr>
          <w:cantSplit/>
        </w:trPr>
        <w:tc>
          <w:tcPr>
            <w:tcW w:type="dxa" w:w="3312"/>
            <w:tcMar>
              <w:top w:w="55" w:type="dxa"/>
              <w:start w:w="65" w:type="dxa"/>
              <w:bottom w:w="55" w:type="dxa"/>
              <w:end w:w="65" w:type="dxa"/>
            </w:tcMar>
            <w:vAlign w:val="top"/>
          </w:tcPr>
          <w:p>
            <w:pPr>
              <w:spacing w:after="0" w:line="240" w:lineRule="auto"/>
            </w:pPr>
            <w:r>
              <w:rPr>
                <w:rFonts w:ascii="Arial" w:hAnsi="Arial"/>
                <w:color w:val="1F2933"/>
                <w:sz w:val="14"/>
              </w:rPr>
              <w:t>Check every species has a legal learnset</w:t>
            </w:r>
          </w:p>
        </w:tc>
        <w:tc>
          <w:tcPr>
            <w:tcW w:type="dxa" w:w="1728"/>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4"/>
              </w:rPr>
              <w:t>187-species source registry retained; hard validation gate fixed.</w:t>
            </w:r>
          </w:p>
        </w:tc>
      </w:tr>
      <w:tr>
        <w:trPr>
          <w:cantSplit/>
        </w:trPr>
        <w:tc>
          <w:tcPr>
            <w:tcW w:type="dxa" w:w="3312"/>
            <w:shd w:fill="F8FAFB"/>
            <w:tcMar>
              <w:top w:w="55" w:type="dxa"/>
              <w:start w:w="65" w:type="dxa"/>
              <w:bottom w:w="55" w:type="dxa"/>
              <w:end w:w="65" w:type="dxa"/>
            </w:tcMar>
            <w:vAlign w:val="top"/>
          </w:tcPr>
          <w:p>
            <w:pPr>
              <w:spacing w:after="0" w:line="240" w:lineRule="auto"/>
            </w:pPr>
            <w:r>
              <w:rPr>
                <w:rFonts w:ascii="Arial" w:hAnsi="Arial"/>
                <w:color w:val="1F2933"/>
                <w:sz w:val="14"/>
              </w:rPr>
              <w:t>Check every move exists in the 354-move catalogue</w:t>
            </w:r>
          </w:p>
        </w:tc>
        <w:tc>
          <w:tcPr>
            <w:tcW w:type="dxa" w:w="1728"/>
            <w:shd w:fill="F8FAFB"/>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4"/>
              </w:rPr>
              <w:t>Exact-ID resolution is a hard error gate; no 355th move may be invented.</w:t>
            </w:r>
          </w:p>
        </w:tc>
      </w:tr>
      <w:tr>
        <w:trPr>
          <w:cantSplit/>
        </w:trPr>
        <w:tc>
          <w:tcPr>
            <w:tcW w:type="dxa" w:w="3312"/>
            <w:tcMar>
              <w:top w:w="55" w:type="dxa"/>
              <w:start w:w="65" w:type="dxa"/>
              <w:bottom w:w="55" w:type="dxa"/>
              <w:end w:w="65" w:type="dxa"/>
            </w:tcMar>
            <w:vAlign w:val="top"/>
          </w:tcPr>
          <w:p>
            <w:pPr>
              <w:spacing w:after="0" w:line="240" w:lineRule="auto"/>
            </w:pPr>
            <w:r>
              <w:rPr>
                <w:rFonts w:ascii="Arial" w:hAnsi="Arial"/>
                <w:color w:val="1F2933"/>
                <w:sz w:val="14"/>
              </w:rPr>
              <w:t>Check every move's type</w:t>
            </w:r>
          </w:p>
        </w:tc>
        <w:tc>
          <w:tcPr>
            <w:tcW w:type="dxa" w:w="1728"/>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4"/>
              </w:rPr>
              <w:t>Catalogue type is canonical; mismatch is hard error.</w:t>
            </w:r>
          </w:p>
        </w:tc>
      </w:tr>
      <w:tr>
        <w:trPr>
          <w:cantSplit/>
        </w:trPr>
        <w:tc>
          <w:tcPr>
            <w:tcW w:type="dxa" w:w="3312"/>
            <w:shd w:fill="F8FAFB"/>
            <w:tcMar>
              <w:top w:w="55" w:type="dxa"/>
              <w:start w:w="65" w:type="dxa"/>
              <w:bottom w:w="55" w:type="dxa"/>
              <w:end w:w="65" w:type="dxa"/>
            </w:tcMar>
            <w:vAlign w:val="top"/>
          </w:tcPr>
          <w:p>
            <w:pPr>
              <w:spacing w:after="0" w:line="240" w:lineRule="auto"/>
            </w:pPr>
            <w:r>
              <w:rPr>
                <w:rFonts w:ascii="Arial" w:hAnsi="Arial"/>
                <w:color w:val="1F2933"/>
                <w:sz w:val="14"/>
              </w:rPr>
              <w:t>Usable early offence / early STAB</w:t>
            </w:r>
          </w:p>
        </w:tc>
        <w:tc>
          <w:tcPr>
            <w:tcW w:type="dxa" w:w="1728"/>
            <w:shd w:fill="F8FAFB"/>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4"/>
              </w:rPr>
              <w:t>Lv5 offence / Lv8 STAB / Lv10 meaningful offence gates fixed with acquisition exceptions.</w:t>
            </w:r>
          </w:p>
        </w:tc>
      </w:tr>
      <w:tr>
        <w:trPr>
          <w:cantSplit/>
        </w:trPr>
        <w:tc>
          <w:tcPr>
            <w:tcW w:type="dxa" w:w="3312"/>
            <w:tcMar>
              <w:top w:w="55" w:type="dxa"/>
              <w:start w:w="65" w:type="dxa"/>
              <w:bottom w:w="55" w:type="dxa"/>
              <w:end w:w="65" w:type="dxa"/>
            </w:tcMar>
            <w:vAlign w:val="top"/>
          </w:tcPr>
          <w:p>
            <w:pPr>
              <w:spacing w:after="0" w:line="240" w:lineRule="auto"/>
            </w:pPr>
            <w:r>
              <w:rPr>
                <w:rFonts w:ascii="Arial" w:hAnsi="Arial"/>
                <w:color w:val="1F2933"/>
                <w:sz w:val="14"/>
              </w:rPr>
              <w:t>Dual-type usefulness</w:t>
            </w:r>
          </w:p>
        </w:tc>
        <w:tc>
          <w:tcPr>
            <w:tcW w:type="dxa" w:w="1728"/>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4"/>
              </w:rPr>
              <w:t>Both types must have meaningful expression where appropriate; not forced 50/50.</w:t>
            </w:r>
          </w:p>
        </w:tc>
      </w:tr>
      <w:tr>
        <w:trPr>
          <w:cantSplit/>
        </w:trPr>
        <w:tc>
          <w:tcPr>
            <w:tcW w:type="dxa" w:w="3312"/>
            <w:shd w:fill="F8FAFB"/>
            <w:tcMar>
              <w:top w:w="55" w:type="dxa"/>
              <w:start w:w="65" w:type="dxa"/>
              <w:bottom w:w="55" w:type="dxa"/>
              <w:end w:w="65" w:type="dxa"/>
            </w:tcMar>
            <w:vAlign w:val="top"/>
          </w:tcPr>
          <w:p>
            <w:pPr>
              <w:spacing w:after="0" w:line="240" w:lineRule="auto"/>
            </w:pPr>
            <w:r>
              <w:rPr>
                <w:rFonts w:ascii="Arial" w:hAnsi="Arial"/>
                <w:color w:val="1F2933"/>
                <w:sz w:val="14"/>
              </w:rPr>
              <w:t>Physical / special attacker support</w:t>
            </w:r>
          </w:p>
        </w:tc>
        <w:tc>
          <w:tcPr>
            <w:tcW w:type="dxa" w:w="1728"/>
            <w:shd w:fill="F8FAFB"/>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4"/>
              </w:rPr>
              <w:t>Modern per-move split + 15-point role QA classifier fixed.</w:t>
            </w:r>
          </w:p>
        </w:tc>
      </w:tr>
      <w:tr>
        <w:trPr>
          <w:cantSplit/>
        </w:trPr>
        <w:tc>
          <w:tcPr>
            <w:tcW w:type="dxa" w:w="3312"/>
            <w:tcMar>
              <w:top w:w="55" w:type="dxa"/>
              <w:start w:w="65" w:type="dxa"/>
              <w:bottom w:w="55" w:type="dxa"/>
              <w:end w:w="65" w:type="dxa"/>
            </w:tcMar>
            <w:vAlign w:val="top"/>
          </w:tcPr>
          <w:p>
            <w:pPr>
              <w:spacing w:after="0" w:line="240" w:lineRule="auto"/>
            </w:pPr>
            <w:r>
              <w:rPr>
                <w:rFonts w:ascii="Arial" w:hAnsi="Arial"/>
                <w:color w:val="1F2933"/>
                <w:sz w:val="14"/>
              </w:rPr>
              <w:t>Defensive / fast utility</w:t>
            </w:r>
          </w:p>
        </w:tc>
        <w:tc>
          <w:tcPr>
            <w:tcW w:type="dxa" w:w="1728"/>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4"/>
              </w:rPr>
              <w:t>Role-based support/tempo audit fixed; priority remains scarce.</w:t>
            </w:r>
          </w:p>
        </w:tc>
      </w:tr>
      <w:tr>
        <w:trPr>
          <w:cantSplit/>
        </w:trPr>
        <w:tc>
          <w:tcPr>
            <w:tcW w:type="dxa" w:w="3312"/>
            <w:shd w:fill="F8FAFB"/>
            <w:tcMar>
              <w:top w:w="55" w:type="dxa"/>
              <w:start w:w="65" w:type="dxa"/>
              <w:bottom w:w="55" w:type="dxa"/>
              <w:end w:w="65" w:type="dxa"/>
            </w:tcMar>
            <w:vAlign w:val="top"/>
          </w:tcPr>
          <w:p>
            <w:pPr>
              <w:spacing w:after="0" w:line="240" w:lineRule="auto"/>
            </w:pPr>
            <w:r>
              <w:rPr>
                <w:rFonts w:ascii="Arial" w:hAnsi="Arial"/>
                <w:color w:val="1F2933"/>
                <w:sz w:val="14"/>
              </w:rPr>
              <w:t>High-power early / weak late</w:t>
            </w:r>
          </w:p>
        </w:tc>
        <w:tc>
          <w:tcPr>
            <w:tcW w:type="dxa" w:w="1728"/>
            <w:shd w:fill="F8FAFB"/>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4"/>
              </w:rPr>
              <w:t>Effective-access warning bands and late-weak warning fixed.</w:t>
            </w:r>
          </w:p>
        </w:tc>
      </w:tr>
      <w:tr>
        <w:trPr>
          <w:cantSplit/>
        </w:trPr>
        <w:tc>
          <w:tcPr>
            <w:tcW w:type="dxa" w:w="3312"/>
            <w:tcMar>
              <w:top w:w="55" w:type="dxa"/>
              <w:start w:w="65" w:type="dxa"/>
              <w:bottom w:w="55" w:type="dxa"/>
              <w:end w:w="65" w:type="dxa"/>
            </w:tcMar>
            <w:vAlign w:val="top"/>
          </w:tcPr>
          <w:p>
            <w:pPr>
              <w:spacing w:after="0" w:line="240" w:lineRule="auto"/>
            </w:pPr>
            <w:r>
              <w:rPr>
                <w:rFonts w:ascii="Arial" w:hAnsi="Arial"/>
                <w:color w:val="1F2933"/>
                <w:sz w:val="14"/>
              </w:rPr>
              <w:t>Status / healing / setup / priority / recoil / drain</w:t>
            </w:r>
          </w:p>
        </w:tc>
        <w:tc>
          <w:tcPr>
            <w:tcW w:type="dxa" w:w="1728"/>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4"/>
              </w:rPr>
              <w:t>Role/distribution audits fixed.</w:t>
            </w:r>
          </w:p>
        </w:tc>
      </w:tr>
      <w:tr>
        <w:trPr>
          <w:cantSplit/>
        </w:trPr>
        <w:tc>
          <w:tcPr>
            <w:tcW w:type="dxa" w:w="3312"/>
            <w:shd w:fill="F8FAFB"/>
            <w:tcMar>
              <w:top w:w="55" w:type="dxa"/>
              <w:start w:w="65" w:type="dxa"/>
              <w:bottom w:w="55" w:type="dxa"/>
              <w:end w:w="65" w:type="dxa"/>
            </w:tcMar>
            <w:vAlign w:val="top"/>
          </w:tcPr>
          <w:p>
            <w:pPr>
              <w:spacing w:after="0" w:line="240" w:lineRule="auto"/>
            </w:pPr>
            <w:r>
              <w:rPr>
                <w:rFonts w:ascii="Arial" w:hAnsi="Arial"/>
                <w:color w:val="1F2933"/>
                <w:sz w:val="14"/>
              </w:rPr>
              <w:t>Signature moves / timing</w:t>
            </w:r>
          </w:p>
        </w:tc>
        <w:tc>
          <w:tcPr>
            <w:tcW w:type="dxa" w:w="1728"/>
            <w:shd w:fill="F8FAFB"/>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4"/>
              </w:rPr>
              <w:t>Evolution-family exclusivity and timing rules fixed.</w:t>
            </w:r>
          </w:p>
        </w:tc>
      </w:tr>
      <w:tr>
        <w:trPr>
          <w:cantSplit/>
        </w:trPr>
        <w:tc>
          <w:tcPr>
            <w:tcW w:type="dxa" w:w="3312"/>
            <w:tcMar>
              <w:top w:w="55" w:type="dxa"/>
              <w:start w:w="65" w:type="dxa"/>
              <w:bottom w:w="55" w:type="dxa"/>
              <w:end w:w="65" w:type="dxa"/>
            </w:tcMar>
            <w:vAlign w:val="top"/>
          </w:tcPr>
          <w:p>
            <w:pPr>
              <w:spacing w:after="0" w:line="240" w:lineRule="auto"/>
            </w:pPr>
            <w:r>
              <w:rPr>
                <w:rFonts w:ascii="Arial" w:hAnsi="Arial"/>
                <w:color w:val="1F2933"/>
                <w:sz w:val="14"/>
              </w:rPr>
              <w:t>Starters / fossils / mythics</w:t>
            </w:r>
          </w:p>
        </w:tc>
        <w:tc>
          <w:tcPr>
            <w:tcW w:type="dxa" w:w="1728"/>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4"/>
              </w:rPr>
              <w:t>Special audit rules fixed without changing Checklist 11 timing.</w:t>
            </w:r>
          </w:p>
        </w:tc>
      </w:tr>
      <w:tr>
        <w:trPr>
          <w:cantSplit/>
        </w:trPr>
        <w:tc>
          <w:tcPr>
            <w:tcW w:type="dxa" w:w="3312"/>
            <w:shd w:fill="F8FAFB"/>
            <w:tcMar>
              <w:top w:w="55" w:type="dxa"/>
              <w:start w:w="65" w:type="dxa"/>
              <w:bottom w:w="55" w:type="dxa"/>
              <w:end w:w="65" w:type="dxa"/>
            </w:tcMar>
            <w:vAlign w:val="top"/>
          </w:tcPr>
          <w:p>
            <w:pPr>
              <w:spacing w:after="0" w:line="240" w:lineRule="auto"/>
            </w:pPr>
            <w:r>
              <w:rPr>
                <w:rFonts w:ascii="Arial" w:hAnsi="Arial"/>
                <w:color w:val="1F2933"/>
                <w:sz w:val="14"/>
              </w:rPr>
              <w:t>Hell Warden learnsets</w:t>
            </w:r>
          </w:p>
        </w:tc>
        <w:tc>
          <w:tcPr>
            <w:tcW w:type="dxa" w:w="1728"/>
            <w:shd w:fill="F8FAFB"/>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4"/>
              </w:rPr>
              <w:t>TERRAIN compiler legality contract preserved.</w:t>
            </w:r>
          </w:p>
        </w:tc>
      </w:tr>
      <w:tr>
        <w:trPr>
          <w:cantSplit/>
        </w:trPr>
        <w:tc>
          <w:tcPr>
            <w:tcW w:type="dxa" w:w="3312"/>
            <w:tcMar>
              <w:top w:w="55" w:type="dxa"/>
              <w:start w:w="65" w:type="dxa"/>
              <w:bottom w:w="55" w:type="dxa"/>
              <w:end w:w="65" w:type="dxa"/>
            </w:tcMar>
            <w:vAlign w:val="top"/>
          </w:tcPr>
          <w:p>
            <w:pPr>
              <w:spacing w:after="0" w:line="240" w:lineRule="auto"/>
            </w:pPr>
            <w:r>
              <w:rPr>
                <w:rFonts w:ascii="Arial" w:hAnsi="Arial"/>
                <w:color w:val="1F2933"/>
                <w:sz w:val="14"/>
              </w:rPr>
              <w:t>All planned trainer move legality</w:t>
            </w:r>
          </w:p>
        </w:tc>
        <w:tc>
          <w:tcPr>
            <w:tcW w:type="dxa" w:w="1728"/>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4"/>
              </w:rPr>
              <w:t>Checklist 04 resolver + Checklist 12 metadata/signature validation fixed.</w:t>
            </w:r>
          </w:p>
        </w:tc>
      </w:tr>
      <w:tr>
        <w:trPr>
          <w:cantSplit/>
        </w:trPr>
        <w:tc>
          <w:tcPr>
            <w:tcW w:type="dxa" w:w="3312"/>
            <w:shd w:fill="F8FAFB"/>
            <w:tcMar>
              <w:top w:w="55" w:type="dxa"/>
              <w:start w:w="65" w:type="dxa"/>
              <w:bottom w:w="55" w:type="dxa"/>
              <w:end w:w="65" w:type="dxa"/>
            </w:tcMar>
            <w:vAlign w:val="top"/>
          </w:tcPr>
          <w:p>
            <w:pPr>
              <w:spacing w:after="0" w:line="240" w:lineRule="auto"/>
            </w:pPr>
            <w:r>
              <w:rPr>
                <w:rFonts w:ascii="Arial" w:hAnsi="Arial"/>
                <w:color w:val="1F2933"/>
                <w:sz w:val="14"/>
              </w:rPr>
              <w:t>Move relearner rules</w:t>
            </w:r>
          </w:p>
        </w:tc>
        <w:tc>
          <w:tcPr>
            <w:tcW w:type="dxa" w:w="1728"/>
            <w:shd w:fill="F8FAFB"/>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4"/>
              </w:rPr>
              <w:t>Free through Aeric at normal reserve access; no remote use.</w:t>
            </w:r>
          </w:p>
        </w:tc>
      </w:tr>
      <w:tr>
        <w:trPr>
          <w:cantSplit/>
        </w:trPr>
        <w:tc>
          <w:tcPr>
            <w:tcW w:type="dxa" w:w="3312"/>
            <w:tcMar>
              <w:top w:w="55" w:type="dxa"/>
              <w:start w:w="65" w:type="dxa"/>
              <w:bottom w:w="55" w:type="dxa"/>
              <w:end w:w="65" w:type="dxa"/>
            </w:tcMar>
            <w:vAlign w:val="top"/>
          </w:tcPr>
          <w:p>
            <w:pPr>
              <w:spacing w:after="0" w:line="240" w:lineRule="auto"/>
            </w:pPr>
            <w:r>
              <w:rPr>
                <w:rFonts w:ascii="Arial" w:hAnsi="Arial"/>
                <w:color w:val="1F2933"/>
                <w:sz w:val="14"/>
              </w:rPr>
              <w:t>Evolution move rules</w:t>
            </w:r>
          </w:p>
        </w:tc>
        <w:tc>
          <w:tcPr>
            <w:tcW w:type="dxa" w:w="1728"/>
            <w:tcMar>
              <w:top w:w="55" w:type="dxa"/>
              <w:start w:w="65" w:type="dxa"/>
              <w:bottom w:w="55" w:type="dxa"/>
              <w:end w:w="65" w:type="dxa"/>
            </w:tcMar>
            <w:vAlign w:val="top"/>
          </w:tcPr>
          <w:p>
            <w:pPr>
              <w:spacing w:after="0" w:line="240" w:lineRule="auto"/>
            </w:pPr>
            <w:r>
              <w:rPr>
                <w:rFonts w:ascii="Arial" w:hAnsi="Arial"/>
                <w:color w:val="1F2933"/>
                <w:sz w:val="14"/>
              </w:rPr>
              <w:t>COMPLETE</w:t>
            </w:r>
          </w:p>
        </w:tc>
        <w:tc>
          <w:tcPr>
            <w:tcW w:type="dxa" w:w="5040"/>
            <w:tcMar>
              <w:top w:w="55" w:type="dxa"/>
              <w:start w:w="65" w:type="dxa"/>
              <w:bottom w:w="55" w:type="dxa"/>
              <w:end w:w="65" w:type="dxa"/>
            </w:tcMar>
            <w:vAlign w:val="top"/>
          </w:tcPr>
          <w:p>
            <w:pPr>
              <w:spacing w:after="0" w:line="240" w:lineRule="auto"/>
            </w:pPr>
            <w:r>
              <w:rPr>
                <w:rFonts w:ascii="Arial" w:hAnsi="Arial"/>
                <w:color w:val="1F2933"/>
                <w:sz w:val="14"/>
              </w:rPr>
              <w:t>Keep four; offer explicit evolution move; missed lower-level moves become relearnable.</w:t>
            </w:r>
          </w:p>
        </w:tc>
      </w:tr>
      <w:tr>
        <w:trPr>
          <w:cantSplit/>
        </w:trPr>
        <w:tc>
          <w:tcPr>
            <w:tcW w:type="dxa" w:w="3312"/>
            <w:shd w:fill="F8FAFB"/>
            <w:tcMar>
              <w:top w:w="55" w:type="dxa"/>
              <w:start w:w="65" w:type="dxa"/>
              <w:bottom w:w="55" w:type="dxa"/>
              <w:end w:w="65" w:type="dxa"/>
            </w:tcMar>
            <w:vAlign w:val="top"/>
          </w:tcPr>
          <w:p>
            <w:pPr>
              <w:spacing w:after="0" w:line="240" w:lineRule="auto"/>
            </w:pPr>
            <w:r>
              <w:rPr>
                <w:rFonts w:ascii="Arial" w:hAnsi="Arial"/>
                <w:color w:val="1F2933"/>
                <w:sz w:val="14"/>
              </w:rPr>
              <w:t>Finalise all 187 learnsets as implementation data</w:t>
            </w:r>
          </w:p>
        </w:tc>
        <w:tc>
          <w:tcPr>
            <w:tcW w:type="dxa" w:w="1728"/>
            <w:shd w:fill="F8FAFB"/>
            <w:tcMar>
              <w:top w:w="55" w:type="dxa"/>
              <w:start w:w="65" w:type="dxa"/>
              <w:bottom w:w="55" w:type="dxa"/>
              <w:end w:w="65" w:type="dxa"/>
            </w:tcMar>
            <w:vAlign w:val="top"/>
          </w:tcPr>
          <w:p>
            <w:pPr>
              <w:spacing w:after="0" w:line="240" w:lineRule="auto"/>
            </w:pPr>
            <w:r>
              <w:rPr>
                <w:rFonts w:ascii="Arial" w:hAnsi="Arial"/>
                <w:color w:val="1F2933"/>
                <w:sz w:val="14"/>
              </w:rPr>
              <w:t>COMPLETE / BUILD-GATED</w:t>
            </w:r>
          </w:p>
        </w:tc>
        <w:tc>
          <w:tcPr>
            <w:tcW w:type="dxa" w:w="5040"/>
            <w:shd w:fill="F8FAFB"/>
            <w:tcMar>
              <w:top w:w="55" w:type="dxa"/>
              <w:start w:w="65" w:type="dxa"/>
              <w:bottom w:w="55" w:type="dxa"/>
              <w:end w:w="65" w:type="dxa"/>
            </w:tcMar>
            <w:vAlign w:val="top"/>
          </w:tcPr>
          <w:p>
            <w:pPr>
              <w:spacing w:after="0" w:line="240" w:lineRule="auto"/>
            </w:pPr>
            <w:r>
              <w:rPr>
                <w:rFonts w:ascii="Arial" w:hAnsi="Arial"/>
                <w:color w:val="1F2933"/>
                <w:sz w:val="14"/>
              </w:rPr>
              <w:t>Canonical baseline + complete schema/validator fixed; raw import must produce zero hard errors before content build can ship.</w:t>
            </w:r>
          </w:p>
        </w:tc>
      </w:tr>
    </w:tbl>
    <w:p>
      <w:pPr>
        <w:spacing w:after="0"/>
      </w:pPr>
    </w:p>
    <w:p>
      <w:pPr>
        <w:pStyle w:val="Heading1"/>
      </w:pPr>
      <w:r>
        <w:t>16. Final status</w:t>
      </w:r>
    </w:p>
    <w:tbl>
      <w:tblPr>
        <w:tblW w:type="auto" w:w="0"/>
        <w:jc w:val="center"/>
        <w:tblLayout w:type="fixed"/>
        <w:tblLook w:firstColumn="1" w:firstRow="1" w:lastColumn="0" w:lastRow="0" w:noHBand="0" w:noVBand="1" w:val="04A0"/>
      </w:tblPr>
      <w:tblGrid>
        <w:gridCol w:w="10080"/>
      </w:tblGrid>
      <w:tr>
        <w:trPr>
          <w:cantSplit/>
        </w:trPr>
        <w:tc>
          <w:tcPr>
            <w:tcW w:type="dxa" w:w="10224"/>
            <w:shd w:fill="E9F2EC"/>
            <w:tcMar>
              <w:top w:w="100" w:type="dxa"/>
              <w:start w:w="120" w:type="dxa"/>
              <w:bottom w:w="100" w:type="dxa"/>
              <w:end w:w="120" w:type="dxa"/>
            </w:tcMar>
            <w:tcBorders>
              <w:top w:val="single" w:sz="8" w:color="5F8E6C"/>
              <w:left w:val="single" w:sz="8" w:color="5F8E6C"/>
              <w:bottom w:val="single" w:sz="8" w:color="5F8E6C"/>
              <w:right w:val="single" w:sz="8" w:color="5F8E6C"/>
            </w:tcBorders>
          </w:tcPr>
          <w:p>
            <w:pPr>
              <w:spacing w:after="40"/>
            </w:pPr>
            <w:r>
              <w:rPr>
                <w:rFonts w:ascii="Arial" w:hAnsi="Arial"/>
                <w:b/>
                <w:color w:val="182738"/>
                <w:sz w:val="19"/>
              </w:rPr>
              <w:t>CHECKLIST 12 — LEARNSET VALIDATION: COMPLETE / LOCKED</w:t>
            </w:r>
          </w:p>
          <w:p>
            <w:pPr>
              <w:spacing w:after="0" w:line="240" w:lineRule="auto"/>
            </w:pPr>
            <w:r>
              <w:rPr>
                <w:rFonts w:ascii="Arial" w:hAnsi="Arial"/>
                <w:color w:val="1F2933"/>
                <w:sz w:val="18"/>
              </w:rPr>
              <w:t>No unresolved learnset-design decision remains. Later implementation may encode the catalogue in JSON/TypeScript/database form, add UI presentation, or correct a demonstrable source-data defect found by the mandatory validator. It may not silently change the per-move category system, accuracy bands, priority whitelist, signature-family exclusivity, free Aeric relearning, evolution-move semantics, balance gates or deterministic trainer legality contract.</w:t>
            </w:r>
          </w:p>
        </w:tc>
      </w:tr>
    </w:tbl>
    <w:p>
      <w:pPr>
        <w:spacing w:after="0"/>
      </w:pPr>
    </w:p>
    <w:p>
      <w:pPr>
        <w:pStyle w:val="Heading1"/>
      </w:pPr>
      <w:r>
        <w:t>17. Source authority used for this lock</w:t>
      </w:r>
    </w:p>
    <w:p>
      <w:pPr>
        <w:pStyle w:val="ListBullet"/>
        <w:spacing w:after="30" w:line="240" w:lineRule="auto"/>
      </w:pPr>
      <w:r>
        <w:rPr>
          <w:rFonts w:ascii="Arial" w:hAnsi="Arial"/>
          <w:color w:val="1F2933"/>
          <w:sz w:val="18"/>
        </w:rPr>
        <w:t>Pokemon_Pre_Programming_Planning_Checklists_Reference.docx — Checklist 12 scope and completion criteria.</w:t>
      </w:r>
    </w:p>
    <w:p>
      <w:pPr>
        <w:pStyle w:val="ListBullet"/>
        <w:spacing w:after="30" w:line="240" w:lineRule="auto"/>
      </w:pPr>
      <w:r>
        <w:rPr>
          <w:rFonts w:ascii="Arial" w:hAnsi="Arial"/>
          <w:color w:val="1F2933"/>
          <w:sz w:val="18"/>
        </w:rPr>
        <w:t>Pokemon_Fan_Game_354_Move_Catalogue.xlsx — 354 move identities, type/PP/power/effects and signature/best-fit field; design note explicitly deferred accuracy/category/priority/targeting to a later pass.</w:t>
      </w:r>
    </w:p>
    <w:p>
      <w:pPr>
        <w:pStyle w:val="ListBullet"/>
        <w:spacing w:after="30" w:line="240" w:lineRule="auto"/>
      </w:pPr>
      <w:r>
        <w:rPr>
          <w:rFonts w:ascii="Arial" w:hAnsi="Arial"/>
          <w:color w:val="1F2933"/>
          <w:sz w:val="18"/>
        </w:rPr>
        <w:t>Regional_Dex_Progression_Learnsets_v3.xlsx — 187 species, 1,893 authored learnset entries, four-move limit and existing relearnable principle.</w:t>
      </w:r>
    </w:p>
    <w:p>
      <w:pPr>
        <w:pStyle w:val="ListBullet"/>
        <w:spacing w:after="30" w:line="240" w:lineRule="auto"/>
      </w:pPr>
      <w:r>
        <w:rPr>
          <w:rFonts w:ascii="Arial" w:hAnsi="Arial"/>
          <w:color w:val="1F2933"/>
          <w:sz w:val="18"/>
        </w:rPr>
        <w:t>Regional_Dex_Stats_and_Abilities_COMPLETE_v2.xlsx — 187 exact stat spreads, typing, roles and 0 BST mismatches.</w:t>
      </w:r>
    </w:p>
    <w:p>
      <w:pPr>
        <w:pStyle w:val="ListBullet"/>
        <w:spacing w:after="30" w:line="240" w:lineRule="auto"/>
      </w:pPr>
      <w:r>
        <w:rPr>
          <w:rFonts w:ascii="Arial" w:hAnsi="Arial"/>
          <w:color w:val="1F2933"/>
          <w:sz w:val="18"/>
        </w:rPr>
        <w:t>ABYSSALS_CHECKLIST_04_Trainer_Database_Team_Planning_LOCKED_v1.0.docx — deterministic trainer legal-pool resolver and profile selection.</w:t>
      </w:r>
    </w:p>
    <w:p>
      <w:pPr>
        <w:pStyle w:val="ListBullet"/>
        <w:spacing w:after="30" w:line="240" w:lineRule="auto"/>
      </w:pPr>
      <w:r>
        <w:rPr>
          <w:rFonts w:ascii="Arial" w:hAnsi="Arial"/>
          <w:color w:val="1F2933"/>
          <w:sz w:val="18"/>
        </w:rPr>
        <w:t>ABYSSALS_CHECKLIST_05_Hell_Terrain_Finalisation_LOCKED_v1.0.docx — Warden field identities and terrain-only battle contract.</w:t>
      </w:r>
    </w:p>
    <w:p>
      <w:pPr>
        <w:pStyle w:val="ListBullet"/>
        <w:spacing w:after="30" w:line="240" w:lineRule="auto"/>
      </w:pPr>
      <w:r>
        <w:rPr>
          <w:rFonts w:ascii="Arial" w:hAnsi="Arial"/>
          <w:color w:val="1F2933"/>
          <w:sz w:val="18"/>
        </w:rPr>
        <w:t>ABYSSALS_CHECKLIST_07_Memorial_Resurrection_System_LOCKED_v1.0.docx — exact four-move restoration and evolution-history persistence.</w:t>
      </w:r>
    </w:p>
    <w:p>
      <w:pPr>
        <w:pStyle w:val="ListBullet"/>
        <w:spacing w:after="30" w:line="240" w:lineRule="auto"/>
      </w:pPr>
      <w:r>
        <w:rPr>
          <w:rFonts w:ascii="Arial" w:hAnsi="Arial"/>
          <w:color w:val="1F2933"/>
          <w:sz w:val="18"/>
        </w:rPr>
        <w:t>ABYSSALS_CHECKLIST_08_Party_Reserve_Management_LOCKED_v1.0.docx — Aeric normal reserve-access role and no remote hostile-area reserve service.</w:t>
      </w:r>
    </w:p>
    <w:p>
      <w:pPr>
        <w:pStyle w:val="ListBullet"/>
        <w:spacing w:after="30" w:line="240" w:lineRule="auto"/>
      </w:pPr>
      <w:r>
        <w:rPr>
          <w:rFonts w:ascii="Arial" w:hAnsi="Arial"/>
          <w:color w:val="1F2933"/>
          <w:sz w:val="18"/>
        </w:rPr>
        <w:t>ABYSSALS_CHECKLIST_11_Evolution_Validation_LOCKED_v1.0.docx — final evolution timing, story-branch locking and explicit Checklist 12 handoff.</w:t>
      </w:r>
    </w:p>
    <w:p>
      <w:pPr>
        <w:pStyle w:val="ListBullet"/>
        <w:spacing w:after="30" w:line="240" w:lineRule="auto"/>
      </w:pPr>
      <w:r>
        <w:rPr>
          <w:rFonts w:ascii="Arial" w:hAnsi="Arial"/>
          <w:color w:val="1F2933"/>
          <w:sz w:val="18"/>
        </w:rPr>
        <w:t>User-approved Checklist 12 decision pass — modern category split, scarce priority, signature-family exclusivity, free Aeric relearning, evolution-move flow and early offence/STAB thresholds.</w:t>
      </w:r>
    </w:p>
    <w:p>
      <w:pPr>
        <w:spacing w:before="160"/>
        <w:jc w:val="center"/>
      </w:pPr>
      <w:r>
        <w:rPr>
          <w:rFonts w:ascii="Arial" w:hAnsi="Arial"/>
          <w:b/>
          <w:color w:val="B78A3A"/>
          <w:sz w:val="18"/>
        </w:rPr>
        <w:t>END OF CHECKLIST 12 — LOCKED v1.0</w:t>
      </w:r>
    </w:p>
    <w:sectPr w:rsidR="00FC693F" w:rsidRPr="0006063C" w:rsidSect="00034616">
      <w:headerReference w:type="default" r:id="rId9"/>
      <w:footerReference w:type="default" r:id="rId10"/>
      <w:pgSz w:w="12240" w:h="15840"/>
      <w:pgMar w:top="893" w:right="1008" w:bottom="893"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040"/>
      <w:gridCol w:w="5040"/>
    </w:tblGrid>
    <w:tr>
      <w:tc>
        <w:tcPr>
          <w:tcW w:type="dxa" w:w="5040"/>
          <w:tcMar>
            <w:top w:w="0" w:type="dxa"/>
            <w:start w:w="0" w:type="dxa"/>
            <w:bottom w:w="0" w:type="dxa"/>
            <w:end w:w="0" w:type="dxa"/>
          </w:tcMar>
        </w:tcPr>
        <w:p>
          <w:r>
            <w:rPr>
              <w:rFonts w:ascii="Arial" w:hAnsi="Arial"/>
              <w:color w:val="5B6770"/>
              <w:sz w:val="14"/>
            </w:rPr>
            <w:t>Learnset Validation  |  LOCKED v1.0</w:t>
          </w:r>
        </w:p>
      </w:tc>
      <w:tc>
        <w:tcPr>
          <w:tcW w:type="dxa" w:w="5040"/>
          <w:tcMar>
            <w:top w:w="0" w:type="dxa"/>
            <w:start w:w="0" w:type="dxa"/>
            <w:bottom w:w="0" w:type="dxa"/>
            <w:end w:w="0" w:type="dxa"/>
          </w:tcMar>
        </w:tcPr>
        <w:p>
          <w:pPr>
            <w:jc w:val="right"/>
          </w:pPr>
          <w:r>
            <w:rPr>
              <w:rFonts w:ascii="Arial" w:hAnsi="Arial"/>
              <w:color w:val="5B6770"/>
              <w:sz w:val="14"/>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770"/>
        <w:sz w:val="14"/>
      </w:rPr>
      <w:t>ABYSSALS PROJECT  |  PRE-PROGRAMMING DESIGN  |  CHECKLIST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b w:val="0"/>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82738"/>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B78A3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27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ABYSSALS CHECKLIST 12 — Learnset Validation — LOCKED v1.0</dc:title>
  <dc:subject>Implementation-design lock for the 187-species learnset and 354-move catalogue validation contract.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