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A3A5C"/>
          <w:sz w:val="52"/>
          <w:szCs w:val="52"/>
        </w:rPr>
        <w:t xml:space="preserve">IAEA NUCLEAR MATERIAL ACCOUNTING</w:t>
      </w:r>
    </w:p>
    <w:p>
      <w:pPr>
        <w:spacing w:after="160"/>
        <w:jc w:val="center"/>
      </w:pPr>
      <w:r>
        <w:rPr>
          <w:rFonts w:ascii="Arial" w:cs="Arial" w:eastAsia="Arial" w:hAnsi="Arial"/>
          <w:b w:val="false"/>
          <w:bCs w:val="false"/>
          <w:color w:val="374151"/>
          <w:sz w:val="36"/>
          <w:szCs w:val="36"/>
        </w:rPr>
        <w:t xml:space="preserve">Formula Reference &amp; Course Guide</w:t>
      </w:r>
    </w:p>
    <w:p>
      <w:pPr>
        <w:spacing w:after="400"/>
        <w:jc w:val="center"/>
      </w:pPr>
      <w:r>
        <w:rPr>
          <w:rFonts w:ascii="Arial" w:cs="Arial" w:eastAsia="Arial" w:hAnsi="Arial"/>
          <w:i/>
          <w:iCs/>
          <w:color w:val="6B7280"/>
          <w:sz w:val="24"/>
          <w:szCs w:val="24"/>
        </w:rPr>
        <w:t xml:space="preserve">MUF Calculator System  —  Version 1.0</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1A3A5C" w:sz="2"/>
              <w:left w:val="single" w:color="1A3A5C" w:sz="12"/>
              <w:bottom w:val="single" w:color="1A3A5C" w:sz="2"/>
              <w:right w:val="single" w:color="1A3A5C" w:sz="2"/>
            </w:tcBorders>
            <w:shd w:fill="E8F4FD" w:val="clear"/>
            <w:tcMar>
              <w:top w:type="dxa" w:w="120"/>
              <w:left w:type="dxa" w:w="180"/>
              <w:bottom w:type="dxa" w:w="120"/>
              <w:right w:type="dxa" w:w="180"/>
            </w:tcMar>
          </w:tcPr>
          <w:p>
            <w:pPr>
              <w:spacing w:after="0"/>
            </w:pPr>
            <w:r>
              <w:rPr>
                <w:rFonts w:ascii="Arial" w:cs="Arial" w:eastAsia="Arial" w:hAnsi="Arial"/>
                <w:color w:val="111827"/>
                <w:sz w:val="20"/>
                <w:szCs w:val="20"/>
              </w:rPr>
              <w:t xml:space="preserve">This document is a self-contained study guide designed for readers who are new to nuclear material accounting. No prior knowledge of nuclear physics or safeguards is required. The guide walks through every formula implemented in the MUF Calculator step-by-step, with plain-language explanations, worked examples, and references to the authoritative IAEA standards from which each equation is drawn.</w:t>
            </w:r>
          </w:p>
        </w:tc>
      </w:tr>
    </w:tbl>
    <w:p>
      <w:pPr>
        <w:spacing w:after="200"/>
      </w:pPr>
      <w:r>
        <w:t xml:space="preserve"/>
      </w:r>
    </w:p>
    <w:p>
      <w:pPr>
        <w:spacing w:after="60"/>
        <w:jc w:val="center"/>
      </w:pPr>
      <w:r>
        <w:rPr>
          <w:rFonts w:ascii="Arial" w:cs="Arial" w:eastAsia="Arial" w:hAnsi="Arial"/>
          <w:b/>
          <w:bCs/>
          <w:color w:val="5DA832"/>
          <w:sz w:val="20"/>
          <w:szCs w:val="20"/>
        </w:rPr>
        <w:t xml:space="preserve">Tomsk Polytechnic University  |  Institute of Physics &amp; Technology</w:t>
      </w:r>
    </w:p>
    <w:p>
      <w:pPr>
        <w:spacing w:after="60"/>
        <w:jc w:val="center"/>
      </w:pPr>
      <w:r>
        <w:rPr>
          <w:rFonts w:ascii="Arial" w:cs="Arial" w:eastAsia="Arial" w:hAnsi="Arial"/>
          <w:color w:val="6B7280"/>
          <w:sz w:val="20"/>
          <w:szCs w:val="20"/>
        </w:rPr>
        <w:t xml:space="preserve">IAEA Safeguards Module  |  Academic Year 2025–2026</w:t>
      </w:r>
    </w:p>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1: What Is Nuclear Material Accounting?</w:t>
      </w:r>
    </w:p>
    <w:p>
      <w:pPr>
        <w:spacing w:after="120"/>
        <w:jc w:val="both"/>
      </w:pPr>
      <w:r>
        <w:rPr>
          <w:rFonts w:ascii="Arial" w:cs="Arial" w:eastAsia="Arial" w:hAnsi="Arial"/>
          <w:i w:val="false"/>
          <w:iCs w:val="false"/>
          <w:color w:val="111827"/>
          <w:sz w:val="22"/>
          <w:szCs w:val="22"/>
        </w:rPr>
        <w:t xml:space="preserve">Nuclear Material Accounting (NMA) is the formal system through which nuclear facilities track every kilogram of nuclear material — uranium, plutonium, thorium — from the moment it arrives at a facility to the moment it leaves or is transformed. It is the cornerstone of the IAEA safeguards regime, which aims to ensure that nuclear material is not diverted from peaceful purposes.</w:t>
      </w:r>
    </w:p>
    <w:p>
      <w:pPr>
        <w:spacing w:after="100"/>
      </w:pPr>
      <w:r>
        <w:t xml:space="preserve"/>
      </w:r>
    </w:p>
    <w:p>
      <w:pPr>
        <w:spacing w:after="120"/>
        <w:jc w:val="both"/>
      </w:pPr>
      <w:r>
        <w:rPr>
          <w:rFonts w:ascii="Arial" w:cs="Arial" w:eastAsia="Arial" w:hAnsi="Arial"/>
          <w:i w:val="false"/>
          <w:iCs w:val="false"/>
          <w:color w:val="111827"/>
          <w:sz w:val="22"/>
          <w:szCs w:val="22"/>
        </w:rPr>
        <w:t xml:space="preserve">The IAEA's legal mandate for NMA comes from INFCIRC/153, the standard agreement signed between the IAEA and member states. Under this agreement, operators must report material flows to the IAEA at the end of each Material Balance Period (MBP) — typically every three months for a processing facility.</w:t>
      </w:r>
    </w:p>
    <w:p>
      <w:pPr>
        <w:spacing w:after="100"/>
      </w:pPr>
      <w:r>
        <w:t xml:space="preserve"/>
      </w:r>
    </w:p>
    <w:p>
      <w:pPr>
        <w:pStyle w:val="Heading3"/>
        <w:spacing w:before="200" w:after="80"/>
      </w:pPr>
      <w:r>
        <w:rPr>
          <w:rFonts w:ascii="Arial" w:cs="Arial" w:eastAsia="Arial" w:hAnsi="Arial"/>
          <w:b/>
          <w:bCs/>
          <w:color w:val="374151"/>
          <w:sz w:val="22"/>
          <w:szCs w:val="22"/>
        </w:rPr>
        <w:t xml:space="preserve">Why Does It Matter?</w:t>
      </w:r>
    </w:p>
    <w:p>
      <w:pPr>
        <w:spacing w:after="120"/>
        <w:jc w:val="both"/>
      </w:pPr>
      <w:r>
        <w:rPr>
          <w:rFonts w:ascii="Arial" w:cs="Arial" w:eastAsia="Arial" w:hAnsi="Arial"/>
          <w:i w:val="false"/>
          <w:iCs w:val="false"/>
          <w:color w:val="111827"/>
          <w:sz w:val="22"/>
          <w:szCs w:val="22"/>
        </w:rPr>
        <w:t xml:space="preserve">A single Significant Quantity (SQ) of plutonium — just 8 kg — is sufficient for a nuclear explosive device. NMA is therefore not merely administrative bookkeeping; it is a technical barrier against nuclear proliferation.</w:t>
      </w:r>
    </w:p>
    <w:p>
      <w:pPr>
        <w:spacing w:after="100"/>
      </w:pPr>
      <w:r>
        <w:t xml:space="preserve"/>
      </w:r>
    </w:p>
    <w:p>
      <w:pPr>
        <w:pStyle w:val="Heading3"/>
        <w:spacing w:before="200" w:after="80"/>
      </w:pPr>
      <w:r>
        <w:rPr>
          <w:rFonts w:ascii="Arial" w:cs="Arial" w:eastAsia="Arial" w:hAnsi="Arial"/>
          <w:b/>
          <w:bCs/>
          <w:color w:val="374151"/>
          <w:sz w:val="22"/>
          <w:szCs w:val="22"/>
        </w:rPr>
        <w:t xml:space="preserve">Learning Objectives for This Module</w:t>
      </w:r>
    </w:p>
    <w:p>
      <w:pPr>
        <w:pStyle w:val="ListParagraph"/>
        <w:numPr>
          <w:ilvl w:val="0"/>
          <w:numId w:val="2"/>
        </w:numPr>
        <w:spacing w:after="80"/>
      </w:pPr>
      <w:r>
        <w:rPr>
          <w:rFonts w:ascii="Arial" w:cs="Arial" w:eastAsia="Arial" w:hAnsi="Arial"/>
          <w:color w:val="111827"/>
          <w:sz w:val="22"/>
          <w:szCs w:val="22"/>
        </w:rPr>
        <w:t xml:space="preserve">Understand the purpose and scope of IAEA nuclear material accounting.</w:t>
      </w:r>
    </w:p>
    <w:p>
      <w:pPr>
        <w:pStyle w:val="ListParagraph"/>
        <w:numPr>
          <w:ilvl w:val="0"/>
          <w:numId w:val="2"/>
        </w:numPr>
        <w:spacing w:after="80"/>
      </w:pPr>
      <w:r>
        <w:rPr>
          <w:rFonts w:ascii="Arial" w:cs="Arial" w:eastAsia="Arial" w:hAnsi="Arial"/>
          <w:color w:val="111827"/>
          <w:sz w:val="22"/>
          <w:szCs w:val="22"/>
        </w:rPr>
        <w:t xml:space="preserve">Identify the key material measurement points (KMPs) in a nuclear facility.</w:t>
      </w:r>
    </w:p>
    <w:p>
      <w:pPr>
        <w:pStyle w:val="ListParagraph"/>
        <w:numPr>
          <w:ilvl w:val="0"/>
          <w:numId w:val="2"/>
        </w:numPr>
        <w:spacing w:after="80"/>
      </w:pPr>
      <w:r>
        <w:rPr>
          <w:rFonts w:ascii="Arial" w:cs="Arial" w:eastAsia="Arial" w:hAnsi="Arial"/>
          <w:color w:val="111827"/>
          <w:sz w:val="22"/>
          <w:szCs w:val="22"/>
        </w:rPr>
        <w:t xml:space="preserve">Distinguish between book inventory and physical inventory.</w:t>
      </w:r>
    </w:p>
    <w:p>
      <w:pPr>
        <w:pStyle w:val="ListParagraph"/>
        <w:numPr>
          <w:ilvl w:val="0"/>
          <w:numId w:val="2"/>
        </w:numPr>
        <w:spacing w:after="80"/>
      </w:pPr>
      <w:r>
        <w:rPr>
          <w:rFonts w:ascii="Arial" w:cs="Arial" w:eastAsia="Arial" w:hAnsi="Arial"/>
          <w:color w:val="111827"/>
          <w:sz w:val="22"/>
          <w:szCs w:val="22"/>
        </w:rPr>
        <w:t xml:space="preserve">Recognise the roles of the operator, State, and IAEA in safeguards reporting.</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D97706" w:sz="2"/>
              <w:left w:val="single" w:color="D97706" w:sz="12"/>
              <w:bottom w:val="single" w:color="D97706" w:sz="2"/>
              <w:right w:val="single" w:color="D97706" w:sz="2"/>
            </w:tcBorders>
            <w:shd w:fill="FFFBEB" w:val="clear"/>
            <w:tcMar>
              <w:top w:type="dxa" w:w="120"/>
              <w:left w:type="dxa" w:w="180"/>
              <w:bottom w:type="dxa" w:w="120"/>
              <w:right w:type="dxa" w:w="180"/>
            </w:tcMar>
          </w:tcPr>
          <w:p>
            <w:pPr>
              <w:spacing w:after="0"/>
            </w:pPr>
            <w:r>
              <w:rPr>
                <w:rFonts w:ascii="Arial" w:cs="Arial" w:eastAsia="Arial" w:hAnsi="Arial"/>
                <w:color w:val="111827"/>
                <w:sz w:val="20"/>
                <w:szCs w:val="20"/>
              </w:rPr>
              <w:t xml:space="preserve">Reference: IAEA INFCIRC/153 (Corrected), 1972 — the foundational legal framework for nuclear safeguards agreements. All formulas in this guide are derived from, or consistent with, this document and the IAEA Safeguards Glossary 2022.</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2: The Material Balance — Core Concepts</w:t>
      </w:r>
    </w:p>
    <w:p>
      <w:pPr>
        <w:pStyle w:val="Heading2"/>
        <w:spacing w:before="280" w:after="120"/>
      </w:pPr>
      <w:r>
        <w:rPr>
          <w:rFonts w:ascii="Arial" w:cs="Arial" w:eastAsia="Arial" w:hAnsi="Arial"/>
          <w:b/>
          <w:bCs/>
          <w:color w:val="1A3A5C"/>
          <w:sz w:val="26"/>
          <w:szCs w:val="26"/>
        </w:rPr>
        <w:t xml:space="preserve">2.1  The Material Balance Period (MBP)</w:t>
      </w:r>
    </w:p>
    <w:p>
      <w:pPr>
        <w:spacing w:after="120"/>
        <w:jc w:val="both"/>
      </w:pPr>
      <w:r>
        <w:rPr>
          <w:rFonts w:ascii="Arial" w:cs="Arial" w:eastAsia="Arial" w:hAnsi="Arial"/>
          <w:i w:val="false"/>
          <w:iCs w:val="false"/>
          <w:color w:val="111827"/>
          <w:sz w:val="22"/>
          <w:szCs w:val="22"/>
        </w:rPr>
        <w:t xml:space="preserve">A Material Balance Period (MBP) is a defined time interval during which a nuclear facility tracks all nuclear material flows. At the start of the period, a Physical Inventory is taken. At the end, another Physical Inventory is taken. The difference between what the accounting books predict and what was physically found is the subject of all NMA formulas.</w:t>
      </w:r>
    </w:p>
    <w:p>
      <w:pPr>
        <w:spacing w:after="100"/>
      </w:pPr>
      <w:r>
        <w:t xml:space="preserve"/>
      </w:r>
    </w:p>
    <w:p>
      <w:pPr>
        <w:pStyle w:val="Heading2"/>
        <w:spacing w:before="280" w:after="120"/>
      </w:pPr>
      <w:r>
        <w:rPr>
          <w:rFonts w:ascii="Arial" w:cs="Arial" w:eastAsia="Arial" w:hAnsi="Arial"/>
          <w:b/>
          <w:bCs/>
          <w:color w:val="1A3A5C"/>
          <w:sz w:val="26"/>
          <w:szCs w:val="26"/>
        </w:rPr>
        <w:t xml:space="preserve">2.2  Key Measurement Points (KMPs)</w:t>
      </w:r>
    </w:p>
    <w:p>
      <w:pPr>
        <w:spacing w:after="120"/>
        <w:jc w:val="both"/>
      </w:pPr>
      <w:r>
        <w:rPr>
          <w:rFonts w:ascii="Arial" w:cs="Arial" w:eastAsia="Arial" w:hAnsi="Arial"/>
          <w:i w:val="false"/>
          <w:iCs w:val="false"/>
          <w:color w:val="111827"/>
          <w:sz w:val="22"/>
          <w:szCs w:val="22"/>
        </w:rPr>
        <w:t xml:space="preserve">Key Measurement Points are locations in a facility where nuclear material is measured for accounting purposes. Typical KMPs include:</w:t>
      </w:r>
    </w:p>
    <w:p>
      <w:pPr>
        <w:pStyle w:val="ListParagraph"/>
        <w:numPr>
          <w:ilvl w:val="0"/>
          <w:numId w:val="2"/>
        </w:numPr>
        <w:spacing w:after="80"/>
      </w:pPr>
      <w:r>
        <w:rPr>
          <w:rFonts w:ascii="Arial" w:cs="Arial" w:eastAsia="Arial" w:hAnsi="Arial"/>
          <w:color w:val="111827"/>
          <w:sz w:val="22"/>
          <w:szCs w:val="22"/>
        </w:rPr>
        <w:t xml:space="preserve">KMP-A: Receiving point (material entering the facility)</w:t>
      </w:r>
    </w:p>
    <w:p>
      <w:pPr>
        <w:pStyle w:val="ListParagraph"/>
        <w:numPr>
          <w:ilvl w:val="0"/>
          <w:numId w:val="2"/>
        </w:numPr>
        <w:spacing w:after="80"/>
      </w:pPr>
      <w:r>
        <w:rPr>
          <w:rFonts w:ascii="Arial" w:cs="Arial" w:eastAsia="Arial" w:hAnsi="Arial"/>
          <w:color w:val="111827"/>
          <w:sz w:val="22"/>
          <w:szCs w:val="22"/>
        </w:rPr>
        <w:t xml:space="preserve">KMP-B: Transfer point (material leaving the facility)</w:t>
      </w:r>
    </w:p>
    <w:p>
      <w:pPr>
        <w:pStyle w:val="ListParagraph"/>
        <w:numPr>
          <w:ilvl w:val="0"/>
          <w:numId w:val="2"/>
        </w:numPr>
        <w:spacing w:after="80"/>
      </w:pPr>
      <w:r>
        <w:rPr>
          <w:rFonts w:ascii="Arial" w:cs="Arial" w:eastAsia="Arial" w:hAnsi="Arial"/>
          <w:color w:val="111827"/>
          <w:sz w:val="22"/>
          <w:szCs w:val="22"/>
        </w:rPr>
        <w:t xml:space="preserve">KMP-C: In-process measurement point</w:t>
      </w:r>
    </w:p>
    <w:p>
      <w:pPr>
        <w:pStyle w:val="ListParagraph"/>
        <w:numPr>
          <w:ilvl w:val="0"/>
          <w:numId w:val="2"/>
        </w:numPr>
        <w:spacing w:after="80"/>
      </w:pPr>
      <w:r>
        <w:rPr>
          <w:rFonts w:ascii="Arial" w:cs="Arial" w:eastAsia="Arial" w:hAnsi="Arial"/>
          <w:color w:val="111827"/>
          <w:sz w:val="22"/>
          <w:szCs w:val="22"/>
        </w:rPr>
        <w:t xml:space="preserve">KMP-MBP: Physical inventory point</w:t>
      </w:r>
    </w:p>
    <w:p>
      <w:pPr>
        <w:spacing w:after="100"/>
      </w:pPr>
      <w:r>
        <w:t xml:space="preserve"/>
      </w:r>
    </w:p>
    <w:p>
      <w:pPr>
        <w:pStyle w:val="Heading2"/>
        <w:spacing w:before="280" w:after="120"/>
      </w:pPr>
      <w:r>
        <w:rPr>
          <w:rFonts w:ascii="Arial" w:cs="Arial" w:eastAsia="Arial" w:hAnsi="Arial"/>
          <w:b/>
          <w:bCs/>
          <w:color w:val="1A3A5C"/>
          <w:sz w:val="26"/>
          <w:szCs w:val="26"/>
        </w:rPr>
        <w:t xml:space="preserve">2.3  The Five Quantities Every Student Must Know</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BI</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Beginning Inventory — the measured physical inventory at the START of the MBP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EI</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Ending Inventory — the measured physical inventory at the END of the MBP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 Inputs</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Sum of all nuclear material received or produced during the MBP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 Outputs</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Sum of all nuclear material shipped, consumed, or discarded during the MBP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IB</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Book Inventory — what accounting records predict the inventory should be at MBP end (kg)</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3: Book Inventory Formula</w:t>
      </w:r>
    </w:p>
    <w:p>
      <w:pPr>
        <w:pStyle w:val="Heading2"/>
        <w:spacing w:before="280" w:after="120"/>
      </w:pPr>
      <w:r>
        <w:rPr>
          <w:rFonts w:ascii="Arial" w:cs="Arial" w:eastAsia="Arial" w:hAnsi="Arial"/>
          <w:b/>
          <w:bCs/>
          <w:color w:val="1A3A5C"/>
          <w:sz w:val="26"/>
          <w:szCs w:val="26"/>
        </w:rPr>
        <w:t xml:space="preserve">3.1  The Equation</w:t>
      </w:r>
    </w:p>
    <w:p>
      <w:pPr>
        <w:spacing w:after="120"/>
        <w:jc w:val="both"/>
      </w:pPr>
      <w:r>
        <w:rPr>
          <w:rFonts w:ascii="Arial" w:cs="Arial" w:eastAsia="Arial" w:hAnsi="Arial"/>
          <w:i w:val="false"/>
          <w:iCs w:val="false"/>
          <w:color w:val="111827"/>
          <w:sz w:val="22"/>
          <w:szCs w:val="22"/>
        </w:rPr>
        <w:t xml:space="preserve">The Book Inventory (IB) is calculated from the accounting records alone — without physically measuring the material at the end of the period. It answers the question: "Based on what came in and what went out, how much should we have?"</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IB = BI + Σ Inputs − Σ Outputs</w:t>
            </w:r>
          </w:p>
          <w:p>
            <w:pPr>
              <w:spacing w:after="0"/>
              <w:jc w:val="center"/>
            </w:pPr>
            <w:r>
              <w:rPr>
                <w:rFonts w:ascii="Arial" w:cs="Arial" w:eastAsia="Arial" w:hAnsi="Arial"/>
                <w:i/>
                <w:iCs/>
                <w:color w:val="6B7280"/>
                <w:sz w:val="18"/>
                <w:szCs w:val="18"/>
              </w:rPr>
              <w:t xml:space="preserve">IAEA INFCIRC/153, Article 57(b)</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3.2  What Each Term Means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IB</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Book Inventory — the predicted end-of-period inventory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BI</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Beginning Inventory — physically measured at start of MBP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 Inputs</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Total nuclear material received during MBP, summed over all transfers in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 Outputs</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nuclear material transferred out or consumed during MBP (kg)</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3.3  Step-by-Step Worked Example</w:t>
      </w:r>
    </w:p>
    <w:p>
      <w:pPr>
        <w:spacing w:after="120"/>
        <w:jc w:val="both"/>
      </w:pPr>
      <w:r>
        <w:rPr>
          <w:rFonts w:ascii="Arial" w:cs="Arial" w:eastAsia="Arial" w:hAnsi="Arial"/>
          <w:i w:val="false"/>
          <w:iCs w:val="false"/>
          <w:color w:val="111827"/>
          <w:sz w:val="22"/>
          <w:szCs w:val="22"/>
        </w:rPr>
        <w:t xml:space="preserve">Suppose a uranium fuel fabrication plant starts the quarter with 450 kg of uranium (BI = 450 kg). During the quarter it receives two shipments of 200 kg and 150 kg (Σ Inputs = 350 kg) and ships out one batch of 280 kg (Σ Outputs = 280 kg).</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0"/>
              <w:jc w:val="center"/>
            </w:pPr>
            <w:r>
              <w:rPr>
                <w:rFonts w:ascii="Courier New" w:cs="Courier New" w:eastAsia="Courier New" w:hAnsi="Courier New"/>
                <w:b/>
                <w:bCs/>
                <w:color w:val="1A3A5C"/>
                <w:sz w:val="26"/>
                <w:szCs w:val="26"/>
              </w:rPr>
              <w:t xml:space="preserve">IB = 450 + 350 − 280 = 520 kg</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The accounting books predict that 520 kg of uranium should be present at the end of the quarter.</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5DA832" w:sz="2"/>
              <w:left w:val="single" w:color="5DA832" w:sz="12"/>
              <w:bottom w:val="single" w:color="5DA832" w:sz="2"/>
              <w:right w:val="single" w:color="5DA832" w:sz="2"/>
            </w:tcBorders>
            <w:shd w:fill="F0FAF0" w:val="clear"/>
            <w:tcMar>
              <w:top w:type="dxa" w:w="120"/>
              <w:left w:type="dxa" w:w="180"/>
              <w:bottom w:type="dxa" w:w="120"/>
              <w:right w:type="dxa" w:w="180"/>
            </w:tcMar>
          </w:tcPr>
          <w:p>
            <w:pPr>
              <w:spacing w:after="0"/>
            </w:pPr>
            <w:r>
              <w:rPr>
                <w:rFonts w:ascii="Arial" w:cs="Arial" w:eastAsia="Arial" w:hAnsi="Arial"/>
                <w:color w:val="111827"/>
                <w:sz w:val="20"/>
                <w:szCs w:val="20"/>
              </w:rPr>
              <w:t xml:space="preserve">Practical note: In the MUF Calculator, BI, each input, and each output are entered on the Data Entry Wizard pages 2–4. The IB is then computed automatically. The formula above is implemented exactly in MUFEngine::calculate() per the IAEA flowchart.</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4: MUF — Material Unaccounted For</w:t>
      </w:r>
    </w:p>
    <w:p>
      <w:pPr>
        <w:pStyle w:val="Heading2"/>
        <w:spacing w:before="280" w:after="120"/>
      </w:pPr>
      <w:r>
        <w:rPr>
          <w:rFonts w:ascii="Arial" w:cs="Arial" w:eastAsia="Arial" w:hAnsi="Arial"/>
          <w:b/>
          <w:bCs/>
          <w:color w:val="1A3A5C"/>
          <w:sz w:val="26"/>
          <w:szCs w:val="26"/>
        </w:rPr>
        <w:t xml:space="preserve">4.1  Why MUF Exists</w:t>
      </w:r>
    </w:p>
    <w:p>
      <w:pPr>
        <w:spacing w:after="120"/>
        <w:jc w:val="both"/>
      </w:pPr>
      <w:r>
        <w:rPr>
          <w:rFonts w:ascii="Arial" w:cs="Arial" w:eastAsia="Arial" w:hAnsi="Arial"/>
          <w:i w:val="false"/>
          <w:iCs w:val="false"/>
          <w:color w:val="111827"/>
          <w:sz w:val="22"/>
          <w:szCs w:val="22"/>
        </w:rPr>
        <w:t xml:space="preserve">No measurement is perfect. Even with the best instruments, there is always some gap between what the books say and what the physical count finds. This gap is the MUF. A small MUF is statistically normal; a large MUF is an alarm signal that must be investigated.</w:t>
      </w:r>
    </w:p>
    <w:p>
      <w:pPr>
        <w:spacing w:after="100"/>
      </w:pPr>
      <w:r>
        <w:t xml:space="preserve"/>
      </w:r>
    </w:p>
    <w:p>
      <w:pPr>
        <w:pStyle w:val="Heading2"/>
        <w:spacing w:before="280" w:after="120"/>
      </w:pPr>
      <w:r>
        <w:rPr>
          <w:rFonts w:ascii="Arial" w:cs="Arial" w:eastAsia="Arial" w:hAnsi="Arial"/>
          <w:b/>
          <w:bCs/>
          <w:color w:val="1A3A5C"/>
          <w:sz w:val="26"/>
          <w:szCs w:val="26"/>
        </w:rPr>
        <w:t xml:space="preserve">4.2  The MUF Formula</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MUF = IB − EI</w:t>
            </w:r>
          </w:p>
          <w:p>
            <w:pPr>
              <w:spacing w:after="0"/>
              <w:jc w:val="center"/>
            </w:pPr>
            <w:r>
              <w:rPr>
                <w:rFonts w:ascii="Arial" w:cs="Arial" w:eastAsia="Arial" w:hAnsi="Arial"/>
                <w:i/>
                <w:iCs/>
                <w:color w:val="6B7280"/>
                <w:sz w:val="18"/>
                <w:szCs w:val="18"/>
              </w:rPr>
              <w:t xml:space="preserve">IAEA INFCIRC/153, Article 57(b); Safeguards Glossary §5.38</w:t>
            </w:r>
          </w:p>
        </w:tc>
      </w:tr>
    </w:tbl>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MUF</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Material Unaccounted For — the difference between book and physical inventory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IB</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Book Inventory — from Formula 1 above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EI</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Ending Inventory — physically measured at end of MBP (kg)</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4.3  Interpreting MUF Values</w:t>
      </w:r>
    </w:p>
    <w:p>
      <w:pPr>
        <w:spacing w:after="120"/>
        <w:jc w:val="both"/>
      </w:pPr>
      <w:r>
        <w:rPr>
          <w:rFonts w:ascii="Arial" w:cs="Arial" w:eastAsia="Arial" w:hAnsi="Arial"/>
          <w:i w:val="false"/>
          <w:iCs w:val="false"/>
          <w:color w:val="111827"/>
          <w:sz w:val="22"/>
          <w:szCs w:val="22"/>
        </w:rPr>
        <w:t xml:space="preserve">The sign and magnitude of MUF both carry meaning:</w:t>
      </w:r>
    </w:p>
    <w:p>
      <w:pPr>
        <w:pStyle w:val="ListParagraph"/>
        <w:numPr>
          <w:ilvl w:val="0"/>
          <w:numId w:val="2"/>
        </w:numPr>
        <w:spacing w:after="80"/>
      </w:pPr>
      <w:r>
        <w:rPr>
          <w:rFonts w:ascii="Arial" w:cs="Arial" w:eastAsia="Arial" w:hAnsi="Arial"/>
          <w:color w:val="111827"/>
          <w:sz w:val="22"/>
          <w:szCs w:val="22"/>
        </w:rPr>
        <w:t xml:space="preserve">MUF &gt; 0: The books predict more material than was physically found. Material may have been lost, measured incorrectly, or — in the worst case — diverted.</w:t>
      </w:r>
    </w:p>
    <w:p>
      <w:pPr>
        <w:pStyle w:val="ListParagraph"/>
        <w:numPr>
          <w:ilvl w:val="0"/>
          <w:numId w:val="2"/>
        </w:numPr>
        <w:spacing w:after="80"/>
      </w:pPr>
      <w:r>
        <w:rPr>
          <w:rFonts w:ascii="Arial" w:cs="Arial" w:eastAsia="Arial" w:hAnsi="Arial"/>
          <w:color w:val="111827"/>
          <w:sz w:val="22"/>
          <w:szCs w:val="22"/>
        </w:rPr>
        <w:t xml:space="preserve">MUF &lt; 0: More material was found than the books predict. This may indicate undeclared inputs, measurement bias, or incorrect transfer records.</w:t>
      </w:r>
    </w:p>
    <w:p>
      <w:pPr>
        <w:pStyle w:val="ListParagraph"/>
        <w:numPr>
          <w:ilvl w:val="0"/>
          <w:numId w:val="2"/>
        </w:numPr>
        <w:spacing w:after="80"/>
      </w:pPr>
      <w:r>
        <w:rPr>
          <w:rFonts w:ascii="Arial" w:cs="Arial" w:eastAsia="Arial" w:hAnsi="Arial"/>
          <w:color w:val="111827"/>
          <w:sz w:val="22"/>
          <w:szCs w:val="22"/>
        </w:rPr>
        <w:t xml:space="preserve">MUF ≈ 0: Normal operation. Small fluctuations around zero are expected from measurement uncertainty.</w:t>
      </w:r>
    </w:p>
    <w:p>
      <w:pPr>
        <w:spacing w:after="100"/>
      </w:pPr>
      <w:r>
        <w:t xml:space="preserve"/>
      </w:r>
    </w:p>
    <w:p>
      <w:pPr>
        <w:pStyle w:val="Heading2"/>
        <w:spacing w:before="280" w:after="120"/>
      </w:pPr>
      <w:r>
        <w:rPr>
          <w:rFonts w:ascii="Arial" w:cs="Arial" w:eastAsia="Arial" w:hAnsi="Arial"/>
          <w:b/>
          <w:bCs/>
          <w:color w:val="1A3A5C"/>
          <w:sz w:val="26"/>
          <w:szCs w:val="26"/>
        </w:rPr>
        <w:t xml:space="preserve">4.4  Worked Example (continuing from Module 3)</w:t>
      </w:r>
    </w:p>
    <w:p>
      <w:pPr>
        <w:spacing w:after="120"/>
        <w:jc w:val="both"/>
      </w:pPr>
      <w:r>
        <w:rPr>
          <w:rFonts w:ascii="Arial" w:cs="Arial" w:eastAsia="Arial" w:hAnsi="Arial"/>
          <w:i w:val="false"/>
          <w:iCs w:val="false"/>
          <w:color w:val="111827"/>
          <w:sz w:val="22"/>
          <w:szCs w:val="22"/>
        </w:rPr>
        <w:t xml:space="preserve">Continuing the uranium example: At the end of the quarter, a physical inventory finds 515 kg of uranium (EI = 515 kg).</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0"/>
              <w:jc w:val="center"/>
            </w:pPr>
            <w:r>
              <w:rPr>
                <w:rFonts w:ascii="Courier New" w:cs="Courier New" w:eastAsia="Courier New" w:hAnsi="Courier New"/>
                <w:b/>
                <w:bCs/>
                <w:color w:val="1A3A5C"/>
                <w:sz w:val="26"/>
                <w:szCs w:val="26"/>
              </w:rPr>
              <w:t xml:space="preserve">MUF = 520 − 515 = +5 kg</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The facility has 5 kg unaccounted for. Whether this is alarming depends on the measurement uncertainty — which is calculated in Module 5.</w:t>
      </w:r>
    </w:p>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5: Uncertainty Propagation — σ(MUF)</w:t>
      </w:r>
    </w:p>
    <w:p>
      <w:pPr>
        <w:pStyle w:val="Heading2"/>
        <w:spacing w:before="280" w:after="120"/>
      </w:pPr>
      <w:r>
        <w:rPr>
          <w:rFonts w:ascii="Arial" w:cs="Arial" w:eastAsia="Arial" w:hAnsi="Arial"/>
          <w:b/>
          <w:bCs/>
          <w:color w:val="1A3A5C"/>
          <w:sz w:val="26"/>
          <w:szCs w:val="26"/>
        </w:rPr>
        <w:t xml:space="preserve">5.1  Why Uncertainty Matters</w:t>
      </w:r>
    </w:p>
    <w:p>
      <w:pPr>
        <w:spacing w:after="120"/>
        <w:jc w:val="both"/>
      </w:pPr>
      <w:r>
        <w:rPr>
          <w:rFonts w:ascii="Arial" w:cs="Arial" w:eastAsia="Arial" w:hAnsi="Arial"/>
          <w:i w:val="false"/>
          <w:iCs w:val="false"/>
          <w:color w:val="111827"/>
          <w:sz w:val="22"/>
          <w:szCs w:val="22"/>
        </w:rPr>
        <w:t xml:space="preserve">Every measurement has an error. A balance that reads "515 kg" might actually contain anywhere from 513 to 517 kg depending on the accuracy of the instrument. NMA must quantify this uncertainty so that the significance of the MUF can be judged statistically.</w:t>
      </w:r>
    </w:p>
    <w:p>
      <w:pPr>
        <w:spacing w:after="120"/>
        <w:jc w:val="both"/>
      </w:pPr>
      <w:r>
        <w:rPr>
          <w:rFonts w:ascii="Arial" w:cs="Arial" w:eastAsia="Arial" w:hAnsi="Arial"/>
          <w:i w:val="false"/>
          <w:iCs w:val="false"/>
          <w:color w:val="111827"/>
          <w:sz w:val="22"/>
          <w:szCs w:val="22"/>
        </w:rPr>
        <w:t xml:space="preserve">The standard uncertainty of the MUF — written σ(MUF) or sigma-MUF — is the combined effect of all individual measurement uncertainties across the entire material balance.</w:t>
      </w:r>
    </w:p>
    <w:p>
      <w:pPr>
        <w:spacing w:after="100"/>
      </w:pPr>
      <w:r>
        <w:t xml:space="preserve"/>
      </w:r>
    </w:p>
    <w:p>
      <w:pPr>
        <w:pStyle w:val="Heading2"/>
        <w:spacing w:before="280" w:after="120"/>
      </w:pPr>
      <w:r>
        <w:rPr>
          <w:rFonts w:ascii="Arial" w:cs="Arial" w:eastAsia="Arial" w:hAnsi="Arial"/>
          <w:b/>
          <w:bCs/>
          <w:color w:val="1A3A5C"/>
          <w:sz w:val="26"/>
          <w:szCs w:val="26"/>
        </w:rPr>
        <w:t xml:space="preserve">5.2  Individual Item Variance</w:t>
      </w:r>
    </w:p>
    <w:p>
      <w:pPr>
        <w:spacing w:after="120"/>
        <w:jc w:val="both"/>
      </w:pPr>
      <w:r>
        <w:rPr>
          <w:rFonts w:ascii="Arial" w:cs="Arial" w:eastAsia="Arial" w:hAnsi="Arial"/>
          <w:i w:val="false"/>
          <w:iCs w:val="false"/>
          <w:color w:val="111827"/>
          <w:sz w:val="22"/>
          <w:szCs w:val="22"/>
        </w:rPr>
        <w:t xml:space="preserve">For each individual nuclear material item (BI, each input, each output), the variance is: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σ²(item) = (σ_abs)²   [for absolute uncertainty]</w:t>
            </w:r>
          </w:p>
          <w:p>
            <w:pPr>
              <w:spacing w:after="0"/>
              <w:jc w:val="center"/>
            </w:pPr>
            <w:r>
              <w:rPr>
                <w:rFonts w:ascii="Arial" w:cs="Arial" w:eastAsia="Arial" w:hAnsi="Arial"/>
                <w:i/>
                <w:iCs/>
                <w:color w:val="6B7280"/>
                <w:sz w:val="18"/>
                <w:szCs w:val="18"/>
              </w:rPr>
              <w:t xml:space="preserve">IAEA Nuclear Material Accounting Handbook (2008), Section 3.4</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Where σ_abs is the 1σ absolute uncertainty for that item, expressed in kilograms. For example, if a 200 kg shipment has a measurement uncertainty of ±2 kg (i.e. 1%), then σ = 2 kg and σ² = 4 kg².</w:t>
      </w:r>
    </w:p>
    <w:p>
      <w:pPr>
        <w:spacing w:after="100"/>
      </w:pPr>
      <w:r>
        <w:t xml:space="preserve"/>
      </w:r>
    </w:p>
    <w:p>
      <w:pPr>
        <w:pStyle w:val="Heading2"/>
        <w:spacing w:before="280" w:after="120"/>
      </w:pPr>
      <w:r>
        <w:rPr>
          <w:rFonts w:ascii="Arial" w:cs="Arial" w:eastAsia="Arial" w:hAnsi="Arial"/>
          <w:b/>
          <w:bCs/>
          <w:color w:val="1A3A5C"/>
          <w:sz w:val="26"/>
          <w:szCs w:val="26"/>
        </w:rPr>
        <w:t xml:space="preserve">5.3  The Variance of MUF Formula</w:t>
      </w:r>
    </w:p>
    <w:p>
      <w:pPr>
        <w:spacing w:after="120"/>
        <w:jc w:val="both"/>
      </w:pPr>
      <w:r>
        <w:rPr>
          <w:rFonts w:ascii="Arial" w:cs="Arial" w:eastAsia="Arial" w:hAnsi="Arial"/>
          <w:i w:val="false"/>
          <w:iCs w:val="false"/>
          <w:color w:val="111827"/>
          <w:sz w:val="22"/>
          <w:szCs w:val="22"/>
        </w:rPr>
        <w:t xml:space="preserve">Because the MUF formula involves sums and differences, the variances of all individual items add together (they do not cancel). This is a fundamental rule of error propagation: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σ²(MUF) = σ²(BI) + σ²(Σ Inputs) + σ²(Σ Outputs)</w:t>
            </w:r>
          </w:p>
          <w:p>
            <w:pPr>
              <w:spacing w:after="0"/>
              <w:jc w:val="center"/>
            </w:pPr>
            <w:r>
              <w:rPr>
                <w:rFonts w:ascii="Arial" w:cs="Arial" w:eastAsia="Arial" w:hAnsi="Arial"/>
                <w:i/>
                <w:iCs/>
                <w:color w:val="6B7280"/>
                <w:sz w:val="18"/>
                <w:szCs w:val="18"/>
              </w:rPr>
              <w:t xml:space="preserve">IAEA Safeguards Glossary 2022, §10.11</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Where:</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σ²(MUF)</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Total variance of the MUF (kg²)</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σ²(BI)</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Variance of the Beginning Inventory measurement</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σ²(Σ Inputs)</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Sum of variances over all input items: Σᵢ σ²(inputᵢ)</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σ²(Σ Outputs)</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Sum of variances over all output items: Σⱼ σ²(outputⱼ)</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5.4  The Standard Uncertainty σ(MUF)</w:t>
      </w:r>
    </w:p>
    <w:p>
      <w:pPr>
        <w:spacing w:after="120"/>
        <w:jc w:val="both"/>
      </w:pPr>
      <w:r>
        <w:rPr>
          <w:rFonts w:ascii="Arial" w:cs="Arial" w:eastAsia="Arial" w:hAnsi="Arial"/>
          <w:i w:val="false"/>
          <w:iCs w:val="false"/>
          <w:color w:val="111827"/>
          <w:sz w:val="22"/>
          <w:szCs w:val="22"/>
        </w:rPr>
        <w:t xml:space="preserve">Taking the square root of the variance gives the standard uncertainty:</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σ(MUF) = √[ σ²(BI) + σ²(Σ Inputs) + σ²(Σ Outputs) ]</w:t>
            </w:r>
          </w:p>
          <w:p>
            <w:pPr>
              <w:spacing w:after="0"/>
              <w:jc w:val="center"/>
            </w:pPr>
            <w:r>
              <w:rPr>
                <w:rFonts w:ascii="Arial" w:cs="Arial" w:eastAsia="Arial" w:hAnsi="Arial"/>
                <w:i/>
                <w:iCs/>
                <w:color w:val="6B7280"/>
                <w:sz w:val="18"/>
                <w:szCs w:val="18"/>
              </w:rPr>
              <w:t xml:space="preserve">IAEA Safeguards Glossary 2022, §10.11; INFCIRC/153</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5.5  Worked Example</w:t>
      </w:r>
    </w:p>
    <w:p>
      <w:pPr>
        <w:spacing w:after="120"/>
        <w:jc w:val="both"/>
      </w:pPr>
      <w:r>
        <w:rPr>
          <w:rFonts w:ascii="Arial" w:cs="Arial" w:eastAsia="Arial" w:hAnsi="Arial"/>
          <w:i w:val="false"/>
          <w:iCs w:val="false"/>
          <w:color w:val="111827"/>
          <w:sz w:val="22"/>
          <w:szCs w:val="22"/>
        </w:rPr>
        <w:t xml:space="preserve">Continuing the example: suppose the uncertainties are σ(BI) = 3 kg, σ(Inputs) = 2 kg (combined), σ(Outputs) = 1.5 kg.</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0"/>
              <w:jc w:val="center"/>
            </w:pPr>
            <w:r>
              <w:rPr>
                <w:rFonts w:ascii="Courier New" w:cs="Courier New" w:eastAsia="Courier New" w:hAnsi="Courier New"/>
                <w:b/>
                <w:bCs/>
                <w:color w:val="1A3A5C"/>
                <w:sz w:val="26"/>
                <w:szCs w:val="26"/>
              </w:rPr>
              <w:t xml:space="preserve">σ²(MUF) = 3² + 2² + 1.5² = 9 + 4 + 2.25 = 15.25 kg²</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0"/>
              <w:jc w:val="center"/>
            </w:pPr>
            <w:r>
              <w:rPr>
                <w:rFonts w:ascii="Courier New" w:cs="Courier New" w:eastAsia="Courier New" w:hAnsi="Courier New"/>
                <w:b/>
                <w:bCs/>
                <w:color w:val="1A3A5C"/>
                <w:sz w:val="26"/>
                <w:szCs w:val="26"/>
              </w:rPr>
              <w:t xml:space="preserve">σ(MUF) = √15.25 ≈ 3.91 kg</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So the MUF of +5 kg has an uncertainty of ±3.91 kg. This means the ratio |MUF|/σ(MUF) = 5/3.91 ≈ 1.28. At this level (&lt; 2σ), no alarm is triggered under IAEA thresholds.</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5DA832" w:sz="2"/>
              <w:left w:val="single" w:color="5DA832" w:sz="12"/>
              <w:bottom w:val="single" w:color="5DA832" w:sz="2"/>
              <w:right w:val="single" w:color="5DA832" w:sz="2"/>
            </w:tcBorders>
            <w:shd w:fill="F0FAF0" w:val="clear"/>
            <w:tcMar>
              <w:top w:type="dxa" w:w="120"/>
              <w:left w:type="dxa" w:w="180"/>
              <w:bottom w:type="dxa" w:w="120"/>
              <w:right w:type="dxa" w:w="180"/>
            </w:tcMar>
          </w:tcPr>
          <w:p>
            <w:pPr>
              <w:spacing w:after="0"/>
            </w:pPr>
            <w:r>
              <w:rPr>
                <w:rFonts w:ascii="Arial" w:cs="Arial" w:eastAsia="Arial" w:hAnsi="Arial"/>
                <w:color w:val="111827"/>
                <w:sz w:val="20"/>
                <w:szCs w:val="20"/>
              </w:rPr>
              <w:t xml:space="preserve">Key insight: A MUF of 5 kg might be alarming in one facility and completely normal in another, depending on σ(MUF). This is why NMA always requires both the MUF value AND the uncertainty to interpret results.</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6: The Sigma Ratio — Statistical Significance Test</w:t>
      </w:r>
    </w:p>
    <w:p>
      <w:pPr>
        <w:pStyle w:val="Heading2"/>
        <w:spacing w:before="280" w:after="120"/>
      </w:pPr>
      <w:r>
        <w:rPr>
          <w:rFonts w:ascii="Arial" w:cs="Arial" w:eastAsia="Arial" w:hAnsi="Arial"/>
          <w:b/>
          <w:bCs/>
          <w:color w:val="1A3A5C"/>
          <w:sz w:val="26"/>
          <w:szCs w:val="26"/>
        </w:rPr>
        <w:t xml:space="preserve">6.1  The Test Statistic</w:t>
      </w:r>
    </w:p>
    <w:p>
      <w:pPr>
        <w:spacing w:after="120"/>
        <w:jc w:val="both"/>
      </w:pPr>
      <w:r>
        <w:rPr>
          <w:rFonts w:ascii="Arial" w:cs="Arial" w:eastAsia="Arial" w:hAnsi="Arial"/>
          <w:i w:val="false"/>
          <w:iCs w:val="false"/>
          <w:color w:val="111827"/>
          <w:sz w:val="22"/>
          <w:szCs w:val="22"/>
        </w:rPr>
        <w:t xml:space="preserve">The sigma ratio (also called the SITMUF or normalized MUF) tests whether the observed MUF is statistically distinguishable from random measurement error. It is analogous to a Z-score in statistics: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Ratio = |MUF| / σ(MUF)</w:t>
            </w:r>
          </w:p>
          <w:p>
            <w:pPr>
              <w:spacing w:after="0"/>
              <w:jc w:val="center"/>
            </w:pPr>
            <w:r>
              <w:rPr>
                <w:rFonts w:ascii="Arial" w:cs="Arial" w:eastAsia="Arial" w:hAnsi="Arial"/>
                <w:i/>
                <w:iCs/>
                <w:color w:val="6B7280"/>
                <w:sz w:val="18"/>
                <w:szCs w:val="18"/>
              </w:rPr>
              <w:t xml:space="preserve">IAEA Safeguards Glossary 2022, §10.27; Burr et al. (2013)</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6.2  Decision Thresholds</w:t>
      </w:r>
    </w:p>
    <w:p>
      <w:pPr>
        <w:spacing w:after="120"/>
        <w:jc w:val="both"/>
      </w:pPr>
      <w:r>
        <w:rPr>
          <w:rFonts w:ascii="Arial" w:cs="Arial" w:eastAsia="Arial" w:hAnsi="Arial"/>
          <w:i w:val="false"/>
          <w:iCs w:val="false"/>
          <w:color w:val="111827"/>
          <w:sz w:val="22"/>
          <w:szCs w:val="22"/>
        </w:rPr>
        <w:t xml:space="preserve">The MUF Calculator implements the following threshold logic, directly from IAEA guidance and the safeguards literature:</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2200"/>
        <w:gridCol w:w="44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Ratio &lt; 1σ</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Normal (OK)</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action. Routine accounting verified.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1σ ≤ Ratio &lt; 2σ</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ℹ Info</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Monitor next MBP. Statistical expectation (~32% chance with no diversion).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2σ ≤ Ratio &lt; 3σ</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Warning</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Review all transfer records. Schedule early inspection.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Ratio ≥ 3σ</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Critical</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Significant anomaly. Notify safeguards authority immediately. Initiate physical inventory verification.</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7: Uncertainty Contribution Analysis — Cᵢ</w:t>
      </w:r>
    </w:p>
    <w:p>
      <w:pPr>
        <w:pStyle w:val="Heading2"/>
        <w:spacing w:before="280" w:after="120"/>
      </w:pPr>
      <w:r>
        <w:rPr>
          <w:rFonts w:ascii="Arial" w:cs="Arial" w:eastAsia="Arial" w:hAnsi="Arial"/>
          <w:b/>
          <w:bCs/>
          <w:color w:val="1A3A5C"/>
          <w:sz w:val="26"/>
          <w:szCs w:val="26"/>
        </w:rPr>
        <w:t xml:space="preserve">7.1  Concept</w:t>
      </w:r>
    </w:p>
    <w:p>
      <w:pPr>
        <w:spacing w:after="120"/>
        <w:jc w:val="both"/>
      </w:pPr>
      <w:r>
        <w:rPr>
          <w:rFonts w:ascii="Arial" w:cs="Arial" w:eastAsia="Arial" w:hAnsi="Arial"/>
          <w:i w:val="false"/>
          <w:iCs w:val="false"/>
          <w:color w:val="111827"/>
          <w:sz w:val="22"/>
          <w:szCs w:val="22"/>
        </w:rPr>
        <w:t xml:space="preserve">Knowing the total σ(MUF) is useful, but knowing which measurement item contributes most to that uncertainty is even more useful. The Uncertainty Contribution Cᵢ for each item i tells us what percentage of σ²(MUF) comes from that item:</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Cᵢ = [ σ²(i) / σ²(MUF) ] × 100%</w:t>
            </w:r>
          </w:p>
          <w:p>
            <w:pPr>
              <w:spacing w:after="0"/>
              <w:jc w:val="center"/>
            </w:pPr>
            <w:r>
              <w:rPr>
                <w:rFonts w:ascii="Arial" w:cs="Arial" w:eastAsia="Arial" w:hAnsi="Arial"/>
                <w:i/>
                <w:iCs/>
                <w:color w:val="6B7280"/>
                <w:sz w:val="18"/>
                <w:szCs w:val="18"/>
              </w:rPr>
              <w:t xml:space="preserve">IAEA-TECDOC-1169; OSTI-1461843</w:t>
            </w:r>
          </w:p>
        </w:tc>
      </w:tr>
    </w:tbl>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Cᵢ</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Percentage contribution of item i to the total MUF variance (%)</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σ²(i)</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Variance of measurement item i (kg²)</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σ²(MUF)</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Total MUF variance (kg²)</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7.2  Why This Is Useful</w:t>
      </w:r>
    </w:p>
    <w:p>
      <w:pPr>
        <w:spacing w:after="120"/>
        <w:jc w:val="both"/>
      </w:pPr>
      <w:r>
        <w:rPr>
          <w:rFonts w:ascii="Arial" w:cs="Arial" w:eastAsia="Arial" w:hAnsi="Arial"/>
          <w:i w:val="false"/>
          <w:iCs w:val="false"/>
          <w:color w:val="111827"/>
          <w:sz w:val="22"/>
          <w:szCs w:val="22"/>
        </w:rPr>
        <w:t xml:space="preserve">A single item that contributes 60% or more of σ²(MUF) is called a dominant uncertainty source. This item is the 'weakest link' in the measurement system: improving its accuracy will have the greatest effect on reducing overall uncertainty and improving the ability to detect diversion.</w:t>
      </w:r>
    </w:p>
    <w:p>
      <w:pPr>
        <w:spacing w:after="100"/>
      </w:pPr>
      <w:r>
        <w:t xml:space="preserve"/>
      </w:r>
    </w:p>
    <w:p>
      <w:pPr>
        <w:spacing w:after="120"/>
        <w:jc w:val="both"/>
      </w:pPr>
      <w:r>
        <w:rPr>
          <w:rFonts w:ascii="Arial" w:cs="Arial" w:eastAsia="Arial" w:hAnsi="Arial"/>
          <w:i w:val="false"/>
          <w:iCs w:val="false"/>
          <w:color w:val="111827"/>
          <w:sz w:val="22"/>
          <w:szCs w:val="22"/>
        </w:rPr>
        <w:t xml:space="preserve">The MUF Calculator flags any item contributing ≥ 50% of the total variance as a DOMINANT-UNCERTAINTY-SOURCE warning, directing attention toward targeted measurement improvement.</w:t>
      </w:r>
    </w:p>
    <w:p>
      <w:pPr>
        <w:spacing w:after="100"/>
      </w:pPr>
      <w:r>
        <w:t xml:space="preserve"/>
      </w:r>
    </w:p>
    <w:p>
      <w:pPr>
        <w:pStyle w:val="Heading2"/>
        <w:spacing w:before="280" w:after="120"/>
      </w:pPr>
      <w:r>
        <w:rPr>
          <w:rFonts w:ascii="Arial" w:cs="Arial" w:eastAsia="Arial" w:hAnsi="Arial"/>
          <w:b/>
          <w:bCs/>
          <w:color w:val="1A3A5C"/>
          <w:sz w:val="26"/>
          <w:szCs w:val="26"/>
        </w:rPr>
        <w:t xml:space="preserve">7.3  Example</w:t>
      </w:r>
    </w:p>
    <w:p>
      <w:pPr>
        <w:spacing w:after="120"/>
        <w:jc w:val="both"/>
      </w:pPr>
      <w:r>
        <w:rPr>
          <w:rFonts w:ascii="Arial" w:cs="Arial" w:eastAsia="Arial" w:hAnsi="Arial"/>
          <w:i w:val="false"/>
          <w:iCs w:val="false"/>
          <w:color w:val="111827"/>
          <w:sz w:val="22"/>
          <w:szCs w:val="22"/>
        </w:rPr>
        <w:t xml:space="preserve">Suppose σ²(MUF) = 15.25 kg² and the three contributions are: σ²(BI) = 9 kg², σ²(Inputs) = 4 kg², σ²(Outputs) = 2.25 kg².</w:t>
      </w:r>
    </w:p>
    <w:p>
      <w:pPr>
        <w:pStyle w:val="ListParagraph"/>
        <w:numPr>
          <w:ilvl w:val="0"/>
          <w:numId w:val="2"/>
        </w:numPr>
        <w:spacing w:after="80"/>
      </w:pPr>
      <w:r>
        <w:rPr>
          <w:rFonts w:ascii="Arial" w:cs="Arial" w:eastAsia="Arial" w:hAnsi="Arial"/>
          <w:color w:val="111827"/>
          <w:sz w:val="22"/>
          <w:szCs w:val="22"/>
        </w:rPr>
        <w:t xml:space="preserve">C(BI) = 9 / 15.25 × 100% = 59.0%  ← Dominant source</w:t>
      </w:r>
    </w:p>
    <w:p>
      <w:pPr>
        <w:pStyle w:val="ListParagraph"/>
        <w:numPr>
          <w:ilvl w:val="0"/>
          <w:numId w:val="2"/>
        </w:numPr>
        <w:spacing w:after="80"/>
      </w:pPr>
      <w:r>
        <w:rPr>
          <w:rFonts w:ascii="Arial" w:cs="Arial" w:eastAsia="Arial" w:hAnsi="Arial"/>
          <w:color w:val="111827"/>
          <w:sz w:val="22"/>
          <w:szCs w:val="22"/>
        </w:rPr>
        <w:t xml:space="preserve">C(Inputs) = 4 / 15.25 × 100% = 26.2%</w:t>
      </w:r>
    </w:p>
    <w:p>
      <w:pPr>
        <w:pStyle w:val="ListParagraph"/>
        <w:numPr>
          <w:ilvl w:val="0"/>
          <w:numId w:val="2"/>
        </w:numPr>
        <w:spacing w:after="80"/>
      </w:pPr>
      <w:r>
        <w:rPr>
          <w:rFonts w:ascii="Arial" w:cs="Arial" w:eastAsia="Arial" w:hAnsi="Arial"/>
          <w:color w:val="111827"/>
          <w:sz w:val="22"/>
          <w:szCs w:val="22"/>
        </w:rPr>
        <w:t xml:space="preserve">C(Outputs) = 2.25 / 15.25 × 100% = 14.8%</w:t>
      </w:r>
    </w:p>
    <w:p>
      <w:pPr>
        <w:spacing w:after="100"/>
      </w:pPr>
      <w:r>
        <w:t xml:space="preserve"/>
      </w:r>
    </w:p>
    <w:p>
      <w:pPr>
        <w:spacing w:after="120"/>
        <w:jc w:val="both"/>
      </w:pPr>
      <w:r>
        <w:rPr>
          <w:rFonts w:ascii="Arial" w:cs="Arial" w:eastAsia="Arial" w:hAnsi="Arial"/>
          <w:i w:val="false"/>
          <w:iCs w:val="false"/>
          <w:color w:val="111827"/>
          <w:sz w:val="22"/>
          <w:szCs w:val="22"/>
        </w:rPr>
        <w:t xml:space="preserve">The Beginning Inventory measurement accounts for nearly 60% of total uncertainty. Improving the BI measurement instrument or procedure would have the most impact on safeguards sensitivity.</w:t>
      </w:r>
    </w:p>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8: Sequential Analysis — CUSUM and CUMUF</w:t>
      </w:r>
    </w:p>
    <w:p>
      <w:pPr>
        <w:pStyle w:val="Heading2"/>
        <w:spacing w:before="280" w:after="120"/>
      </w:pPr>
      <w:r>
        <w:rPr>
          <w:rFonts w:ascii="Arial" w:cs="Arial" w:eastAsia="Arial" w:hAnsi="Arial"/>
          <w:b/>
          <w:bCs/>
          <w:color w:val="1A3A5C"/>
          <w:sz w:val="26"/>
          <w:szCs w:val="26"/>
        </w:rPr>
        <w:t xml:space="preserve">8.1  The Problem with Single-Period Tests</w:t>
      </w:r>
    </w:p>
    <w:p>
      <w:pPr>
        <w:spacing w:after="120"/>
        <w:jc w:val="both"/>
      </w:pPr>
      <w:r>
        <w:rPr>
          <w:rFonts w:ascii="Arial" w:cs="Arial" w:eastAsia="Arial" w:hAnsi="Arial"/>
          <w:i w:val="false"/>
          <w:iCs w:val="false"/>
          <w:color w:val="111827"/>
          <w:sz w:val="22"/>
          <w:szCs w:val="22"/>
        </w:rPr>
        <w:t xml:space="preserve">A single MBP sigma ratio test has limited power against a sophisticated diverter who takes small amounts over many periods. If a diverter removes 0.5σ of material per period, no single test will alarm. Sequential tests accumulate evidence across periods to detect this pattern.</w:t>
      </w:r>
    </w:p>
    <w:p>
      <w:pPr>
        <w:spacing w:after="100"/>
      </w:pPr>
      <w:r>
        <w:t xml:space="preserve"/>
      </w:r>
    </w:p>
    <w:p>
      <w:pPr>
        <w:pStyle w:val="Heading2"/>
        <w:spacing w:before="280" w:after="120"/>
      </w:pPr>
      <w:r>
        <w:rPr>
          <w:rFonts w:ascii="Arial" w:cs="Arial" w:eastAsia="Arial" w:hAnsi="Arial"/>
          <w:b/>
          <w:bCs/>
          <w:color w:val="1A3A5C"/>
          <w:sz w:val="26"/>
          <w:szCs w:val="26"/>
        </w:rPr>
        <w:t xml:space="preserve">8.2  Page's CUSUM (Cumulative Sum Control Chart)</w:t>
      </w:r>
    </w:p>
    <w:p>
      <w:pPr>
        <w:spacing w:after="120"/>
        <w:jc w:val="both"/>
      </w:pPr>
      <w:r>
        <w:rPr>
          <w:rFonts w:ascii="Arial" w:cs="Arial" w:eastAsia="Arial" w:hAnsi="Arial"/>
          <w:i w:val="false"/>
          <w:iCs w:val="false"/>
          <w:color w:val="111827"/>
          <w:sz w:val="22"/>
          <w:szCs w:val="22"/>
        </w:rPr>
        <w:t xml:space="preserve">Page's CUSUM is the standard sequential test recommended by Burr et al. (2013) and used in the IAEA safeguards literature. Two statistics are maintained across balance periods: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S⁺(t) = max( 0,  S⁺(t−1) + SITMUF(t) − k )</w:t>
            </w:r>
          </w:p>
          <w:p>
            <w:pPr>
              <w:spacing w:after="0"/>
              <w:jc w:val="center"/>
            </w:pPr>
            <w:r>
              <w:rPr>
                <w:rFonts w:ascii="Arial" w:cs="Arial" w:eastAsia="Arial" w:hAnsi="Arial"/>
                <w:i/>
                <w:iCs/>
                <w:color w:val="6B7280"/>
                <w:sz w:val="18"/>
                <w:szCs w:val="18"/>
              </w:rPr>
              <w:t xml:space="preserve">Burr et al. (2013) doi:10.1155/2013/961360</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0"/>
              <w:jc w:val="center"/>
            </w:pPr>
            <w:r>
              <w:rPr>
                <w:rFonts w:ascii="Courier New" w:cs="Courier New" w:eastAsia="Courier New" w:hAnsi="Courier New"/>
                <w:b/>
                <w:bCs/>
                <w:color w:val="1A3A5C"/>
                <w:sz w:val="26"/>
                <w:szCs w:val="26"/>
              </w:rPr>
              <w:t xml:space="preserve">S⁻(t) = max( 0,  S⁻(t−1) − SITMUF(t) − k )</w:t>
            </w:r>
          </w:p>
        </w:tc>
      </w:tr>
    </w:tbl>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S⁺(t)</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Positive CUSUM — detects systematic material LOSS (upward drift in MUF)</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S⁻(t)</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Negative CUSUM — detects systematic material GAIN (undeclared inputs)</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SITMUF(t)</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MUF(t) / σ(MUF)(t) — standardized MUF for period 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k</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Reference value (allowance), typically k = 0.5</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t</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Current balance period index</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An alarm is triggered when S⁺(t) or S⁻(t) exceeds the decision threshold h (typically h = 5). The MUF Calculator uses h = 5 per published recommendations.</w:t>
      </w:r>
    </w:p>
    <w:p>
      <w:pPr>
        <w:spacing w:after="100"/>
      </w:pPr>
      <w:r>
        <w:t xml:space="preserve"/>
      </w:r>
    </w:p>
    <w:p>
      <w:pPr>
        <w:pStyle w:val="Heading2"/>
        <w:spacing w:before="280" w:after="120"/>
      </w:pPr>
      <w:r>
        <w:rPr>
          <w:rFonts w:ascii="Arial" w:cs="Arial" w:eastAsia="Arial" w:hAnsi="Arial"/>
          <w:b/>
          <w:bCs/>
          <w:color w:val="1A3A5C"/>
          <w:sz w:val="26"/>
          <w:szCs w:val="26"/>
        </w:rPr>
        <w:t xml:space="preserve">8.3  CUMUF — Cumulative MUF</w:t>
      </w:r>
    </w:p>
    <w:p>
      <w:pPr>
        <w:spacing w:after="120"/>
        <w:jc w:val="both"/>
      </w:pPr>
      <w:r>
        <w:rPr>
          <w:rFonts w:ascii="Arial" w:cs="Arial" w:eastAsia="Arial" w:hAnsi="Arial"/>
          <w:i w:val="false"/>
          <w:iCs w:val="false"/>
          <w:color w:val="111827"/>
          <w:sz w:val="22"/>
          <w:szCs w:val="22"/>
        </w:rPr>
        <w:t xml:space="preserve">A simpler sequential statistic is the running sum of MUF values across all periods: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CUMUF(t) = Σ MUF(1) + MUF(2) + ... + MUF(t)</w:t>
            </w:r>
          </w:p>
          <w:p>
            <w:pPr>
              <w:spacing w:after="0"/>
              <w:jc w:val="center"/>
            </w:pPr>
            <w:r>
              <w:rPr>
                <w:rFonts w:ascii="Arial" w:cs="Arial" w:eastAsia="Arial" w:hAnsi="Arial"/>
                <w:i/>
                <w:iCs/>
                <w:color w:val="6B7280"/>
                <w:sz w:val="18"/>
                <w:szCs w:val="18"/>
              </w:rPr>
              <w:t xml:space="preserve">OSTI-1461843, ORNL (2018)</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An alarm is flagged when |CUMUF| &gt; 2σ(MUF). While less sensitive than CUSUM, CUMUF is easy to audit and is included in facility operator reports to the IAEA.</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D97706" w:sz="2"/>
              <w:left w:val="single" w:color="D97706" w:sz="12"/>
              <w:bottom w:val="single" w:color="D97706" w:sz="2"/>
              <w:right w:val="single" w:color="D97706" w:sz="2"/>
            </w:tcBorders>
            <w:shd w:fill="FFFBEB" w:val="clear"/>
            <w:tcMar>
              <w:top w:type="dxa" w:w="120"/>
              <w:left w:type="dxa" w:w="180"/>
              <w:bottom w:type="dxa" w:w="120"/>
              <w:right w:type="dxa" w:w="180"/>
            </w:tcMar>
          </w:tcPr>
          <w:p>
            <w:pPr>
              <w:spacing w:after="0"/>
            </w:pPr>
            <w:r>
              <w:rPr>
                <w:rFonts w:ascii="Arial" w:cs="Arial" w:eastAsia="Arial" w:hAnsi="Arial"/>
                <w:color w:val="111827"/>
                <w:sz w:val="20"/>
                <w:szCs w:val="20"/>
              </w:rPr>
              <w:t xml:space="preserve">Both CUSUM and CUMUF values are reset to zero by the 'Clear History' button in the MUF Calculator, as they depend on the sequence of previous calculations. Do not clear history in the middle of a multi-period analysis.</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9: Significant Quantity — The Diversion Threshold</w:t>
      </w:r>
    </w:p>
    <w:p>
      <w:pPr>
        <w:pStyle w:val="Heading2"/>
        <w:spacing w:before="280" w:after="120"/>
      </w:pPr>
      <w:r>
        <w:rPr>
          <w:rFonts w:ascii="Arial" w:cs="Arial" w:eastAsia="Arial" w:hAnsi="Arial"/>
          <w:b/>
          <w:bCs/>
          <w:color w:val="1A3A5C"/>
          <w:sz w:val="26"/>
          <w:szCs w:val="26"/>
        </w:rPr>
        <w:t xml:space="preserve">9.1  What Is a Significant Quantity?</w:t>
      </w:r>
    </w:p>
    <w:p>
      <w:pPr>
        <w:spacing w:after="120"/>
        <w:jc w:val="both"/>
      </w:pPr>
      <w:r>
        <w:rPr>
          <w:rFonts w:ascii="Arial" w:cs="Arial" w:eastAsia="Arial" w:hAnsi="Arial"/>
          <w:i w:val="false"/>
          <w:iCs w:val="false"/>
          <w:color w:val="111827"/>
          <w:sz w:val="22"/>
          <w:szCs w:val="22"/>
        </w:rPr>
        <w:t xml:space="preserve">A Significant Quantity (SQ) is the approximate amount of nuclear material from which, in the IAEA's judgment, a nuclear explosive device could be made. The SQ concept is defined in the IAEA Safeguards Glossary 2022, §3.14, and is the primary threshold used to assess whether a MUF is of strategic concern.</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Pu (plutonium)</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 = 8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U-233</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 = 8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HEU (≥20% enriched)</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 = 25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LEU (natural enrichment)</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 = 75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Natural uranium</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 = 10,000 kg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Depleted uranium</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 = 20,000 kg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Thorium</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SQ = 20,000 kg</w:t>
            </w:r>
          </w:p>
        </w:tc>
      </w:tr>
    </w:tbl>
    <w:p>
      <w:pPr>
        <w:spacing w:after="100"/>
      </w:pPr>
      <w:r>
        <w:t xml:space="preserve"/>
      </w:r>
    </w:p>
    <w:p>
      <w:pPr>
        <w:pStyle w:val="Heading2"/>
        <w:spacing w:before="280" w:after="120"/>
      </w:pPr>
      <w:r>
        <w:rPr>
          <w:rFonts w:ascii="Arial" w:cs="Arial" w:eastAsia="Arial" w:hAnsi="Arial"/>
          <w:b/>
          <w:bCs/>
          <w:color w:val="1A3A5C"/>
          <w:sz w:val="26"/>
          <w:szCs w:val="26"/>
        </w:rPr>
        <w:t xml:space="preserve">9.2  The SQ Fraction</w:t>
      </w:r>
    </w:p>
    <w:p>
      <w:pPr>
        <w:spacing w:after="120"/>
        <w:jc w:val="both"/>
      </w:pPr>
      <w:r>
        <w:rPr>
          <w:rFonts w:ascii="Arial" w:cs="Arial" w:eastAsia="Arial" w:hAnsi="Arial"/>
          <w:i w:val="false"/>
          <w:iCs w:val="false"/>
          <w:color w:val="111827"/>
          <w:sz w:val="22"/>
          <w:szCs w:val="22"/>
        </w:rPr>
        <w:t xml:space="preserve">The MUF Calculator expresses each MUF as a fraction of one SQ, giving an immediately interpretable safety indicator:</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80"/>
              <w:jc w:val="center"/>
            </w:pPr>
            <w:r>
              <w:rPr>
                <w:rFonts w:ascii="Courier New" w:cs="Courier New" w:eastAsia="Courier New" w:hAnsi="Courier New"/>
                <w:b/>
                <w:bCs/>
                <w:color w:val="1A3A5C"/>
                <w:sz w:val="26"/>
                <w:szCs w:val="26"/>
              </w:rPr>
              <w:t xml:space="preserve">SQ Fraction = |MUF| / SQ(material type)</w:t>
            </w:r>
          </w:p>
          <w:p>
            <w:pPr>
              <w:spacing w:after="0"/>
              <w:jc w:val="center"/>
            </w:pPr>
            <w:r>
              <w:rPr>
                <w:rFonts w:ascii="Arial" w:cs="Arial" w:eastAsia="Arial" w:hAnsi="Arial"/>
                <w:i/>
                <w:iCs/>
                <w:color w:val="6B7280"/>
                <w:sz w:val="18"/>
                <w:szCs w:val="18"/>
              </w:rPr>
              <w:t xml:space="preserve">IAEA Safeguards Glossary 2022, §3.14</w:t>
            </w:r>
          </w:p>
        </w:tc>
      </w:tr>
    </w:tbl>
    <w:p>
      <w:pPr>
        <w:spacing w:after="100"/>
      </w:pPr>
      <w:r>
        <w:t xml:space="preserve"/>
      </w:r>
    </w:p>
    <w:p>
      <w:pPr>
        <w:pStyle w:val="ListParagraph"/>
        <w:numPr>
          <w:ilvl w:val="0"/>
          <w:numId w:val="2"/>
        </w:numPr>
        <w:spacing w:after="80"/>
      </w:pPr>
      <w:r>
        <w:rPr>
          <w:rFonts w:ascii="Arial" w:cs="Arial" w:eastAsia="Arial" w:hAnsi="Arial"/>
          <w:color w:val="111827"/>
          <w:sz w:val="22"/>
          <w:szCs w:val="22"/>
        </w:rPr>
        <w:t xml:space="preserve">SQ Fraction ≥ 1.0 → CRITICAL: Possible weapons-relevant quantity unaccounted for.</w:t>
      </w:r>
    </w:p>
    <w:p>
      <w:pPr>
        <w:pStyle w:val="ListParagraph"/>
        <w:numPr>
          <w:ilvl w:val="0"/>
          <w:numId w:val="2"/>
        </w:numPr>
        <w:spacing w:after="80"/>
      </w:pPr>
      <w:r>
        <w:rPr>
          <w:rFonts w:ascii="Arial" w:cs="Arial" w:eastAsia="Arial" w:hAnsi="Arial"/>
          <w:color w:val="111827"/>
          <w:sz w:val="22"/>
          <w:szCs w:val="22"/>
        </w:rPr>
        <w:t xml:space="preserve">SQ Fraction ≥ 0.50 → Alert: 50% of SQ unaccounted for; notify safeguards authority.</w:t>
      </w:r>
    </w:p>
    <w:p>
      <w:pPr>
        <w:pStyle w:val="ListParagraph"/>
        <w:numPr>
          <w:ilvl w:val="0"/>
          <w:numId w:val="2"/>
        </w:numPr>
        <w:spacing w:after="80"/>
      </w:pPr>
      <w:r>
        <w:rPr>
          <w:rFonts w:ascii="Arial" w:cs="Arial" w:eastAsia="Arial" w:hAnsi="Arial"/>
          <w:color w:val="111827"/>
          <w:sz w:val="22"/>
          <w:szCs w:val="22"/>
        </w:rPr>
        <w:t xml:space="preserve">SQ Fraction ≥ 0.25 → Warning: 25% of SQ unaccounted for; increase monitoring frequency.</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D97706" w:sz="2"/>
              <w:left w:val="single" w:color="D97706" w:sz="12"/>
              <w:bottom w:val="single" w:color="D97706" w:sz="2"/>
              <w:right w:val="single" w:color="D97706" w:sz="2"/>
            </w:tcBorders>
            <w:shd w:fill="FFFBEB" w:val="clear"/>
            <w:tcMar>
              <w:top w:type="dxa" w:w="120"/>
              <w:left w:type="dxa" w:w="180"/>
              <w:bottom w:type="dxa" w:w="120"/>
              <w:right w:type="dxa" w:w="180"/>
            </w:tcMar>
          </w:tcPr>
          <w:p>
            <w:pPr>
              <w:spacing w:after="0"/>
            </w:pPr>
            <w:r>
              <w:rPr>
                <w:rFonts w:ascii="Arial" w:cs="Arial" w:eastAsia="Arial" w:hAnsi="Arial"/>
                <w:color w:val="111827"/>
                <w:sz w:val="20"/>
                <w:szCs w:val="20"/>
              </w:rPr>
              <w:t xml:space="preserve">Context matters: 5 kg of unaccounted uranium is a minor anomaly for a facility handling tonnes of natural uranium (SQ = 10,000 kg). The same 5 kg of unaccounted plutonium would be a CRITICAL alarm (5/8 = 62.5% of one SQ).</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10: Timeliness — IAEA Detection Goals</w:t>
      </w:r>
    </w:p>
    <w:p>
      <w:pPr>
        <w:pStyle w:val="Heading2"/>
        <w:spacing w:before="280" w:after="120"/>
      </w:pPr>
      <w:r>
        <w:rPr>
          <w:rFonts w:ascii="Arial" w:cs="Arial" w:eastAsia="Arial" w:hAnsi="Arial"/>
          <w:b/>
          <w:bCs/>
          <w:color w:val="1A3A5C"/>
          <w:sz w:val="26"/>
          <w:szCs w:val="26"/>
        </w:rPr>
        <w:t xml:space="preserve">10.1  The Timeliness Concept</w:t>
      </w:r>
    </w:p>
    <w:p>
      <w:pPr>
        <w:spacing w:after="120"/>
        <w:jc w:val="both"/>
      </w:pPr>
      <w:r>
        <w:rPr>
          <w:rFonts w:ascii="Arial" w:cs="Arial" w:eastAsia="Arial" w:hAnsi="Arial"/>
          <w:i w:val="false"/>
          <w:iCs w:val="false"/>
          <w:color w:val="111827"/>
          <w:sz w:val="22"/>
          <w:szCs w:val="22"/>
        </w:rPr>
        <w:t xml:space="preserve">Even if diversion is eventually detected, it may occur too late if the material has already been weaponized. The IAEA therefore sets timeliness goals — maximum allowable intervals between material balance closures. These are defined in INFCIRC/153 Article 76 and the Safeguards Glossary 2022, §3.17.</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200"/>
        <w:gridCol w:w="6600"/>
      </w:tblGrid>
      <w:tr>
        <w:tc>
          <w:tcPr>
            <w:tcW w:type="dxa" w:w="22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6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Direct-use material (Pu, U-233, HEU)</w:t>
            </w:r>
          </w:p>
        </w:tc>
        <w:tc>
          <w:tcPr>
            <w:tcW w:type="dxa" w:w="66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Maximum MBP length: 30 days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3A5C"/>
                <w:sz w:val="20"/>
                <w:szCs w:val="20"/>
              </w:rPr>
              <w:t xml:space="preserve">Indirect-use material (LEU, natural U, Th)</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Maximum MBP length: 365 days (1 year)</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When the MUF Calculator detects that an MBP length exceeds the applicable timeliness goal, it issues an informational flag recommending more frequent balance closures.</w:t>
      </w:r>
    </w:p>
    <w:p>
      <w:pPr>
        <w:spacing w:after="100"/>
      </w:pPr>
      <w:r>
        <w:t xml:space="preserve"/>
      </w:r>
    </w:p>
    <w:p>
      <w:pPr>
        <w:pStyle w:val="Heading2"/>
        <w:spacing w:before="280" w:after="120"/>
      </w:pPr>
      <w:r>
        <w:rPr>
          <w:rFonts w:ascii="Arial" w:cs="Arial" w:eastAsia="Arial" w:hAnsi="Arial"/>
          <w:b/>
          <w:bCs/>
          <w:color w:val="1A3A5C"/>
          <w:sz w:val="26"/>
          <w:szCs w:val="26"/>
        </w:rPr>
        <w:t xml:space="preserve">10.2  The Throughput Ratio Check</w:t>
      </w:r>
    </w:p>
    <w:p>
      <w:pPr>
        <w:spacing w:after="120"/>
        <w:jc w:val="both"/>
      </w:pPr>
      <w:r>
        <w:rPr>
          <w:rFonts w:ascii="Arial" w:cs="Arial" w:eastAsia="Arial" w:hAnsi="Arial"/>
          <w:i w:val="false"/>
          <w:iCs w:val="false"/>
          <w:color w:val="111827"/>
          <w:sz w:val="22"/>
          <w:szCs w:val="22"/>
        </w:rPr>
        <w:t xml:space="preserve">As an additional safeguard, the system checks whether the MUF represents an unusual fraction of total material throughput:</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8800"/>
      </w:tblGrid>
      <w:tr>
        <w:tc>
          <w:tcPr>
            <w:tcW w:type="dxa" w:w="8800"/>
            <w:tcBorders>
              <w:top w:val="single" w:color="1A3A5C" w:sz="4"/>
              <w:left w:val="single" w:color="1A3A5C" w:sz="12"/>
              <w:bottom w:val="single" w:color="1A3A5C" w:sz="4"/>
              <w:right w:val="single" w:color="1A3A5C" w:sz="4"/>
            </w:tcBorders>
            <w:shd w:fill="E8F0F8" w:val="clear"/>
            <w:tcMar>
              <w:top w:type="dxa" w:w="160"/>
              <w:left w:type="dxa" w:w="200"/>
              <w:bottom w:type="dxa" w:w="160"/>
              <w:right w:type="dxa" w:w="200"/>
            </w:tcMar>
          </w:tcPr>
          <w:p>
            <w:pPr>
              <w:spacing w:after="0"/>
              <w:jc w:val="center"/>
            </w:pPr>
            <w:r>
              <w:rPr>
                <w:rFonts w:ascii="Courier New" w:cs="Courier New" w:eastAsia="Courier New" w:hAnsi="Courier New"/>
                <w:b/>
                <w:bCs/>
                <w:color w:val="1A3A5C"/>
                <w:sz w:val="26"/>
                <w:szCs w:val="26"/>
              </w:rPr>
              <w:t xml:space="preserve">Throughput Ratio = |MUF| / (Σ Inputs + Σ Outputs) × 100%</w:t>
            </w:r>
          </w:p>
        </w:tc>
      </w:tr>
    </w:tbl>
    <w:p>
      <w:pPr>
        <w:spacing w:after="100"/>
      </w:pPr>
      <w:r>
        <w:t xml:space="preserve"/>
      </w:r>
    </w:p>
    <w:p>
      <w:pPr>
        <w:spacing w:after="120"/>
        <w:jc w:val="both"/>
      </w:pPr>
      <w:r>
        <w:rPr>
          <w:rFonts w:ascii="Arial" w:cs="Arial" w:eastAsia="Arial" w:hAnsi="Arial"/>
          <w:i w:val="false"/>
          <w:iCs w:val="false"/>
          <w:color w:val="111827"/>
          <w:sz w:val="22"/>
          <w:szCs w:val="22"/>
        </w:rPr>
        <w:t xml:space="preserve">A ratio exceeding 5% triggers an alert to audit all transfer measurements and KMP data. This threshold is conservative and consistent with ORNL/TM-2012/531 guidance.</w:t>
      </w:r>
    </w:p>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11: Quick Reference — All Formulas</w:t>
      </w:r>
    </w:p>
    <w:p>
      <w:pPr>
        <w:spacing w:after="120"/>
        <w:jc w:val="both"/>
      </w:pPr>
      <w:r>
        <w:rPr>
          <w:rFonts w:ascii="Arial" w:cs="Arial" w:eastAsia="Arial" w:hAnsi="Arial"/>
          <w:i w:val="false"/>
          <w:iCs w:val="false"/>
          <w:color w:val="111827"/>
          <w:sz w:val="22"/>
          <w:szCs w:val="22"/>
        </w:rPr>
        <w:t xml:space="preserve">The table below summarises all formulas implemented in the MUF Calculator, in the order they are computed.</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00"/>
        <w:gridCol w:w="2200"/>
        <w:gridCol w:w="3200"/>
        <w:gridCol w:w="3000"/>
      </w:tblGrid>
      <w:tr>
        <w:tc>
          <w:tcPr>
            <w:tcW w:type="dxa" w:w="400"/>
            <w:tcBorders>
              <w:top w:val="single" w:color="D1D5DB" w:sz="1"/>
              <w:left w:val="single" w:color="D1D5DB" w:sz="1"/>
              <w:bottom w:val="single" w:color="D1D5DB" w:sz="1"/>
              <w:right w:val="single" w:color="D1D5DB"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200"/>
            <w:tcBorders>
              <w:top w:val="single" w:color="D1D5DB" w:sz="1"/>
              <w:left w:val="single" w:color="D1D5DB" w:sz="1"/>
              <w:bottom w:val="single" w:color="D1D5DB" w:sz="1"/>
              <w:right w:val="single" w:color="D1D5DB"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Name</w:t>
            </w:r>
          </w:p>
        </w:tc>
        <w:tc>
          <w:tcPr>
            <w:tcW w:type="dxa" w:w="3200"/>
            <w:tcBorders>
              <w:top w:val="single" w:color="D1D5DB" w:sz="1"/>
              <w:left w:val="single" w:color="D1D5DB" w:sz="1"/>
              <w:bottom w:val="single" w:color="D1D5DB" w:sz="1"/>
              <w:right w:val="single" w:color="D1D5DB"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Formula</w:t>
            </w:r>
          </w:p>
        </w:tc>
        <w:tc>
          <w:tcPr>
            <w:tcW w:type="dxa" w:w="3000"/>
            <w:tcBorders>
              <w:top w:val="single" w:color="D1D5DB" w:sz="1"/>
              <w:left w:val="single" w:color="D1D5DB" w:sz="1"/>
              <w:bottom w:val="single" w:color="D1D5DB" w:sz="1"/>
              <w:right w:val="single" w:color="D1D5DB"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IAEA Source</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1</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Book Inventory</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IB = BI + ΣIn − ΣOut</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INFCIRC/153, Art.57(b)</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MUF</w:t>
            </w:r>
          </w:p>
        </w:tc>
        <w:tc>
          <w:tcPr>
            <w:tcW w:type="dxa" w:w="3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Courier New" w:cs="Courier New" w:eastAsia="Courier New" w:hAnsi="Courier New"/>
                <w:b/>
                <w:bCs/>
                <w:color w:val="1A3A5C"/>
                <w:sz w:val="18"/>
                <w:szCs w:val="18"/>
              </w:rPr>
              <w:t xml:space="preserve">MUF = IB − EI</w:t>
            </w:r>
          </w:p>
        </w:tc>
        <w:tc>
          <w:tcPr>
            <w:tcW w:type="dxa" w:w="3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374151"/>
                <w:sz w:val="18"/>
                <w:szCs w:val="18"/>
              </w:rPr>
              <w:t xml:space="preserve">INFCIRC/153, Art.57(b)</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3</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Item Variance</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σ²(item) = σ_abs²</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NMA Handbook (2008)</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MUF Variance</w:t>
            </w:r>
          </w:p>
        </w:tc>
        <w:tc>
          <w:tcPr>
            <w:tcW w:type="dxa" w:w="3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Courier New" w:cs="Courier New" w:eastAsia="Courier New" w:hAnsi="Courier New"/>
                <w:b/>
                <w:bCs/>
                <w:color w:val="1A3A5C"/>
                <w:sz w:val="18"/>
                <w:szCs w:val="18"/>
              </w:rPr>
              <w:t xml:space="preserve">σ²(MUF) = σ²(BI)+σ²(ΣIn)+σ²(ΣOut)</w:t>
            </w:r>
          </w:p>
        </w:tc>
        <w:tc>
          <w:tcPr>
            <w:tcW w:type="dxa" w:w="3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374151"/>
                <w:sz w:val="18"/>
                <w:szCs w:val="18"/>
              </w:rPr>
              <w:t xml:space="preserve">Safeguards Glossary §10.11</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5</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σ(MUF)</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σ(MUF) = √σ²(MUF)</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Safeguards Glossary §10.11</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Sigma Ratio</w:t>
            </w:r>
          </w:p>
        </w:tc>
        <w:tc>
          <w:tcPr>
            <w:tcW w:type="dxa" w:w="3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Courier New" w:cs="Courier New" w:eastAsia="Courier New" w:hAnsi="Courier New"/>
                <w:b/>
                <w:bCs/>
                <w:color w:val="1A3A5C"/>
                <w:sz w:val="18"/>
                <w:szCs w:val="18"/>
              </w:rPr>
              <w:t xml:space="preserve">Ratio = |MUF| / σ(MUF)</w:t>
            </w:r>
          </w:p>
        </w:tc>
        <w:tc>
          <w:tcPr>
            <w:tcW w:type="dxa" w:w="3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374151"/>
                <w:sz w:val="18"/>
                <w:szCs w:val="18"/>
              </w:rPr>
              <w:t xml:space="preserve">Glossary §10.27; Burr 2013</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7</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Contribution Cᵢ</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Cᵢ = σ²(i)/σ²(MUF) × 100%</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IAEA-TECDOC-1169</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SITMUF</w:t>
            </w:r>
          </w:p>
        </w:tc>
        <w:tc>
          <w:tcPr>
            <w:tcW w:type="dxa" w:w="3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Courier New" w:cs="Courier New" w:eastAsia="Courier New" w:hAnsi="Courier New"/>
                <w:b/>
                <w:bCs/>
                <w:color w:val="1A3A5C"/>
                <w:sz w:val="18"/>
                <w:szCs w:val="18"/>
              </w:rPr>
              <w:t xml:space="preserve">SITMUF = MUF / σ(MUF)</w:t>
            </w:r>
          </w:p>
        </w:tc>
        <w:tc>
          <w:tcPr>
            <w:tcW w:type="dxa" w:w="3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374151"/>
                <w:sz w:val="18"/>
                <w:szCs w:val="18"/>
              </w:rPr>
              <w:t xml:space="preserve">Burr et al. (2013)</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9</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CUSUM S⁺</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S⁺(t) = max(0, S⁺(t-1)+SITMUF-k)</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Burr 2013; Jones 1986</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CUSUM S⁻</w:t>
            </w:r>
          </w:p>
        </w:tc>
        <w:tc>
          <w:tcPr>
            <w:tcW w:type="dxa" w:w="3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Courier New" w:cs="Courier New" w:eastAsia="Courier New" w:hAnsi="Courier New"/>
                <w:b/>
                <w:bCs/>
                <w:color w:val="1A3A5C"/>
                <w:sz w:val="18"/>
                <w:szCs w:val="18"/>
              </w:rPr>
              <w:t xml:space="preserve">S⁻(t) = max(0, S⁻(t-1)−SITMUF-k)</w:t>
            </w:r>
          </w:p>
        </w:tc>
        <w:tc>
          <w:tcPr>
            <w:tcW w:type="dxa" w:w="3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374151"/>
                <w:sz w:val="18"/>
                <w:szCs w:val="18"/>
              </w:rPr>
              <w:t xml:space="preserve">Burr 2013; Jones 1986</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11</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CUMUF</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CUMUF = Σ MUF(t)</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OSTI-1461843 (ORNL 2018)</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12</w:t>
            </w:r>
          </w:p>
        </w:tc>
        <w:tc>
          <w:tcPr>
            <w:tcW w:type="dxa" w:w="2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111827"/>
                <w:sz w:val="18"/>
                <w:szCs w:val="18"/>
              </w:rPr>
              <w:t xml:space="preserve">SQ Fraction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Courier New" w:cs="Courier New" w:eastAsia="Courier New" w:hAnsi="Courier New"/>
                <w:b/>
                <w:bCs/>
                <w:color w:val="1A3A5C"/>
                <w:sz w:val="18"/>
                <w:szCs w:val="18"/>
              </w:rPr>
              <w:t xml:space="preserve">SQ_f = |MUF| / SQ(material)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b w:val="false"/>
                <w:bCs w:val="false"/>
                <w:color w:val="374151"/>
                <w:sz w:val="18"/>
                <w:szCs w:val="18"/>
              </w:rPr>
              <w:t xml:space="preserve">Safeguards Glossary §3.14</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13</w:t>
            </w:r>
          </w:p>
        </w:tc>
        <w:tc>
          <w:tcPr>
            <w:tcW w:type="dxa" w:w="2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111827"/>
                <w:sz w:val="18"/>
                <w:szCs w:val="18"/>
              </w:rPr>
              <w:t xml:space="preserve">Throughput Ratio</w:t>
            </w:r>
          </w:p>
        </w:tc>
        <w:tc>
          <w:tcPr>
            <w:tcW w:type="dxa" w:w="3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Courier New" w:cs="Courier New" w:eastAsia="Courier New" w:hAnsi="Courier New"/>
                <w:b/>
                <w:bCs/>
                <w:color w:val="1A3A5C"/>
                <w:sz w:val="18"/>
                <w:szCs w:val="18"/>
              </w:rPr>
              <w:t xml:space="preserve">TR = |MUF|/(ΣIn+ΣOut) × 100%</w:t>
            </w:r>
          </w:p>
        </w:tc>
        <w:tc>
          <w:tcPr>
            <w:tcW w:type="dxa" w:w="30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80"/>
            </w:tcMar>
          </w:tcPr>
          <w:p>
            <w:r>
              <w:rPr>
                <w:rFonts w:ascii="Arial" w:cs="Arial" w:eastAsia="Arial" w:hAnsi="Arial"/>
                <w:b w:val="false"/>
                <w:bCs w:val="false"/>
                <w:color w:val="374151"/>
                <w:sz w:val="18"/>
                <w:szCs w:val="18"/>
              </w:rPr>
              <w:t xml:space="preserve">ORNL/TM-2012/531</w:t>
            </w:r>
          </w:p>
        </w:tc>
      </w:tr>
    </w:tbl>
    <w:p>
      <w:pPr>
        <w:pageBreakBefore/>
      </w:pPr>
      <w:r>
        <w:br/>
        <w:t xml:space="preserve"/>
      </w:r>
    </w:p>
    <w:p>
      <w:pPr>
        <w:pStyle w:val="Heading1"/>
        <w:pBdr>
          <w:bottom w:val="single" w:color="1A3A5C" w:sz="6" w:space="6"/>
        </w:pBdr>
        <w:spacing w:before="360" w:after="160"/>
      </w:pPr>
      <w:r>
        <w:rPr>
          <w:rFonts w:ascii="Arial" w:cs="Arial" w:eastAsia="Arial" w:hAnsi="Arial"/>
          <w:b/>
          <w:bCs/>
          <w:color w:val="1A3A5C"/>
          <w:sz w:val="32"/>
          <w:szCs w:val="32"/>
        </w:rPr>
        <w:t xml:space="preserve">Module 12: References and Further Reading</w:t>
      </w:r>
    </w:p>
    <w:p>
      <w:pPr>
        <w:pStyle w:val="Heading2"/>
        <w:spacing w:before="280" w:after="120"/>
      </w:pPr>
      <w:r>
        <w:rPr>
          <w:rFonts w:ascii="Arial" w:cs="Arial" w:eastAsia="Arial" w:hAnsi="Arial"/>
          <w:b/>
          <w:bCs/>
          <w:color w:val="1A3A5C"/>
          <w:sz w:val="26"/>
          <w:szCs w:val="26"/>
        </w:rPr>
        <w:t xml:space="preserve">Primary IAEA Standards</w:t>
      </w:r>
    </w:p>
    <w:p>
      <w:pPr>
        <w:pStyle w:val="ListParagraph"/>
        <w:numPr>
          <w:ilvl w:val="0"/>
          <w:numId w:val="2"/>
        </w:numPr>
        <w:spacing w:after="80"/>
      </w:pPr>
      <w:r>
        <w:rPr>
          <w:rFonts w:ascii="Arial" w:cs="Arial" w:eastAsia="Arial" w:hAnsi="Arial"/>
          <w:color w:val="111827"/>
          <w:sz w:val="22"/>
          <w:szCs w:val="22"/>
        </w:rPr>
        <w:t xml:space="preserve">IAEA INFCIRC/153 (Corrected) — The Structure and Content of Agreements between the Agency and States Required in Connection with the Treaty on the Non-Proliferation of Nuclear Weapons. IAEA, Vienna, 1972.</w:t>
      </w:r>
    </w:p>
    <w:p>
      <w:pPr>
        <w:pStyle w:val="ListParagraph"/>
        <w:numPr>
          <w:ilvl w:val="0"/>
          <w:numId w:val="2"/>
        </w:numPr>
        <w:spacing w:after="80"/>
      </w:pPr>
      <w:r>
        <w:rPr>
          <w:rFonts w:ascii="Arial" w:cs="Arial" w:eastAsia="Arial" w:hAnsi="Arial"/>
          <w:color w:val="111827"/>
          <w:sz w:val="22"/>
          <w:szCs w:val="22"/>
        </w:rPr>
        <w:t xml:space="preserve">IAEA Safeguards Glossary, 2022 Edition. IAEA, Vienna, 2022.</w:t>
      </w:r>
    </w:p>
    <w:p>
      <w:pPr>
        <w:pStyle w:val="ListParagraph"/>
        <w:numPr>
          <w:ilvl w:val="0"/>
          <w:numId w:val="2"/>
        </w:numPr>
        <w:spacing w:after="80"/>
      </w:pPr>
      <w:r>
        <w:rPr>
          <w:rFonts w:ascii="Arial" w:cs="Arial" w:eastAsia="Arial" w:hAnsi="Arial"/>
          <w:color w:val="111827"/>
          <w:sz w:val="22"/>
          <w:szCs w:val="22"/>
        </w:rPr>
        <w:t xml:space="preserve">IAEA Nuclear Material Accounting Handbook. IAEA Services Series No. 15, Vienna, 2008.</w:t>
      </w:r>
    </w:p>
    <w:p>
      <w:pPr>
        <w:pStyle w:val="ListParagraph"/>
        <w:numPr>
          <w:ilvl w:val="0"/>
          <w:numId w:val="2"/>
        </w:numPr>
        <w:spacing w:after="80"/>
      </w:pPr>
      <w:r>
        <w:rPr>
          <w:rFonts w:ascii="Arial" w:cs="Arial" w:eastAsia="Arial" w:hAnsi="Arial"/>
          <w:color w:val="111827"/>
          <w:sz w:val="22"/>
          <w:szCs w:val="22"/>
        </w:rPr>
        <w:t xml:space="preserve">IAEA-TECDOC-1169 — Safeguards Techniques and Equipment. IAEA, Vienna, 2003.</w:t>
      </w:r>
    </w:p>
    <w:p>
      <w:pPr>
        <w:spacing w:after="100"/>
      </w:pPr>
      <w:r>
        <w:t xml:space="preserve"/>
      </w:r>
    </w:p>
    <w:p>
      <w:pPr>
        <w:pStyle w:val="Heading2"/>
        <w:spacing w:before="280" w:after="120"/>
      </w:pPr>
      <w:r>
        <w:rPr>
          <w:rFonts w:ascii="Arial" w:cs="Arial" w:eastAsia="Arial" w:hAnsi="Arial"/>
          <w:b/>
          <w:bCs/>
          <w:color w:val="1A3A5C"/>
          <w:sz w:val="26"/>
          <w:szCs w:val="26"/>
        </w:rPr>
        <w:t xml:space="preserve">Peer-Reviewed Literature</w:t>
      </w:r>
    </w:p>
    <w:p>
      <w:pPr>
        <w:pStyle w:val="ListParagraph"/>
        <w:numPr>
          <w:ilvl w:val="0"/>
          <w:numId w:val="2"/>
        </w:numPr>
        <w:spacing w:after="80"/>
      </w:pPr>
      <w:r>
        <w:rPr>
          <w:rFonts w:ascii="Arial" w:cs="Arial" w:eastAsia="Arial" w:hAnsi="Arial"/>
          <w:color w:val="111827"/>
          <w:sz w:val="22"/>
          <w:szCs w:val="22"/>
        </w:rPr>
        <w:t xml:space="preserve">Burr T., Hamada M., Howell J. (2013). 'Revisiting Statistical Aspects of Nuclear Material Accounting.' Science and Technology of Nuclear Installations. doi:10.1155/2013/961360.</w:t>
      </w:r>
    </w:p>
    <w:p>
      <w:pPr>
        <w:pStyle w:val="ListParagraph"/>
        <w:numPr>
          <w:ilvl w:val="0"/>
          <w:numId w:val="2"/>
        </w:numPr>
        <w:spacing w:after="80"/>
      </w:pPr>
      <w:r>
        <w:rPr>
          <w:rFonts w:ascii="Arial" w:cs="Arial" w:eastAsia="Arial" w:hAnsi="Arial"/>
          <w:color w:val="111827"/>
          <w:sz w:val="22"/>
          <w:szCs w:val="22"/>
        </w:rPr>
        <w:t xml:space="preserve">Jones W.B. (1986). 'Sequential Test Procedures for Nuclear Material Accounting.' IAEA-SM-293/23.</w:t>
      </w:r>
    </w:p>
    <w:p>
      <w:pPr>
        <w:pStyle w:val="ListParagraph"/>
        <w:numPr>
          <w:ilvl w:val="0"/>
          <w:numId w:val="2"/>
        </w:numPr>
        <w:spacing w:after="80"/>
      </w:pPr>
      <w:r>
        <w:rPr>
          <w:rFonts w:ascii="Arial" w:cs="Arial" w:eastAsia="Arial" w:hAnsi="Arial"/>
          <w:color w:val="111827"/>
          <w:sz w:val="22"/>
          <w:szCs w:val="22"/>
        </w:rPr>
        <w:t xml:space="preserve">Shugart H. et al. (2018). 'NUMSO/SGA: A Non-Destructive Assay Safeguards Program.' OSTI-1461843, Oak Ridge National Laboratory.</w:t>
      </w:r>
    </w:p>
    <w:p>
      <w:pPr>
        <w:pStyle w:val="ListParagraph"/>
        <w:numPr>
          <w:ilvl w:val="0"/>
          <w:numId w:val="2"/>
        </w:numPr>
        <w:spacing w:after="80"/>
      </w:pPr>
      <w:r>
        <w:rPr>
          <w:rFonts w:ascii="Arial" w:cs="Arial" w:eastAsia="Arial" w:hAnsi="Arial"/>
          <w:color w:val="111827"/>
          <w:sz w:val="22"/>
          <w:szCs w:val="22"/>
        </w:rPr>
        <w:t xml:space="preserve">Won E. et al. (2019). 'PYMUS+: Python-Based Material Unaccounted For System.' INMM 2019 Proceedings.</w:t>
      </w:r>
    </w:p>
    <w:p>
      <w:pPr>
        <w:spacing w:after="100"/>
      </w:pPr>
      <w:r>
        <w:t xml:space="preserve"/>
      </w:r>
    </w:p>
    <w:p>
      <w:pPr>
        <w:pStyle w:val="Heading2"/>
        <w:spacing w:before="280" w:after="120"/>
      </w:pPr>
      <w:r>
        <w:rPr>
          <w:rFonts w:ascii="Arial" w:cs="Arial" w:eastAsia="Arial" w:hAnsi="Arial"/>
          <w:b/>
          <w:bCs/>
          <w:color w:val="1A3A5C"/>
          <w:sz w:val="26"/>
          <w:szCs w:val="26"/>
        </w:rPr>
        <w:t xml:space="preserve">Technical Reports</w:t>
      </w:r>
    </w:p>
    <w:p>
      <w:pPr>
        <w:pStyle w:val="ListParagraph"/>
        <w:numPr>
          <w:ilvl w:val="0"/>
          <w:numId w:val="2"/>
        </w:numPr>
        <w:spacing w:after="80"/>
      </w:pPr>
      <w:r>
        <w:rPr>
          <w:rFonts w:ascii="Arial" w:cs="Arial" w:eastAsia="Arial" w:hAnsi="Arial"/>
          <w:color w:val="111827"/>
          <w:sz w:val="22"/>
          <w:szCs w:val="22"/>
        </w:rPr>
        <w:t xml:space="preserve">ORNL/TM-2012/531 — Safeguards Performance Analysis. Oak Ridge National Laboratory, 2012.</w:t>
      </w:r>
    </w:p>
    <w:p>
      <w:pPr>
        <w:pStyle w:val="ListParagraph"/>
        <w:numPr>
          <w:ilvl w:val="0"/>
          <w:numId w:val="2"/>
        </w:numPr>
        <w:spacing w:after="80"/>
      </w:pPr>
      <w:r>
        <w:rPr>
          <w:rFonts w:ascii="Arial" w:cs="Arial" w:eastAsia="Arial" w:hAnsi="Arial"/>
          <w:color w:val="111827"/>
          <w:sz w:val="22"/>
          <w:szCs w:val="22"/>
        </w:rPr>
        <w:t xml:space="preserve">PNNL-20226 — Nuclear Safeguards Methods. Pacific Northwest National Laboratory, 2011.</w:t>
      </w:r>
    </w:p>
    <w:p>
      <w:pPr>
        <w:pStyle w:val="ListParagraph"/>
        <w:numPr>
          <w:ilvl w:val="0"/>
          <w:numId w:val="2"/>
        </w:numPr>
        <w:spacing w:after="80"/>
      </w:pPr>
      <w:r>
        <w:rPr>
          <w:rFonts w:ascii="Arial" w:cs="Arial" w:eastAsia="Arial" w:hAnsi="Arial"/>
          <w:color w:val="111827"/>
          <w:sz w:val="22"/>
          <w:szCs w:val="22"/>
        </w:rPr>
        <w:t xml:space="preserve">ESARDA Bulletin No. 64 (2022) — European Safeguards Research &amp; Development Association.</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8800"/>
      </w:tblGrid>
      <w:tr>
        <w:tc>
          <w:tcPr>
            <w:tcW w:type="dxa" w:w="8800"/>
            <w:tcBorders>
              <w:top w:val="single" w:color="1A3A5C" w:sz="2"/>
              <w:left w:val="single" w:color="1A3A5C" w:sz="12"/>
              <w:bottom w:val="single" w:color="1A3A5C" w:sz="2"/>
              <w:right w:val="single" w:color="1A3A5C" w:sz="2"/>
            </w:tcBorders>
            <w:shd w:fill="E8F4FD" w:val="clear"/>
            <w:tcMar>
              <w:top w:type="dxa" w:w="120"/>
              <w:left w:type="dxa" w:w="180"/>
              <w:bottom w:type="dxa" w:w="120"/>
              <w:right w:type="dxa" w:w="180"/>
            </w:tcMar>
          </w:tcPr>
          <w:p>
            <w:pPr>
              <w:spacing w:after="0"/>
            </w:pPr>
            <w:r>
              <w:rPr>
                <w:rFonts w:ascii="Arial" w:cs="Arial" w:eastAsia="Arial" w:hAnsi="Arial"/>
                <w:color w:val="111827"/>
                <w:sz w:val="20"/>
                <w:szCs w:val="20"/>
              </w:rPr>
              <w:t xml:space="preserve">This guide was prepared for academic use at Tomsk Polytechnic University in support of the MUF Calculator software project. All formulas are implemented faithfully in the MUF Calculator source code and have been verified against the IAEA standards listed above. For questions, contact the Institute of Physics &amp; Technology.</w:t>
            </w:r>
          </w:p>
        </w:tc>
      </w:tr>
    </w:tbl>
    <w:p>
      <w:pPr>
        <w:spacing w:after="200"/>
      </w:pPr>
      <w:r>
        <w:t xml:space="preserve"/>
      </w:r>
    </w:p>
    <w:p>
      <w:pPr>
        <w:jc w:val="center"/>
      </w:pPr>
      <w:r>
        <w:rPr>
          <w:rFonts w:ascii="Arial" w:cs="Arial" w:eastAsia="Arial" w:hAnsi="Arial"/>
          <w:i/>
          <w:iCs/>
          <w:color w:val="9CA3AF"/>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rFonts w:ascii="Arial" w:cs="Arial" w:eastAsia="Arial" w:hAnsi="Arial"/>
        <w:color w:val="9CA3AF"/>
        <w:sz w:val="18"/>
        <w:szCs w:val="18"/>
      </w:rPr>
      <w:t xml:space="preserve">IAEA INFCIRC/153 | Safeguards Glossary 2022 | Burr et al. (2013)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80"/>
    </w:pPr>
    <w:r>
      <w:rPr>
        <w:rFonts w:ascii="Arial" w:cs="Arial" w:eastAsia="Arial" w:hAnsi="Arial"/>
        <w:color w:val="6B7280"/>
        <w:sz w:val="18"/>
        <w:szCs w:val="18"/>
      </w:rPr>
      <w:t xml:space="preserve">MUF Calculator — IAEA Formula Reference Guide  |  Tomsk Polytechnic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2026-03-11T10:49:30.659Z</dcterms:created>
  <dcterms:modified xsi:type="dcterms:W3CDTF">2026-03-11T10:49:30.660Z</dcterms:modified>
</cp:coreProperties>
</file>

<file path=docProps/custom.xml><?xml version="1.0" encoding="utf-8"?>
<Properties xmlns="http://schemas.openxmlformats.org/officeDocument/2006/custom-properties" xmlns:vt="http://schemas.openxmlformats.org/officeDocument/2006/docPropsVTypes"/>
</file>