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3E246" w14:textId="3386D678" w:rsidR="00256A61" w:rsidRDefault="0001403C">
      <w:r>
        <w:rPr>
          <w:rFonts w:hint="eastAsia"/>
        </w:rPr>
        <w:t xml:space="preserve">Title: </w:t>
      </w:r>
      <w:r w:rsidR="00237158" w:rsidRPr="00237158">
        <w:t>StarCoder 2 and The Stack v2: The Next Generation</w:t>
      </w:r>
    </w:p>
    <w:p w14:paraId="40A1BFE4" w14:textId="7E4D5BB4" w:rsidR="0001403C" w:rsidRDefault="0001403C">
      <w:r>
        <w:rPr>
          <w:rFonts w:hint="eastAsia"/>
        </w:rPr>
        <w:t>Authors:</w:t>
      </w:r>
      <w:r w:rsidR="00237158">
        <w:rPr>
          <w:rFonts w:hint="eastAsia"/>
        </w:rPr>
        <w:t xml:space="preserve"> </w:t>
      </w:r>
      <w:r w:rsidR="004A6F4C" w:rsidRPr="004A6F4C">
        <w:t>Anton Lozhkov, Raymond Li, Loubna Ben Allal, Federico Cassano, Joel Lamy-Poirier, Nouamane Tazi, Ao Tang, Dmytro Pykhtar, Jiawei Liu, Yuxiang Wei, Tianyang Liu, Max Tian, Denis Kocetkov, Arthur Zucker, Younes Belkada, Zijian Wang, Qian Liu, Dmitry Abulkhanov, Indraneil Paul, Zhuang Li, Wen-Ding Li, Megan Risdal, Jia Li, Jian Zhu, Terry Yue Zhuo, Evgenii Zheltonozhskii, Nii Osae Osae Dade, Wenhao Yu, Lucas Krauß, Naman Jain, Yixuan Su, Xuanli He, Manan Dey, Edoardo Abati, Yekun Chai, Niklas Muennighoff, Xiangru Tang, Muhtasham Oblokulov, Christopher Akiki, Marc Marone, Chenghao Mou, Mayank Mishra, Alex Gu, Binyuan Hui, Tri Dao, Armel Zebaze, Olivier Dehaene, Nicolas Patry, Canwen Xu, Julian McAuley, Han Hu, Torsten Scholak, Sebastien Paquet, Jennifer Robinson, Carolyn Jane Anderson, Nicolas Chapados, Mostofa Patwary, Nima Tajbakhsh, Yacine Jernite, Carlos Muñoz Ferrandis, Lingming Zhang, Sean Hughes, Thomas Wolf, Arjun Guha, Leandro von Werra, Harm de Vries</w:t>
      </w:r>
    </w:p>
    <w:p w14:paraId="6F38F191" w14:textId="5B082483" w:rsidR="0001403C" w:rsidRDefault="0001403C" w:rsidP="00DE5DDC">
      <w:r>
        <w:rPr>
          <w:rFonts w:hint="eastAsia"/>
        </w:rPr>
        <w:t>Abstract:</w:t>
      </w:r>
      <w:r w:rsidR="00DE5DDC">
        <w:rPr>
          <w:rFonts w:hint="eastAsia"/>
        </w:rPr>
        <w:t xml:space="preserve"> </w:t>
      </w:r>
      <w:r w:rsidRPr="0001403C">
        <w:t>The BigCode project, an open-scientific collaboration focused on the responsible development of Large Language Models for Code (Code LLMs), introduces StarCoder2. In partnership with Software Heritage (SWH), we build The Stack v2 on top of the digital commons of their source code archive. Alongside the SWH repositories spanning 619 programming languages, we carefully select other high-quality data sources, such as GitHub pull requests, Kaggle notebooks, and code documentation. This results in a training set that is 4x larger than the first StarCoder dataset. We train StarCoder2 models with 3B, 7B, and 15B parameters on 3.3 to 4.3 trillion tokens and thoroughly evaluate them on a comprehensive set of Code LLM benchmarks. We find that our small model, StarCoder2-3B, outperforms other Code LLMs of similar size on most benchmarks, and also outperforms StarCoderBase-15B. Our large model, StarCoder2- 15B, significantly outperforms other models of comparable size. In addition, it matches or outperforms CodeLlama-34B, a model more than twice its size. Although DeepSeekCoder- 33B is the best-performing model at code completion for high-resource languages, we find that StarCoder2-15B outperforms it on math and code reasoning benchmarks, as well as several low-resource languages. We make the model weights available under an OpenRAIL license and ensure full transparency regarding the training data by releasing the SoftWare Heritage persistent IDentifiers (SWHIDs) of the source code data.</w:t>
      </w:r>
    </w:p>
    <w:p w14:paraId="352495A2" w14:textId="7C8AD896" w:rsidR="00DD0745" w:rsidRDefault="002267ED" w:rsidP="00DE5DDC">
      <w:r>
        <w:t>A</w:t>
      </w:r>
      <w:r>
        <w:rPr>
          <w:rFonts w:hint="eastAsia"/>
        </w:rPr>
        <w:t xml:space="preserve">rxiv </w:t>
      </w:r>
      <w:r w:rsidR="00FD602A">
        <w:rPr>
          <w:rFonts w:hint="eastAsia"/>
        </w:rPr>
        <w:t>PDF</w:t>
      </w:r>
      <w:r>
        <w:rPr>
          <w:rFonts w:hint="eastAsia"/>
        </w:rPr>
        <w:t xml:space="preserve">: </w:t>
      </w:r>
      <w:hyperlink r:id="rId4" w:history="1">
        <w:r w:rsidR="00DD0745" w:rsidRPr="00AC27F7">
          <w:rPr>
            <w:rStyle w:val="a3"/>
          </w:rPr>
          <w:t>https://arxiv.org/pdf/2402.19173.pdf</w:t>
        </w:r>
      </w:hyperlink>
    </w:p>
    <w:p w14:paraId="0734E242" w14:textId="77777777" w:rsidR="003D59B2" w:rsidRDefault="003D59B2" w:rsidP="00DE5DDC"/>
    <w:p w14:paraId="20CE61C7" w14:textId="2B7C5AF1" w:rsidR="003D59B2" w:rsidRDefault="003D59B2" w:rsidP="00DE5DDC">
      <w:r>
        <w:rPr>
          <w:rFonts w:hint="eastAsia"/>
        </w:rPr>
        <w:t xml:space="preserve">Title: </w:t>
      </w:r>
      <w:r w:rsidRPr="003D59B2">
        <w:t>Beyond Language Models: Byte Models are Digital World Simulators</w:t>
      </w:r>
    </w:p>
    <w:p w14:paraId="031515C9" w14:textId="6F9EFC08" w:rsidR="00CA1729" w:rsidRDefault="00CA1729" w:rsidP="00CA1729">
      <w:r>
        <w:t>Authors:</w:t>
      </w:r>
      <w:r w:rsidR="00DF54D1">
        <w:rPr>
          <w:rFonts w:hint="eastAsia"/>
        </w:rPr>
        <w:t xml:space="preserve"> </w:t>
      </w:r>
      <w:r>
        <w:t>Shangda Wu,</w:t>
      </w:r>
      <w:r>
        <w:rPr>
          <w:rFonts w:hint="eastAsia"/>
        </w:rPr>
        <w:t xml:space="preserve"> </w:t>
      </w:r>
      <w:r>
        <w:t>Xu Tan,</w:t>
      </w:r>
      <w:r>
        <w:rPr>
          <w:rFonts w:hint="eastAsia"/>
        </w:rPr>
        <w:t xml:space="preserve"> </w:t>
      </w:r>
      <w:r>
        <w:t>Zili Wang,</w:t>
      </w:r>
      <w:r>
        <w:rPr>
          <w:rFonts w:hint="eastAsia"/>
        </w:rPr>
        <w:t xml:space="preserve"> </w:t>
      </w:r>
      <w:r>
        <w:t>Rui Wang,</w:t>
      </w:r>
      <w:r>
        <w:rPr>
          <w:rFonts w:hint="eastAsia"/>
        </w:rPr>
        <w:t xml:space="preserve"> </w:t>
      </w:r>
      <w:r>
        <w:t>Xiaobing Li,</w:t>
      </w:r>
      <w:r>
        <w:rPr>
          <w:rFonts w:hint="eastAsia"/>
        </w:rPr>
        <w:t xml:space="preserve"> </w:t>
      </w:r>
      <w:r>
        <w:t>Maosong Sun</w:t>
      </w:r>
    </w:p>
    <w:p w14:paraId="57FFCA5C" w14:textId="6B1F8B96" w:rsidR="00DD525F" w:rsidRDefault="00DD525F" w:rsidP="00DE5DDC">
      <w:r>
        <w:rPr>
          <w:rFonts w:hint="eastAsia"/>
        </w:rPr>
        <w:t xml:space="preserve">Abstract: </w:t>
      </w:r>
      <w:r w:rsidRPr="00DD525F">
        <w:t xml:space="preserve">Traditional deep learning often overlooks bytes, the basic units of the digital world, where all forms of information and operations are encoded and manipulated in binary format. Inspired by the success of next token prediction in natural language processing, we introduce bGPT, a model with next byte prediction to simulate the digital world. bGPT matches specialized models in performance across various modalities, including text, audio, and images, and offers new possibilities for predicting, simulating, and diagnosing algorithm or hardware behaviour. It has almost flawlessly </w:t>
      </w:r>
      <w:r w:rsidRPr="00DD525F">
        <w:lastRenderedPageBreak/>
        <w:t>replicated the process of converting symbolic music data, achieving a low error rate of 0.0011 bits per byte in converting ABC notation to MIDI format. In addition, bGPT demonstrates exceptional capabilities in simulating CPU behaviour, with an accuracy exceeding 99.99% in executing various operations. Leveraging next byte prediction, models like bGPT can directly learn from vast binary data, effectively simulating the intricate patterns of the digital world.</w:t>
      </w:r>
    </w:p>
    <w:p w14:paraId="68E8A97C" w14:textId="2A70EC78" w:rsidR="00A82A8D" w:rsidRPr="00D31F7A" w:rsidRDefault="00AB5C29" w:rsidP="00DE5DDC">
      <w:pPr>
        <w:rPr>
          <w:rFonts w:hint="eastAsia"/>
        </w:rPr>
      </w:pPr>
      <w:r>
        <w:rPr>
          <w:rFonts w:hint="eastAsia"/>
        </w:rPr>
        <w:t xml:space="preserve">Arxiv PDF: </w:t>
      </w:r>
      <w:hyperlink r:id="rId5" w:history="1">
        <w:r w:rsidR="00EA1F37" w:rsidRPr="00AC27F7">
          <w:rPr>
            <w:rStyle w:val="a3"/>
          </w:rPr>
          <w:t>https://arxiv.org/pdf/2402.19155.pdf</w:t>
        </w:r>
      </w:hyperlink>
    </w:p>
    <w:p/>
    <w:p>
      <w:r>
        <w:rPr>
          <w:rFonts w:ascii="Times New Roman" w:hAnsi="Times New Roman"/>
          <w:sz w:val="24"/>
        </w:rPr>
        <w:t>Title: Griffin: Mixing Gated Linear Recurrences with Local Attention for Efficient Language Models</w:t>
      </w:r>
    </w:p>
    <w:p>
      <w:r>
        <w:rPr>
          <w:rFonts w:ascii="Times New Roman" w:hAnsi="Times New Roman"/>
          <w:sz w:val="24"/>
        </w:rPr>
        <w:t>Authors: Soham De, Samuel L. Smith, Anushan Fernando, Aleksandar Botev, George Cristian-Muraru, Albert Gu, Ruba Haroun, Leonard Berrada, Yutian Chen, Srivatsan Srinivasan, Guillaume Desjardins, Arnaud Doucet, David Budden, Yee Whye Teh, Razvan Pascanu, Nando De Freitas, Caglar Gulcehre</w:t>
      </w:r>
    </w:p>
    <w:p>
      <w:r>
        <w:rPr>
          <w:rFonts w:ascii="Times New Roman" w:hAnsi="Times New Roman"/>
          <w:sz w:val="24"/>
        </w:rPr>
        <w:t>Abstract:  Arxiv PDF:</w:t>
      </w:r>
    </w:p>
    <w:p>
      <w:r>
        <w:rPr>
          <w:rFonts w:ascii="Times New Roman" w:hAnsi="Times New Roman"/>
          <w:sz w:val="24"/>
        </w:rPr>
        <w:t xml:space="preserve">Arxiv PDF: </w:t>
      </w:r>
    </w:p>
    <w:p/>
    <w:p>
      <w:r>
        <w:rPr>
          <w:rFonts w:ascii="Times New Roman" w:hAnsi="Times New Roman"/>
          <w:sz w:val="24"/>
        </w:rPr>
        <w:t>Title: Panda-70M: Captioning 70M Videos with Multiple Cross-Modality Teachers</w:t>
      </w:r>
    </w:p>
    <w:p>
      <w:r>
        <w:rPr>
          <w:rFonts w:ascii="Times New Roman" w:hAnsi="Times New Roman"/>
          <w:sz w:val="24"/>
        </w:rPr>
        <w:t>Authors: Tsai-Shien Chen, Aliaksandr Siarohin, Willi Menapace, Ekaterina Deyneka, Hsiang-wei Chao, Byung Eun Jeon, Yuwei Fang, Hsin-Ying Lee, Jian Ren, Ming-Hsuan Yang, Sergey Tulyakov</w:t>
      </w:r>
    </w:p>
    <w:p>
      <w:r>
        <w:rPr>
          <w:rFonts w:ascii="Times New Roman" w:hAnsi="Times New Roman"/>
          <w:sz w:val="24"/>
        </w:rPr>
        <w:t>Abstract:  Arxiv PDF:</w:t>
      </w:r>
    </w:p>
    <w:p>
      <w:r>
        <w:rPr>
          <w:rFonts w:ascii="Times New Roman" w:hAnsi="Times New Roman"/>
          <w:sz w:val="24"/>
        </w:rPr>
        <w:t xml:space="preserve">Arxiv PDF: </w:t>
      </w:r>
    </w:p>
    <w:p/>
    <w:p>
      <w:r>
        <w:rPr>
          <w:rFonts w:ascii="Times New Roman" w:hAnsi="Times New Roman"/>
          <w:sz w:val="24"/>
        </w:rPr>
        <w:t>Title: Humanoid Locomotion as Next Token Prediction</w:t>
      </w:r>
    </w:p>
    <w:p>
      <w:r>
        <w:rPr>
          <w:rFonts w:ascii="Times New Roman" w:hAnsi="Times New Roman"/>
          <w:sz w:val="24"/>
        </w:rPr>
        <w:t>Authors: Ilija Radosavovic, Bike Zhang, Baifeng Shi, Jathushan Rajasegaran, Sarthak Kamat, Trevor Darrell, Koushil Sreenath, Jitendra Malik</w:t>
      </w:r>
    </w:p>
    <w:p>
      <w:r>
        <w:rPr>
          <w:rFonts w:ascii="Times New Roman" w:hAnsi="Times New Roman"/>
          <w:sz w:val="24"/>
        </w:rPr>
        <w:t>Abstract:  Arxiv PDF:</w:t>
      </w:r>
    </w:p>
    <w:p>
      <w:r>
        <w:rPr>
          <w:rFonts w:ascii="Times New Roman" w:hAnsi="Times New Roman"/>
          <w:sz w:val="24"/>
        </w:rPr>
        <w:t xml:space="preserve">Arxiv PDF: </w:t>
      </w:r>
    </w:p>
    <w:p/>
    <w:p>
      <w:r>
        <w:rPr>
          <w:rFonts w:ascii="Times New Roman" w:hAnsi="Times New Roman"/>
          <w:sz w:val="24"/>
        </w:rPr>
        <w:t>Title: Trajectory Consistency Distillation: Improved Latent Consistency Distillation by Semi-Linear Consistency Function with Trajectory Mapping</w:t>
      </w:r>
    </w:p>
    <w:p>
      <w:r>
        <w:rPr>
          <w:rFonts w:ascii="Times New Roman" w:hAnsi="Times New Roman"/>
          <w:sz w:val="24"/>
        </w:rPr>
        <w:t>Authors: Jianbin Zheng, Minghui Hu, Zhongyi Fan, Chaoyue Wang, Changxing Ding, Dacheng Tao, Tat-Jen Cham</w:t>
      </w:r>
    </w:p>
    <w:p>
      <w:r>
        <w:rPr>
          <w:rFonts w:ascii="Times New Roman" w:hAnsi="Times New Roman"/>
          <w:sz w:val="24"/>
        </w:rPr>
        <w:t>Abstract: Latent Consistency Model (LCM) extends the Consistency Model to the latent space and leverages the guided consistency distillation technique to achieve impressive performance in accelerating text-to-image synthesis. However, we observed that LCM struggles to generate images with both clarity and detailed intricacy. Consequently, we introduce Trajectory Consistency Distillation (TCD), which encompasses trajectory consistency function and strategic stochastic sampling. The trajectory consistency function diminishes the parameterisation and distillation errors by broadening the scope of the self-consistency boundary condition with trajectory mapping and endowing the TCD with the ability to accurately trace the entire trajectory of the Probability Flow ODE in semi-linear form with an Exponential Integrator. Additionally, strategic stochastic sampling provides explicit control of stochastic and circumvents the accumulated errors inherent in multi-step consistency sampling. Experiments demonstrate that TCD not only significantly enhances image quality at low NFEs but also yields more detailed results compared to the teacher model at high NFEs.</w:t>
      </w:r>
    </w:p>
    <w:p>
      <w:r>
        <w:rPr>
          <w:rFonts w:ascii="Times New Roman" w:hAnsi="Times New Roman"/>
          <w:sz w:val="24"/>
        </w:rPr>
        <w:t>Arxiv PDF: https://arxiv.org/pdf/2402.19159.pdf</w:t>
      </w:r>
    </w:p>
    <w:p/>
    <w:p>
      <w:r>
        <w:rPr>
          <w:rFonts w:ascii="Times New Roman" w:hAnsi="Times New Roman"/>
          <w:sz w:val="24"/>
        </w:rPr>
        <w:t>Title: MOSAIC: Modular Foundation Models for Assistive and Interactive Cooking</w:t>
      </w:r>
    </w:p>
    <w:p>
      <w:r>
        <w:rPr>
          <w:rFonts w:ascii="Times New Roman" w:hAnsi="Times New Roman"/>
          <w:sz w:val="24"/>
        </w:rPr>
        <w:t>Authors: Huaxiaoyue Wang, Kushal Kedia, Juntao Ren, Rahma Abdullah, Atiksh Bhardwaj, Angela Chao, Kelly Y Chen, Nathaniel Chin, Prithwish Dan, Xinyi Fan, Gonzalo Gonzalez-Pumariega, Aditya Kompella, Maximus Adrian Pace, Yash Sharma, Xiangwan Sun, Neha Sunkara, Sanjiban Choudhury</w:t>
      </w:r>
    </w:p>
    <w:p>
      <w:r>
        <w:rPr>
          <w:rFonts w:ascii="Times New Roman" w:hAnsi="Times New Roman"/>
          <w:sz w:val="24"/>
        </w:rPr>
        <w:t>Abstract: We present MOSAIC, a modular architecture for coordinating multiple robots to (a) interact with users using natural language and (b) manipulate an open vocabulary of everyday objects. MOSAIC employs modularity at several levels: it leverages multiple large-scale pre-trained models for high-level tasks like language and image recognition, while using streamlined modules designed for low-level task-specific control. This decomposition allows us to reap the complementary benefits of foundation models as well as precise, more specialized models. Pieced together, our system is able to scale to complex tasks that involve coordinating multiple robots and humans. First, we unit-test individual modules with 180 episodes of visuomotor picking, 60 episodes of human motion forecasting, and 46 online user evaluations of the task planner. We then extensively evaluate MOSAIC with 60 end-to-end trials. We discuss crucial design decisions, limitations of the current system, and open challenges in this domain. The project's website is at https://portal-cornell.github.io/MOSAIC/</w:t>
      </w:r>
    </w:p>
    <w:p>
      <w:r>
        <w:rPr>
          <w:rFonts w:ascii="Times New Roman" w:hAnsi="Times New Roman"/>
          <w:sz w:val="24"/>
        </w:rPr>
        <w:t>Arxiv PDF: https://arxiv.org/pdf/2402.18796.pdf</w:t>
      </w:r>
    </w:p>
    <w:p/>
    <w:p>
      <w:r>
        <w:rPr>
          <w:rFonts w:ascii="Times New Roman" w:hAnsi="Times New Roman"/>
          <w:sz w:val="24"/>
        </w:rPr>
        <w:t>Title: Priority Sampling of Large Language Models for Compilers</w:t>
      </w:r>
    </w:p>
    <w:p>
      <w:r>
        <w:rPr>
          <w:rFonts w:ascii="Times New Roman" w:hAnsi="Times New Roman"/>
          <w:sz w:val="24"/>
        </w:rPr>
        <w:t>Authors: Dejan Grubisic, Chris Cummins, Volker Seeker, Hugh Leather</w:t>
      </w:r>
    </w:p>
    <w:p>
      <w:r>
        <w:rPr>
          <w:rFonts w:ascii="Times New Roman" w:hAnsi="Times New Roman"/>
          <w:sz w:val="24"/>
        </w:rPr>
        <w:t>Abstract: Large language models show great potential in generating and optimizing code. Widely used sampling methods such as Nucleus Sampling increase the diversity of generation but often produce repeated samples for low temperatures and incoherent samples for high temperatures. Furthermore, the temperature coefficient has to be tuned for each task, limiting its usability. We present Priority Sampling, a simple and deterministic sampling technique that produces unique samples ordered by the model's confidence. Each new sample expands the unexpanded token with the highest probability in the augmented search tree. Additionally, Priority Sampling supports generation based on regular expression that provides a controllable and structured exploration process. Priority Sampling outperforms Nucleus Sampling for any number of samples, boosting the performance of the original model from 2.87% to 5% improvement over -Oz. Moreover, it outperforms the autotuner used for the generation of labels for the training of the original model in just 30 samples.</w:t>
      </w:r>
    </w:p>
    <w:p>
      <w:r>
        <w:rPr>
          <w:rFonts w:ascii="Times New Roman" w:hAnsi="Times New Roman"/>
          <w:sz w:val="24"/>
        </w:rPr>
        <w:t>Arxiv PDF: https://arxiv.org/pdf/2402.18734.pdf</w:t>
      </w:r>
    </w:p>
    <w:p/>
    <w:p>
      <w:r>
        <w:rPr>
          <w:rFonts w:ascii="Times New Roman" w:hAnsi="Times New Roman"/>
          <w:sz w:val="24"/>
        </w:rPr>
        <w:t>Title: DistriFusion: Distributed Parallel Inference for High-Resolution Diffusion Models</w:t>
      </w:r>
    </w:p>
    <w:p>
      <w:r>
        <w:rPr>
          <w:rFonts w:ascii="Times New Roman" w:hAnsi="Times New Roman"/>
          <w:sz w:val="24"/>
        </w:rPr>
        <w:t>Authors: Muyang Li, Tianle Cai, Jiaxin Cao, Qinsheng Zhang, Han Cai, Junjie Bai, Yangqing Jia, Ming-Yu Liu, Kai Li, Song Han</w:t>
      </w:r>
    </w:p>
    <w:p>
      <w:r>
        <w:rPr>
          <w:rFonts w:ascii="Times New Roman" w:hAnsi="Times New Roman"/>
          <w:sz w:val="24"/>
        </w:rPr>
        <w:t>Abstract: Diffusion models have achieved great success in synthesizing high-quality images. However, generating high-resolution images with diffusion models is still challenging due to the enormous computational costs, resulting in a prohibitive latency for interactive applications. In this paper, we propose DistriFusion to tackle this problem by leveraging parallelism across multiple GPUs. Our method splits the model input into multiple patches and assigns each patch to a GPU. However, naively implementing such an algorithm breaks the interaction between patches and loses fidelity, while incorporating such an interaction will incur tremendous communication overhead. To overcome this dilemma, we observe the high similarity between the input from adjacent diffusion steps and propose displaced patch parallelism, which takes advantage of the sequential nature of the diffusion process by reusing the pre-computed feature maps from the previous timestep to provide context for the current step. Therefore, our method supports asynchronous communication, which can be pipelined by computation. Extensive experiments show that our method can be applied to recent Stable Diffusion XL with no quality degradation and achieve up to a 6.1$\times$ speedup on eight NVIDIA A100s compared to one. Our code is publicly available at https://github.com/mit-han-lab/distrifuser.</w:t>
      </w:r>
    </w:p>
    <w:p>
      <w:r>
        <w:rPr>
          <w:rFonts w:ascii="Times New Roman" w:hAnsi="Times New Roman"/>
          <w:sz w:val="24"/>
        </w:rPr>
        <w:t>Arxiv PDF: https://arxiv.org/pdf/2402.19481.pdf</w:t>
      </w:r>
    </w:p>
    <w:p/>
    <w:p>
      <w:r>
        <w:rPr>
          <w:rFonts w:ascii="Times New Roman" w:hAnsi="Times New Roman"/>
          <w:sz w:val="24"/>
        </w:rPr>
        <w:t>Title: Simple linear attention language models balance the recall-throughput tradeoff</w:t>
      </w:r>
    </w:p>
    <w:p>
      <w:r>
        <w:rPr>
          <w:rFonts w:ascii="Times New Roman" w:hAnsi="Times New Roman"/>
          <w:sz w:val="24"/>
        </w:rPr>
        <w:t>Authors: Simran Arora, Sabri Eyuboglu, Michael Zhang, Aman Timalsina, Silas Alberti, Dylan Zinsley, James Zou, Atri Rudra, Christopher Ré</w:t>
      </w:r>
    </w:p>
    <w:p>
      <w:r>
        <w:rPr>
          <w:rFonts w:ascii="Times New Roman" w:hAnsi="Times New Roman"/>
          <w:sz w:val="24"/>
        </w:rPr>
        <w:t>Abstract: Recent work has shown that attention-based language models excel at recall, the ability to ground generations in tokens previously seen in context. However, the efficiency of attention-based models is bottle-necked during inference by the KV-cache's aggressive memory consumption. In this work, we explore whether we can improve language model efficiency (e.g. by reducing memory consumption) without compromising on recall. By applying experiments and theory to a broad set of architectures, we identify a key tradeoff between a model's state size and recall ability. We show that efficient alternatives to attention (e.g. H3, Mamba, RWKV) maintain a fixed-size recurrent state, but struggle at recall. We propose BASED a simple architecture combining linear and sliding window attention. By varying BASED window size and linear attention feature dimension, we can dial the state size and traverse the pareto frontier of the recall-memory tradeoff curve, recovering the full quality of attention on one end and the small state size of attention-alternatives on the other. We train language models up to 1.3b parameters and show that BASED matches the strongest sub-quadratic models (e.g. Mamba) in perplexity and outperforms them on real-world recall-intensive tasks by 6.22 accuracy points. Implementations of linear attention are often less efficient than optimized standard attention implementations. To make BASED competitive, we develop IO-aware algorithms that enable 24x higher throughput on language generation than FlashAttention-2, when generating 1024 tokens using 1.3b parameter models. Code for this work is provided at: https://github.com/HazyResearch/based.</w:t>
      </w:r>
    </w:p>
    <w:p>
      <w:r>
        <w:rPr>
          <w:rFonts w:ascii="Times New Roman" w:hAnsi="Times New Roman"/>
          <w:sz w:val="24"/>
        </w:rPr>
        <w:t>Arxiv PDF: https://arxiv.org/pdf/2402.18668.pdf</w:t>
      </w:r>
    </w:p>
    <w:p/>
    <w:p>
      <w:r>
        <w:rPr>
          <w:rFonts w:ascii="Times New Roman" w:hAnsi="Times New Roman"/>
          <w:sz w:val="24"/>
        </w:rPr>
        <w:t>Title: ViewFusion: Towards Multi-View Consistency via Interpolated Denoising</w:t>
      </w:r>
    </w:p>
    <w:p>
      <w:r>
        <w:rPr>
          <w:rFonts w:ascii="Times New Roman" w:hAnsi="Times New Roman"/>
          <w:sz w:val="24"/>
        </w:rPr>
        <w:t>Authors: Xianghui Yang, Yan Zuo, Sameera Ramasinghe, Loris Bazzani, Gil Avraham, Anton van den Hengel</w:t>
      </w:r>
    </w:p>
    <w:p>
      <w:r>
        <w:rPr>
          <w:rFonts w:ascii="Times New Roman" w:hAnsi="Times New Roman"/>
          <w:sz w:val="24"/>
        </w:rPr>
        <w:t>Abstract: Novel-view synthesis through diffusion models has demonstrated remarkable potential for generating diverse and high-quality images. Yet, the independent process of image generation in these prevailing methods leads to challenges in maintaining multiple-view consistency. To address this, we introduce ViewFusion, a novel, training-free algorithm that can be seamlessly integrated into existing pre-trained diffusion models. Our approach adopts an auto-regressive method that implicitly leverages previously generated views as context for the next view generation, ensuring robust multi-view consistency during the novel-view generation process. Through a diffusion process that fuses known-view information via interpolated denoising, our framework successfully extends single-view conditioned models to work in multiple-view conditional settings without any additional fine-tuning. Extensive experimental results demonstrate the effectiveness of ViewFusion in generating consistent and detailed novel views.</w:t>
      </w:r>
    </w:p>
    <w:p>
      <w:r>
        <w:rPr>
          <w:rFonts w:ascii="Times New Roman" w:hAnsi="Times New Roman"/>
          <w:sz w:val="24"/>
        </w:rPr>
        <w:t>Arxiv PDF: https://arxiv.org/pdf/2402.18842.pdf</w:t>
      </w:r>
    </w:p>
    <w:sectPr w:rsidR="00A82A8D" w:rsidRPr="00D31F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C1"/>
    <w:rsid w:val="0001403C"/>
    <w:rsid w:val="000245C9"/>
    <w:rsid w:val="00051572"/>
    <w:rsid w:val="000C2636"/>
    <w:rsid w:val="000F6A0C"/>
    <w:rsid w:val="001448BA"/>
    <w:rsid w:val="001C73EF"/>
    <w:rsid w:val="00214499"/>
    <w:rsid w:val="002267ED"/>
    <w:rsid w:val="0023494A"/>
    <w:rsid w:val="00237158"/>
    <w:rsid w:val="00251AC4"/>
    <w:rsid w:val="00256A61"/>
    <w:rsid w:val="002B5F3B"/>
    <w:rsid w:val="002E408F"/>
    <w:rsid w:val="00304351"/>
    <w:rsid w:val="00306EBA"/>
    <w:rsid w:val="003257C2"/>
    <w:rsid w:val="00331760"/>
    <w:rsid w:val="00364092"/>
    <w:rsid w:val="00367DE7"/>
    <w:rsid w:val="003D3162"/>
    <w:rsid w:val="003D59B2"/>
    <w:rsid w:val="00421BFB"/>
    <w:rsid w:val="00427A15"/>
    <w:rsid w:val="00476ECC"/>
    <w:rsid w:val="004A38A5"/>
    <w:rsid w:val="004A6F4C"/>
    <w:rsid w:val="00501D8C"/>
    <w:rsid w:val="005733E2"/>
    <w:rsid w:val="00590B40"/>
    <w:rsid w:val="00595C77"/>
    <w:rsid w:val="00603727"/>
    <w:rsid w:val="0060439E"/>
    <w:rsid w:val="006D2C28"/>
    <w:rsid w:val="0073396A"/>
    <w:rsid w:val="008030D9"/>
    <w:rsid w:val="00865919"/>
    <w:rsid w:val="008859ED"/>
    <w:rsid w:val="009163B4"/>
    <w:rsid w:val="00920793"/>
    <w:rsid w:val="00A4449B"/>
    <w:rsid w:val="00A51E58"/>
    <w:rsid w:val="00A82A8D"/>
    <w:rsid w:val="00AB5C29"/>
    <w:rsid w:val="00AD2518"/>
    <w:rsid w:val="00B63C0A"/>
    <w:rsid w:val="00C0591A"/>
    <w:rsid w:val="00C77A31"/>
    <w:rsid w:val="00CA1729"/>
    <w:rsid w:val="00D1464A"/>
    <w:rsid w:val="00D31F7A"/>
    <w:rsid w:val="00D57064"/>
    <w:rsid w:val="00D86B90"/>
    <w:rsid w:val="00DD0745"/>
    <w:rsid w:val="00DD525F"/>
    <w:rsid w:val="00DE5DDC"/>
    <w:rsid w:val="00DF54D1"/>
    <w:rsid w:val="00DF6881"/>
    <w:rsid w:val="00E30510"/>
    <w:rsid w:val="00E9289C"/>
    <w:rsid w:val="00EA1F37"/>
    <w:rsid w:val="00EB3EC1"/>
    <w:rsid w:val="00EB4958"/>
    <w:rsid w:val="00EF54FE"/>
    <w:rsid w:val="00F11209"/>
    <w:rsid w:val="00F43396"/>
    <w:rsid w:val="00F50C3E"/>
    <w:rsid w:val="00F55CF6"/>
    <w:rsid w:val="00F614F1"/>
    <w:rsid w:val="00F95397"/>
    <w:rsid w:val="00FB19DE"/>
    <w:rsid w:val="00FD6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F430C2"/>
  <w15:chartTrackingRefBased/>
  <w15:docId w15:val="{0F99969A-EB0D-E247-B772-130B935F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正文 CS 字体)"/>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D602A"/>
    <w:rPr>
      <w:color w:val="0563C1" w:themeColor="hyperlink"/>
      <w:u w:val="single"/>
    </w:rPr>
  </w:style>
  <w:style w:type="character" w:styleId="a4">
    <w:name w:val="Unresolved Mention"/>
    <w:basedOn w:val="a0"/>
    <w:uiPriority w:val="99"/>
    <w:semiHidden/>
    <w:unhideWhenUsed/>
    <w:rsid w:val="00FD6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42205">
      <w:bodyDiv w:val="1"/>
      <w:marLeft w:val="0"/>
      <w:marRight w:val="0"/>
      <w:marTop w:val="0"/>
      <w:marBottom w:val="0"/>
      <w:divBdr>
        <w:top w:val="none" w:sz="0" w:space="0" w:color="auto"/>
        <w:left w:val="none" w:sz="0" w:space="0" w:color="auto"/>
        <w:bottom w:val="none" w:sz="0" w:space="0" w:color="auto"/>
        <w:right w:val="none" w:sz="0" w:space="0" w:color="auto"/>
      </w:divBdr>
    </w:div>
    <w:div w:id="105646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xiv.org/pdf/2402.19155.pdf" TargetMode="External"/><Relationship Id="rId4" Type="http://schemas.openxmlformats.org/officeDocument/2006/relationships/hyperlink" Target="https://arxiv.org/pdf/2402.19173.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瑞升 曹</dc:creator>
  <cp:keywords/>
  <dc:description/>
  <cp:lastModifiedBy>瑞升 曹</cp:lastModifiedBy>
  <cp:revision>85</cp:revision>
  <dcterms:created xsi:type="dcterms:W3CDTF">2024-03-06T11:37:00Z</dcterms:created>
  <dcterms:modified xsi:type="dcterms:W3CDTF">2024-03-07T11:23:00Z</dcterms:modified>
</cp:coreProperties>
</file>