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F182F0">
      <w:pPr>
        <w:jc w:val="center"/>
        <w:rPr>
          <w:rFonts w:hint="eastAsia" w:ascii="宋体" w:hAnsi="宋体" w:eastAsia="宋体" w:cs="宋体"/>
          <w:b/>
          <w:bCs/>
          <w:sz w:val="32"/>
          <w:szCs w:val="32"/>
        </w:rPr>
      </w:pPr>
      <w:bookmarkStart w:id="0" w:name="_Toc175980378"/>
      <w:bookmarkStart w:id="1" w:name="_Toc445834473"/>
      <w:bookmarkStart w:id="2" w:name="_Toc16988"/>
    </w:p>
    <w:p w14:paraId="4CB9B09D">
      <w:pPr>
        <w:jc w:val="center"/>
        <w:rPr>
          <w:rFonts w:hint="eastAsia" w:ascii="宋体" w:hAnsi="宋体" w:eastAsia="宋体" w:cs="宋体"/>
          <w:b/>
          <w:bCs/>
          <w:sz w:val="32"/>
          <w:szCs w:val="32"/>
        </w:rPr>
      </w:pPr>
    </w:p>
    <w:p w14:paraId="02F5EC53">
      <w:pPr>
        <w:jc w:val="center"/>
        <w:rPr>
          <w:rFonts w:hint="eastAsia" w:ascii="宋体" w:hAnsi="宋体" w:eastAsia="宋体" w:cs="宋体"/>
          <w:b/>
          <w:bCs/>
          <w:sz w:val="32"/>
          <w:szCs w:val="32"/>
        </w:rPr>
      </w:pPr>
    </w:p>
    <w:p w14:paraId="271B1A86">
      <w:pPr>
        <w:jc w:val="center"/>
        <w:rPr>
          <w:rFonts w:hint="eastAsia" w:ascii="宋体" w:hAnsi="宋体" w:eastAsia="宋体" w:cs="宋体"/>
          <w:b/>
          <w:bCs/>
          <w:sz w:val="32"/>
          <w:szCs w:val="32"/>
        </w:rPr>
      </w:pPr>
    </w:p>
    <w:p w14:paraId="72C863CF">
      <w:pPr>
        <w:jc w:val="center"/>
        <w:rPr>
          <w:rFonts w:hint="eastAsia" w:ascii="宋体" w:hAnsi="宋体" w:eastAsia="宋体" w:cs="宋体"/>
          <w:b/>
          <w:bCs/>
          <w:sz w:val="32"/>
          <w:szCs w:val="32"/>
        </w:rPr>
      </w:pPr>
    </w:p>
    <w:p w14:paraId="599E758B">
      <w:pPr>
        <w:jc w:val="center"/>
        <w:rPr>
          <w:rFonts w:hint="eastAsia" w:ascii="宋体" w:hAnsi="宋体" w:eastAsia="宋体" w:cs="宋体"/>
          <w:b/>
          <w:bCs/>
          <w:sz w:val="32"/>
          <w:szCs w:val="32"/>
        </w:rPr>
      </w:pPr>
      <w:r>
        <w:rPr>
          <w:rFonts w:hint="eastAsia" w:ascii="宋体" w:hAnsi="宋体" w:eastAsia="宋体" w:cs="宋体"/>
          <w:b/>
          <w:bCs/>
          <w:sz w:val="32"/>
          <w:szCs w:val="32"/>
        </w:rPr>
        <w:t>中国移动长三角（淮安）算力中心项目室外工程</w:t>
      </w:r>
    </w:p>
    <w:p w14:paraId="2BACF8F3">
      <w:pPr>
        <w:jc w:val="center"/>
        <w:rPr>
          <w:rFonts w:hint="eastAsia" w:ascii="宋体" w:hAnsi="宋体" w:eastAsia="宋体" w:cs="宋体"/>
          <w:b/>
          <w:bCs/>
          <w:sz w:val="32"/>
          <w:szCs w:val="32"/>
        </w:rPr>
      </w:pPr>
      <w:r>
        <w:rPr>
          <w:rFonts w:hint="eastAsia" w:ascii="宋体" w:hAnsi="宋体" w:eastAsia="宋体" w:cs="宋体"/>
          <w:b/>
          <w:bCs/>
          <w:sz w:val="32"/>
          <w:szCs w:val="32"/>
        </w:rPr>
        <w:t>技术标准和要求</w:t>
      </w:r>
    </w:p>
    <w:p w14:paraId="4D9A3A78">
      <w:pPr>
        <w:rPr>
          <w:rFonts w:hint="eastAsia" w:ascii="宋体" w:hAnsi="宋体" w:eastAsia="宋体" w:cs="宋体"/>
        </w:rPr>
      </w:pPr>
    </w:p>
    <w:p w14:paraId="2F872672">
      <w:pPr>
        <w:rPr>
          <w:rFonts w:hint="eastAsia" w:ascii="宋体" w:hAnsi="宋体" w:eastAsia="宋体" w:cs="宋体"/>
        </w:rPr>
        <w:sectPr>
          <w:headerReference r:id="rId7" w:type="first"/>
          <w:footerReference r:id="rId10" w:type="first"/>
          <w:headerReference r:id="rId5" w:type="default"/>
          <w:footerReference r:id="rId8" w:type="default"/>
          <w:headerReference r:id="rId6" w:type="even"/>
          <w:footerReference r:id="rId9" w:type="even"/>
          <w:pgSz w:w="11906" w:h="16838"/>
          <w:pgMar w:top="1418" w:right="1537" w:bottom="1134" w:left="1537" w:header="0" w:footer="567" w:gutter="0"/>
          <w:pgNumType w:start="1"/>
          <w:cols w:space="425" w:num="1"/>
          <w:docGrid w:type="lines" w:linePitch="381" w:charSpace="0"/>
        </w:sectPr>
      </w:pPr>
    </w:p>
    <w:sdt>
      <w:sdtPr>
        <w:rPr>
          <w:rFonts w:hint="eastAsia" w:ascii="宋体" w:hAnsi="宋体" w:eastAsia="宋体" w:cs="宋体"/>
          <w:color w:val="auto"/>
          <w:kern w:val="2"/>
          <w:sz w:val="28"/>
          <w:szCs w:val="28"/>
          <w:lang w:val="zh-CN"/>
          <w14:ligatures w14:val="standardContextual"/>
        </w:rPr>
        <w:id w:val="-1910376385"/>
        <w:docPartObj>
          <w:docPartGallery w:val="Table of Contents"/>
          <w:docPartUnique/>
        </w:docPartObj>
      </w:sdtPr>
      <w:sdtEndPr>
        <w:rPr>
          <w:rFonts w:hint="eastAsia" w:ascii="宋体" w:hAnsi="宋体" w:eastAsia="宋体" w:cs="宋体"/>
          <w:b/>
          <w:bCs/>
          <w:color w:val="auto"/>
          <w:kern w:val="2"/>
          <w:sz w:val="28"/>
          <w:szCs w:val="28"/>
          <w:lang w:val="zh-CN"/>
          <w14:ligatures w14:val="standardContextual"/>
        </w:rPr>
      </w:sdtEndPr>
      <w:sdtContent>
        <w:p w14:paraId="5D5AF73E">
          <w:pPr>
            <w:pStyle w:val="41"/>
            <w:jc w:val="center"/>
            <w:rPr>
              <w:rFonts w:hint="eastAsia" w:ascii="宋体" w:hAnsi="宋体" w:eastAsia="宋体" w:cs="宋体"/>
            </w:rPr>
          </w:pPr>
          <w:r>
            <w:rPr>
              <w:rFonts w:hint="eastAsia" w:ascii="宋体" w:hAnsi="宋体" w:eastAsia="宋体" w:cs="宋体"/>
              <w:lang w:val="zh-CN"/>
            </w:rPr>
            <w:t>目录</w:t>
          </w:r>
        </w:p>
        <w:p w14:paraId="6393233F">
          <w:pPr>
            <w:pStyle w:val="17"/>
            <w:tabs>
              <w:tab w:val="right" w:leader="dot" w:pos="8832"/>
            </w:tabs>
          </w:pPr>
          <w:r>
            <w:rPr>
              <w:rFonts w:hint="eastAsia" w:ascii="宋体" w:hAnsi="宋体" w:eastAsia="宋体" w:cs="宋体"/>
            </w:rPr>
            <w:fldChar w:fldCharType="begin"/>
          </w:r>
          <w:r>
            <w:rPr>
              <w:rFonts w:hint="eastAsia" w:ascii="宋体" w:hAnsi="宋体" w:eastAsia="宋体" w:cs="宋体"/>
            </w:rPr>
            <w:instrText xml:space="preserve"> TOC \o "1-3" \h \z \u </w:instrText>
          </w:r>
          <w:r>
            <w:rPr>
              <w:rFonts w:hint="eastAsia" w:ascii="宋体" w:hAnsi="宋体" w:eastAsia="宋体" w:cs="宋体"/>
            </w:rPr>
            <w:fldChar w:fldCharType="separate"/>
          </w:r>
          <w:r>
            <w:rPr>
              <w:rFonts w:hint="eastAsia" w:ascii="宋体" w:hAnsi="宋体" w:eastAsia="宋体" w:cs="宋体"/>
            </w:rPr>
            <w:fldChar w:fldCharType="begin"/>
          </w:r>
          <w:r>
            <w:rPr>
              <w:rFonts w:hint="eastAsia" w:ascii="宋体" w:hAnsi="宋体" w:eastAsia="宋体" w:cs="宋体"/>
            </w:rPr>
            <w:instrText xml:space="preserve"> HYPERLINK \l _Toc22206 </w:instrText>
          </w:r>
          <w:r>
            <w:rPr>
              <w:rFonts w:hint="eastAsia" w:ascii="宋体" w:hAnsi="宋体" w:eastAsia="宋体" w:cs="宋体"/>
            </w:rPr>
            <w:fldChar w:fldCharType="separate"/>
          </w:r>
          <w:r>
            <w:rPr>
              <w:rFonts w:hint="eastAsia" w:ascii="仿宋" w:hAnsi="仿宋" w:eastAsia="仿宋" w:cs="仿宋"/>
              <w:i w:val="0"/>
            </w:rPr>
            <w:t xml:space="preserve">1 </w:t>
          </w:r>
          <w:r>
            <w:rPr>
              <w:rFonts w:hint="eastAsia" w:ascii="宋体" w:hAnsi="宋体" w:eastAsia="宋体" w:cs="宋体"/>
            </w:rPr>
            <w:t>给排水部分技术要求</w:t>
          </w:r>
          <w:r>
            <w:tab/>
          </w:r>
          <w:r>
            <w:fldChar w:fldCharType="begin"/>
          </w:r>
          <w:r>
            <w:instrText xml:space="preserve"> PAGEREF _Toc22206 \h </w:instrText>
          </w:r>
          <w:r>
            <w:fldChar w:fldCharType="separate"/>
          </w:r>
          <w:r>
            <w:t>1</w:t>
          </w:r>
          <w:r>
            <w:fldChar w:fldCharType="end"/>
          </w:r>
          <w:r>
            <w:rPr>
              <w:rFonts w:hint="eastAsia" w:ascii="宋体" w:hAnsi="宋体" w:eastAsia="宋体" w:cs="宋体"/>
            </w:rPr>
            <w:fldChar w:fldCharType="end"/>
          </w:r>
        </w:p>
        <w:p w14:paraId="02972B97">
          <w:pPr>
            <w:pStyle w:val="14"/>
            <w:tabs>
              <w:tab w:val="right" w:leader="dot" w:pos="8832"/>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_Toc14958 </w:instrText>
          </w:r>
          <w:r>
            <w:rPr>
              <w:rFonts w:hint="eastAsia" w:ascii="宋体" w:hAnsi="宋体" w:eastAsia="宋体" w:cs="宋体"/>
              <w:bCs/>
              <w:lang w:val="zh-CN"/>
            </w:rPr>
            <w:fldChar w:fldCharType="separate"/>
          </w:r>
          <w:r>
            <w:rPr>
              <w:rFonts w:hint="eastAsia" w:ascii="仿宋" w:hAnsi="仿宋" w:eastAsia="仿宋" w:cs="仿宋"/>
              <w:bCs/>
              <w:szCs w:val="28"/>
            </w:rPr>
            <w:t xml:space="preserve">1.1 </w:t>
          </w:r>
          <w:r>
            <w:rPr>
              <w:rFonts w:hint="eastAsia" w:ascii="宋体" w:hAnsi="宋体" w:eastAsia="宋体" w:cs="宋体"/>
            </w:rPr>
            <w:t>水表</w:t>
          </w:r>
          <w:r>
            <w:tab/>
          </w:r>
          <w:r>
            <w:fldChar w:fldCharType="begin"/>
          </w:r>
          <w:r>
            <w:instrText xml:space="preserve"> PAGEREF _Toc14958 \h </w:instrText>
          </w:r>
          <w:r>
            <w:fldChar w:fldCharType="separate"/>
          </w:r>
          <w:r>
            <w:t>1</w:t>
          </w:r>
          <w:r>
            <w:fldChar w:fldCharType="end"/>
          </w:r>
          <w:r>
            <w:rPr>
              <w:rFonts w:hint="eastAsia" w:ascii="宋体" w:hAnsi="宋体" w:eastAsia="宋体" w:cs="宋体"/>
              <w:bCs/>
              <w:lang w:val="zh-CN"/>
            </w:rPr>
            <w:fldChar w:fldCharType="end"/>
          </w:r>
        </w:p>
        <w:p w14:paraId="12987D41">
          <w:pPr>
            <w:pStyle w:val="14"/>
            <w:tabs>
              <w:tab w:val="right" w:leader="dot" w:pos="8832"/>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_Toc19335 </w:instrText>
          </w:r>
          <w:r>
            <w:rPr>
              <w:rFonts w:hint="eastAsia" w:ascii="宋体" w:hAnsi="宋体" w:eastAsia="宋体" w:cs="宋体"/>
              <w:bCs/>
              <w:lang w:val="zh-CN"/>
            </w:rPr>
            <w:fldChar w:fldCharType="separate"/>
          </w:r>
          <w:r>
            <w:rPr>
              <w:rFonts w:hint="eastAsia" w:ascii="仿宋" w:hAnsi="仿宋" w:eastAsia="仿宋" w:cs="仿宋"/>
              <w:bCs/>
              <w:szCs w:val="28"/>
            </w:rPr>
            <w:t xml:space="preserve">1.2 </w:t>
          </w:r>
          <w:r>
            <w:rPr>
              <w:rFonts w:hint="eastAsia" w:ascii="宋体" w:hAnsi="宋体" w:eastAsia="宋体" w:cs="宋体"/>
            </w:rPr>
            <w:t>给排水管道</w:t>
          </w:r>
          <w:r>
            <w:tab/>
          </w:r>
          <w:r>
            <w:fldChar w:fldCharType="begin"/>
          </w:r>
          <w:r>
            <w:instrText xml:space="preserve"> PAGEREF _Toc19335 \h </w:instrText>
          </w:r>
          <w:r>
            <w:fldChar w:fldCharType="separate"/>
          </w:r>
          <w:r>
            <w:t>1</w:t>
          </w:r>
          <w:r>
            <w:fldChar w:fldCharType="end"/>
          </w:r>
          <w:r>
            <w:rPr>
              <w:rFonts w:hint="eastAsia" w:ascii="宋体" w:hAnsi="宋体" w:eastAsia="宋体" w:cs="宋体"/>
              <w:bCs/>
              <w:lang w:val="zh-CN"/>
            </w:rPr>
            <w:fldChar w:fldCharType="end"/>
          </w:r>
        </w:p>
        <w:p w14:paraId="1309D389">
          <w:pPr>
            <w:pStyle w:val="14"/>
            <w:tabs>
              <w:tab w:val="right" w:leader="dot" w:pos="8832"/>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_Toc28401 </w:instrText>
          </w:r>
          <w:r>
            <w:rPr>
              <w:rFonts w:hint="eastAsia" w:ascii="宋体" w:hAnsi="宋体" w:eastAsia="宋体" w:cs="宋体"/>
              <w:bCs/>
              <w:lang w:val="zh-CN"/>
            </w:rPr>
            <w:fldChar w:fldCharType="separate"/>
          </w:r>
          <w:r>
            <w:rPr>
              <w:rFonts w:hint="eastAsia" w:ascii="仿宋" w:hAnsi="仿宋" w:eastAsia="仿宋" w:cs="仿宋"/>
              <w:bCs/>
              <w:szCs w:val="28"/>
              <w:lang w:eastAsia="zh"/>
            </w:rPr>
            <w:t xml:space="preserve">1.3 </w:t>
          </w:r>
          <w:r>
            <w:rPr>
              <w:rFonts w:hint="eastAsia" w:ascii="宋体" w:hAnsi="宋体" w:eastAsia="宋体" w:cs="宋体"/>
              <w:lang w:eastAsia="zh"/>
            </w:rPr>
            <w:t>阀门</w:t>
          </w:r>
          <w:r>
            <w:tab/>
          </w:r>
          <w:r>
            <w:fldChar w:fldCharType="begin"/>
          </w:r>
          <w:r>
            <w:instrText xml:space="preserve"> PAGEREF _Toc28401 \h </w:instrText>
          </w:r>
          <w:r>
            <w:fldChar w:fldCharType="separate"/>
          </w:r>
          <w:r>
            <w:t>2</w:t>
          </w:r>
          <w:r>
            <w:fldChar w:fldCharType="end"/>
          </w:r>
          <w:r>
            <w:rPr>
              <w:rFonts w:hint="eastAsia" w:ascii="宋体" w:hAnsi="宋体" w:eastAsia="宋体" w:cs="宋体"/>
              <w:bCs/>
              <w:lang w:val="zh-CN"/>
            </w:rPr>
            <w:fldChar w:fldCharType="end"/>
          </w:r>
        </w:p>
        <w:p w14:paraId="5008328D">
          <w:pPr>
            <w:pStyle w:val="17"/>
            <w:tabs>
              <w:tab w:val="right" w:leader="dot" w:pos="8832"/>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_Toc7941 </w:instrText>
          </w:r>
          <w:r>
            <w:rPr>
              <w:rFonts w:hint="eastAsia" w:ascii="宋体" w:hAnsi="宋体" w:eastAsia="宋体" w:cs="宋体"/>
              <w:bCs/>
              <w:lang w:val="zh-CN"/>
            </w:rPr>
            <w:fldChar w:fldCharType="separate"/>
          </w:r>
          <w:r>
            <w:rPr>
              <w:rFonts w:hint="eastAsia" w:ascii="仿宋" w:hAnsi="仿宋" w:eastAsia="仿宋" w:cs="仿宋"/>
              <w:i w:val="0"/>
            </w:rPr>
            <w:t xml:space="preserve">2 </w:t>
          </w:r>
          <w:r>
            <w:rPr>
              <w:rFonts w:hint="eastAsia" w:ascii="宋体" w:hAnsi="宋体" w:eastAsia="宋体" w:cs="宋体"/>
            </w:rPr>
            <w:t>电气部分技术要求</w:t>
          </w:r>
          <w:r>
            <w:tab/>
          </w:r>
          <w:r>
            <w:fldChar w:fldCharType="begin"/>
          </w:r>
          <w:r>
            <w:instrText xml:space="preserve"> PAGEREF _Toc7941 \h </w:instrText>
          </w:r>
          <w:r>
            <w:fldChar w:fldCharType="separate"/>
          </w:r>
          <w:r>
            <w:t>3</w:t>
          </w:r>
          <w:r>
            <w:fldChar w:fldCharType="end"/>
          </w:r>
          <w:r>
            <w:rPr>
              <w:rFonts w:hint="eastAsia" w:ascii="宋体" w:hAnsi="宋体" w:eastAsia="宋体" w:cs="宋体"/>
              <w:bCs/>
              <w:lang w:val="zh-CN"/>
            </w:rPr>
            <w:fldChar w:fldCharType="end"/>
          </w:r>
        </w:p>
        <w:p w14:paraId="55EAA521">
          <w:pPr>
            <w:pStyle w:val="14"/>
            <w:tabs>
              <w:tab w:val="right" w:leader="dot" w:pos="8832"/>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_Toc9348 </w:instrText>
          </w:r>
          <w:r>
            <w:rPr>
              <w:rFonts w:hint="eastAsia" w:ascii="宋体" w:hAnsi="宋体" w:eastAsia="宋体" w:cs="宋体"/>
              <w:bCs/>
              <w:lang w:val="zh-CN"/>
            </w:rPr>
            <w:fldChar w:fldCharType="separate"/>
          </w:r>
          <w:r>
            <w:rPr>
              <w:rFonts w:hint="eastAsia" w:ascii="仿宋" w:hAnsi="仿宋" w:eastAsia="仿宋" w:cs="仿宋"/>
              <w:bCs/>
              <w:szCs w:val="28"/>
            </w:rPr>
            <w:t xml:space="preserve">2.1 </w:t>
          </w:r>
          <w:r>
            <w:rPr>
              <w:rFonts w:hint="eastAsia" w:ascii="宋体" w:hAnsi="宋体" w:eastAsia="宋体" w:cs="宋体"/>
            </w:rPr>
            <w:t>配电箱（柜）技术要求</w:t>
          </w:r>
          <w:r>
            <w:tab/>
          </w:r>
          <w:r>
            <w:fldChar w:fldCharType="begin"/>
          </w:r>
          <w:r>
            <w:instrText xml:space="preserve"> PAGEREF _Toc9348 \h </w:instrText>
          </w:r>
          <w:r>
            <w:fldChar w:fldCharType="separate"/>
          </w:r>
          <w:r>
            <w:t>3</w:t>
          </w:r>
          <w:r>
            <w:fldChar w:fldCharType="end"/>
          </w:r>
          <w:r>
            <w:rPr>
              <w:rFonts w:hint="eastAsia" w:ascii="宋体" w:hAnsi="宋体" w:eastAsia="宋体" w:cs="宋体"/>
              <w:bCs/>
              <w:lang w:val="zh-CN"/>
            </w:rPr>
            <w:fldChar w:fldCharType="end"/>
          </w:r>
        </w:p>
        <w:p w14:paraId="1F60BC7E">
          <w:pPr>
            <w:pStyle w:val="14"/>
            <w:tabs>
              <w:tab w:val="right" w:leader="dot" w:pos="8832"/>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_Toc25797 </w:instrText>
          </w:r>
          <w:r>
            <w:rPr>
              <w:rFonts w:hint="eastAsia" w:ascii="宋体" w:hAnsi="宋体" w:eastAsia="宋体" w:cs="宋体"/>
              <w:bCs/>
              <w:lang w:val="zh-CN"/>
            </w:rPr>
            <w:fldChar w:fldCharType="separate"/>
          </w:r>
          <w:r>
            <w:rPr>
              <w:rFonts w:hint="eastAsia" w:ascii="仿宋" w:hAnsi="仿宋" w:eastAsia="仿宋" w:cs="仿宋"/>
              <w:bCs/>
              <w:szCs w:val="28"/>
            </w:rPr>
            <w:t xml:space="preserve">2.2 </w:t>
          </w:r>
          <w:r>
            <w:rPr>
              <w:rFonts w:hint="eastAsia" w:ascii="宋体" w:hAnsi="宋体" w:eastAsia="宋体" w:cs="宋体"/>
            </w:rPr>
            <w:t>照明灯具技术要求</w:t>
          </w:r>
          <w:r>
            <w:tab/>
          </w:r>
          <w:r>
            <w:fldChar w:fldCharType="begin"/>
          </w:r>
          <w:r>
            <w:instrText xml:space="preserve"> PAGEREF _Toc25797 \h </w:instrText>
          </w:r>
          <w:r>
            <w:fldChar w:fldCharType="separate"/>
          </w:r>
          <w:r>
            <w:t>9</w:t>
          </w:r>
          <w:r>
            <w:fldChar w:fldCharType="end"/>
          </w:r>
          <w:r>
            <w:rPr>
              <w:rFonts w:hint="eastAsia" w:ascii="宋体" w:hAnsi="宋体" w:eastAsia="宋体" w:cs="宋体"/>
              <w:bCs/>
              <w:lang w:val="zh-CN"/>
            </w:rPr>
            <w:fldChar w:fldCharType="end"/>
          </w:r>
        </w:p>
        <w:p w14:paraId="1CB34E39">
          <w:pPr>
            <w:pStyle w:val="14"/>
            <w:tabs>
              <w:tab w:val="right" w:leader="dot" w:pos="8832"/>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_Toc15355 </w:instrText>
          </w:r>
          <w:r>
            <w:rPr>
              <w:rFonts w:hint="eastAsia" w:ascii="宋体" w:hAnsi="宋体" w:eastAsia="宋体" w:cs="宋体"/>
              <w:bCs/>
              <w:lang w:val="zh-CN"/>
            </w:rPr>
            <w:fldChar w:fldCharType="separate"/>
          </w:r>
          <w:r>
            <w:rPr>
              <w:rFonts w:hint="eastAsia" w:ascii="仿宋" w:hAnsi="仿宋" w:eastAsia="仿宋" w:cs="仿宋"/>
              <w:bCs/>
              <w:szCs w:val="28"/>
            </w:rPr>
            <w:t xml:space="preserve">2.3 </w:t>
          </w:r>
          <w:r>
            <w:rPr>
              <w:rFonts w:hint="eastAsia" w:ascii="宋体" w:hAnsi="宋体" w:eastAsia="宋体" w:cs="宋体"/>
            </w:rPr>
            <w:t>埋地式电力电缆用氯化聚氯乙烯（PVC-C）套管</w:t>
          </w:r>
          <w:r>
            <w:tab/>
          </w:r>
          <w:r>
            <w:fldChar w:fldCharType="begin"/>
          </w:r>
          <w:r>
            <w:instrText xml:space="preserve"> PAGEREF _Toc15355 \h </w:instrText>
          </w:r>
          <w:r>
            <w:fldChar w:fldCharType="separate"/>
          </w:r>
          <w:r>
            <w:t>12</w:t>
          </w:r>
          <w:r>
            <w:fldChar w:fldCharType="end"/>
          </w:r>
          <w:r>
            <w:rPr>
              <w:rFonts w:hint="eastAsia" w:ascii="宋体" w:hAnsi="宋体" w:eastAsia="宋体" w:cs="宋体"/>
              <w:bCs/>
              <w:lang w:val="zh-CN"/>
            </w:rPr>
            <w:fldChar w:fldCharType="end"/>
          </w:r>
        </w:p>
        <w:p w14:paraId="05C0D7D8">
          <w:pPr>
            <w:pStyle w:val="17"/>
            <w:tabs>
              <w:tab w:val="right" w:leader="dot" w:pos="8832"/>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_Toc4059 </w:instrText>
          </w:r>
          <w:r>
            <w:rPr>
              <w:rFonts w:hint="eastAsia" w:ascii="宋体" w:hAnsi="宋体" w:eastAsia="宋体" w:cs="宋体"/>
              <w:bCs/>
              <w:lang w:val="zh-CN"/>
            </w:rPr>
            <w:fldChar w:fldCharType="separate"/>
          </w:r>
          <w:r>
            <w:rPr>
              <w:rFonts w:hint="eastAsia" w:ascii="仿宋" w:hAnsi="仿宋" w:eastAsia="仿宋" w:cs="仿宋"/>
              <w:i w:val="0"/>
            </w:rPr>
            <w:t xml:space="preserve">3 </w:t>
          </w:r>
          <w:r>
            <w:rPr>
              <w:rFonts w:hint="eastAsia" w:ascii="宋体" w:hAnsi="宋体" w:eastAsia="宋体" w:cs="宋体"/>
            </w:rPr>
            <w:t>弱电部分技术要求</w:t>
          </w:r>
          <w:r>
            <w:tab/>
          </w:r>
          <w:r>
            <w:fldChar w:fldCharType="begin"/>
          </w:r>
          <w:r>
            <w:instrText xml:space="preserve"> PAGEREF _Toc4059 \h </w:instrText>
          </w:r>
          <w:r>
            <w:fldChar w:fldCharType="separate"/>
          </w:r>
          <w:r>
            <w:t>16</w:t>
          </w:r>
          <w:r>
            <w:fldChar w:fldCharType="end"/>
          </w:r>
          <w:r>
            <w:rPr>
              <w:rFonts w:hint="eastAsia" w:ascii="宋体" w:hAnsi="宋体" w:eastAsia="宋体" w:cs="宋体"/>
              <w:bCs/>
              <w:lang w:val="zh-CN"/>
            </w:rPr>
            <w:fldChar w:fldCharType="end"/>
          </w:r>
        </w:p>
        <w:p w14:paraId="3472C07E">
          <w:pPr>
            <w:pStyle w:val="14"/>
            <w:tabs>
              <w:tab w:val="right" w:leader="dot" w:pos="8832"/>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_Toc25441 </w:instrText>
          </w:r>
          <w:r>
            <w:rPr>
              <w:rFonts w:hint="eastAsia" w:ascii="宋体" w:hAnsi="宋体" w:eastAsia="宋体" w:cs="宋体"/>
              <w:bCs/>
              <w:lang w:val="zh-CN"/>
            </w:rPr>
            <w:fldChar w:fldCharType="separate"/>
          </w:r>
          <w:r>
            <w:rPr>
              <w:rFonts w:hint="eastAsia" w:ascii="仿宋" w:hAnsi="仿宋" w:eastAsia="仿宋" w:cs="仿宋"/>
              <w:bCs/>
              <w:szCs w:val="28"/>
            </w:rPr>
            <w:t xml:space="preserve">3.1 </w:t>
          </w:r>
          <w:r>
            <w:rPr>
              <w:rFonts w:hint="eastAsia" w:ascii="宋体" w:hAnsi="宋体" w:eastAsia="宋体" w:cs="宋体"/>
            </w:rPr>
            <w:t>总技术要求</w:t>
          </w:r>
          <w:r>
            <w:tab/>
          </w:r>
          <w:r>
            <w:fldChar w:fldCharType="begin"/>
          </w:r>
          <w:r>
            <w:instrText xml:space="preserve"> PAGEREF _Toc25441 \h </w:instrText>
          </w:r>
          <w:r>
            <w:fldChar w:fldCharType="separate"/>
          </w:r>
          <w:r>
            <w:t>16</w:t>
          </w:r>
          <w:r>
            <w:fldChar w:fldCharType="end"/>
          </w:r>
          <w:r>
            <w:rPr>
              <w:rFonts w:hint="eastAsia" w:ascii="宋体" w:hAnsi="宋体" w:eastAsia="宋体" w:cs="宋体"/>
              <w:bCs/>
              <w:lang w:val="zh-CN"/>
            </w:rPr>
            <w:fldChar w:fldCharType="end"/>
          </w:r>
        </w:p>
        <w:p w14:paraId="61881F02">
          <w:pPr>
            <w:pStyle w:val="14"/>
            <w:tabs>
              <w:tab w:val="right" w:leader="dot" w:pos="8832"/>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_Toc10316 </w:instrText>
          </w:r>
          <w:r>
            <w:rPr>
              <w:rFonts w:hint="eastAsia" w:ascii="宋体" w:hAnsi="宋体" w:eastAsia="宋体" w:cs="宋体"/>
              <w:bCs/>
              <w:lang w:val="zh-CN"/>
            </w:rPr>
            <w:fldChar w:fldCharType="separate"/>
          </w:r>
          <w:r>
            <w:rPr>
              <w:rFonts w:hint="eastAsia" w:ascii="仿宋" w:hAnsi="仿宋" w:eastAsia="仿宋" w:cs="仿宋"/>
              <w:bCs/>
              <w:szCs w:val="28"/>
            </w:rPr>
            <w:t xml:space="preserve">3.2 </w:t>
          </w:r>
          <w:r>
            <w:rPr>
              <w:rFonts w:hint="eastAsia" w:ascii="宋体" w:hAnsi="宋体" w:eastAsia="宋体" w:cs="宋体"/>
            </w:rPr>
            <w:t>电子围栏系统</w:t>
          </w:r>
          <w:r>
            <w:tab/>
          </w:r>
          <w:r>
            <w:fldChar w:fldCharType="begin"/>
          </w:r>
          <w:r>
            <w:instrText xml:space="preserve"> PAGEREF _Toc10316 \h </w:instrText>
          </w:r>
          <w:r>
            <w:fldChar w:fldCharType="separate"/>
          </w:r>
          <w:r>
            <w:t>17</w:t>
          </w:r>
          <w:r>
            <w:fldChar w:fldCharType="end"/>
          </w:r>
          <w:r>
            <w:rPr>
              <w:rFonts w:hint="eastAsia" w:ascii="宋体" w:hAnsi="宋体" w:eastAsia="宋体" w:cs="宋体"/>
              <w:bCs/>
              <w:lang w:val="zh-CN"/>
            </w:rPr>
            <w:fldChar w:fldCharType="end"/>
          </w:r>
        </w:p>
        <w:p w14:paraId="04E71131">
          <w:pPr>
            <w:pStyle w:val="14"/>
            <w:tabs>
              <w:tab w:val="right" w:leader="dot" w:pos="8832"/>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_Toc21573 </w:instrText>
          </w:r>
          <w:r>
            <w:rPr>
              <w:rFonts w:hint="eastAsia" w:ascii="宋体" w:hAnsi="宋体" w:eastAsia="宋体" w:cs="宋体"/>
              <w:bCs/>
              <w:lang w:val="zh-CN"/>
            </w:rPr>
            <w:fldChar w:fldCharType="separate"/>
          </w:r>
          <w:r>
            <w:rPr>
              <w:rFonts w:hint="eastAsia" w:ascii="仿宋" w:hAnsi="仿宋" w:eastAsia="仿宋" w:cs="仿宋"/>
              <w:bCs/>
              <w:szCs w:val="28"/>
            </w:rPr>
            <w:t xml:space="preserve">3.3 </w:t>
          </w:r>
          <w:r>
            <w:rPr>
              <w:rFonts w:hint="eastAsia" w:ascii="宋体" w:hAnsi="宋体" w:eastAsia="宋体" w:cs="宋体"/>
            </w:rPr>
            <w:t>视频监控系统</w:t>
          </w:r>
          <w:r>
            <w:tab/>
          </w:r>
          <w:r>
            <w:fldChar w:fldCharType="begin"/>
          </w:r>
          <w:r>
            <w:instrText xml:space="preserve"> PAGEREF _Toc21573 \h </w:instrText>
          </w:r>
          <w:r>
            <w:fldChar w:fldCharType="separate"/>
          </w:r>
          <w:r>
            <w:t>25</w:t>
          </w:r>
          <w:r>
            <w:fldChar w:fldCharType="end"/>
          </w:r>
          <w:r>
            <w:rPr>
              <w:rFonts w:hint="eastAsia" w:ascii="宋体" w:hAnsi="宋体" w:eastAsia="宋体" w:cs="宋体"/>
              <w:bCs/>
              <w:lang w:val="zh-CN"/>
            </w:rPr>
            <w:fldChar w:fldCharType="end"/>
          </w:r>
        </w:p>
        <w:p w14:paraId="64CA9C5A">
          <w:pPr>
            <w:pStyle w:val="17"/>
            <w:tabs>
              <w:tab w:val="right" w:leader="dot" w:pos="8832"/>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_Toc29852 </w:instrText>
          </w:r>
          <w:r>
            <w:rPr>
              <w:rFonts w:hint="eastAsia" w:ascii="宋体" w:hAnsi="宋体" w:eastAsia="宋体" w:cs="宋体"/>
              <w:bCs/>
              <w:lang w:val="zh-CN"/>
            </w:rPr>
            <w:fldChar w:fldCharType="separate"/>
          </w:r>
          <w:r>
            <w:rPr>
              <w:rFonts w:hint="eastAsia" w:ascii="仿宋" w:hAnsi="仿宋" w:eastAsia="仿宋" w:cs="仿宋"/>
              <w:i w:val="0"/>
            </w:rPr>
            <w:t xml:space="preserve">4 </w:t>
          </w:r>
          <w:r>
            <w:rPr>
              <w:rFonts w:hint="eastAsia" w:ascii="宋体" w:hAnsi="宋体" w:eastAsia="宋体" w:cs="宋体"/>
            </w:rPr>
            <w:t>景观工程技术规范</w:t>
          </w:r>
          <w:r>
            <w:tab/>
          </w:r>
          <w:r>
            <w:fldChar w:fldCharType="begin"/>
          </w:r>
          <w:r>
            <w:instrText xml:space="preserve"> PAGEREF _Toc29852 \h </w:instrText>
          </w:r>
          <w:r>
            <w:fldChar w:fldCharType="separate"/>
          </w:r>
          <w:r>
            <w:t>31</w:t>
          </w:r>
          <w:r>
            <w:fldChar w:fldCharType="end"/>
          </w:r>
          <w:r>
            <w:rPr>
              <w:rFonts w:hint="eastAsia" w:ascii="宋体" w:hAnsi="宋体" w:eastAsia="宋体" w:cs="宋体"/>
              <w:bCs/>
              <w:lang w:val="zh-CN"/>
            </w:rPr>
            <w:fldChar w:fldCharType="end"/>
          </w:r>
        </w:p>
        <w:p w14:paraId="5B83D785">
          <w:pPr>
            <w:pStyle w:val="14"/>
            <w:tabs>
              <w:tab w:val="right" w:leader="dot" w:pos="8832"/>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_Toc10626 </w:instrText>
          </w:r>
          <w:r>
            <w:rPr>
              <w:rFonts w:hint="eastAsia" w:ascii="宋体" w:hAnsi="宋体" w:eastAsia="宋体" w:cs="宋体"/>
              <w:bCs/>
              <w:lang w:val="zh-CN"/>
            </w:rPr>
            <w:fldChar w:fldCharType="separate"/>
          </w:r>
          <w:r>
            <w:rPr>
              <w:rFonts w:hint="eastAsia" w:ascii="仿宋" w:hAnsi="仿宋" w:eastAsia="仿宋" w:cs="仿宋"/>
              <w:bCs/>
              <w:szCs w:val="28"/>
            </w:rPr>
            <w:t xml:space="preserve">4.1 </w:t>
          </w:r>
          <w:r>
            <w:rPr>
              <w:rFonts w:hint="eastAsia" w:ascii="宋体" w:hAnsi="宋体" w:eastAsia="宋体" w:cs="宋体"/>
            </w:rPr>
            <w:t>工程概况:</w:t>
          </w:r>
          <w:r>
            <w:tab/>
          </w:r>
          <w:r>
            <w:fldChar w:fldCharType="begin"/>
          </w:r>
          <w:r>
            <w:instrText xml:space="preserve"> PAGEREF _Toc10626 \h </w:instrText>
          </w:r>
          <w:r>
            <w:fldChar w:fldCharType="separate"/>
          </w:r>
          <w:r>
            <w:t>31</w:t>
          </w:r>
          <w:r>
            <w:fldChar w:fldCharType="end"/>
          </w:r>
          <w:r>
            <w:rPr>
              <w:rFonts w:hint="eastAsia" w:ascii="宋体" w:hAnsi="宋体" w:eastAsia="宋体" w:cs="宋体"/>
              <w:bCs/>
              <w:lang w:val="zh-CN"/>
            </w:rPr>
            <w:fldChar w:fldCharType="end"/>
          </w:r>
        </w:p>
        <w:p w14:paraId="10636AEE">
          <w:pPr>
            <w:pStyle w:val="14"/>
            <w:tabs>
              <w:tab w:val="right" w:leader="dot" w:pos="8832"/>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_Toc249 </w:instrText>
          </w:r>
          <w:r>
            <w:rPr>
              <w:rFonts w:hint="eastAsia" w:ascii="宋体" w:hAnsi="宋体" w:eastAsia="宋体" w:cs="宋体"/>
              <w:bCs/>
              <w:lang w:val="zh-CN"/>
            </w:rPr>
            <w:fldChar w:fldCharType="separate"/>
          </w:r>
          <w:r>
            <w:rPr>
              <w:rFonts w:hint="eastAsia" w:ascii="仿宋" w:hAnsi="仿宋" w:eastAsia="仿宋" w:cs="仿宋"/>
              <w:bCs/>
              <w:szCs w:val="28"/>
            </w:rPr>
            <w:t xml:space="preserve">4.2 </w:t>
          </w:r>
          <w:r>
            <w:rPr>
              <w:rFonts w:hint="eastAsia" w:ascii="宋体" w:hAnsi="宋体" w:eastAsia="宋体" w:cs="宋体"/>
            </w:rPr>
            <w:t>技术规范</w:t>
          </w:r>
          <w:r>
            <w:tab/>
          </w:r>
          <w:r>
            <w:fldChar w:fldCharType="begin"/>
          </w:r>
          <w:r>
            <w:instrText xml:space="preserve"> PAGEREF _Toc249 \h </w:instrText>
          </w:r>
          <w:r>
            <w:fldChar w:fldCharType="separate"/>
          </w:r>
          <w:r>
            <w:t>31</w:t>
          </w:r>
          <w:r>
            <w:fldChar w:fldCharType="end"/>
          </w:r>
          <w:r>
            <w:rPr>
              <w:rFonts w:hint="eastAsia" w:ascii="宋体" w:hAnsi="宋体" w:eastAsia="宋体" w:cs="宋体"/>
              <w:bCs/>
              <w:lang w:val="zh-CN"/>
            </w:rPr>
            <w:fldChar w:fldCharType="end"/>
          </w:r>
        </w:p>
        <w:p w14:paraId="140B1F54">
          <w:pPr>
            <w:pStyle w:val="14"/>
            <w:tabs>
              <w:tab w:val="right" w:leader="dot" w:pos="8832"/>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_Toc12365 </w:instrText>
          </w:r>
          <w:r>
            <w:rPr>
              <w:rFonts w:hint="eastAsia" w:ascii="宋体" w:hAnsi="宋体" w:eastAsia="宋体" w:cs="宋体"/>
              <w:bCs/>
              <w:lang w:val="zh-CN"/>
            </w:rPr>
            <w:fldChar w:fldCharType="separate"/>
          </w:r>
          <w:r>
            <w:rPr>
              <w:rFonts w:hint="eastAsia" w:ascii="仿宋" w:hAnsi="仿宋" w:eastAsia="仿宋" w:cs="仿宋"/>
              <w:bCs/>
              <w:szCs w:val="28"/>
            </w:rPr>
            <w:t xml:space="preserve">4.3 </w:t>
          </w:r>
          <w:r>
            <w:rPr>
              <w:rFonts w:hint="eastAsia" w:ascii="宋体" w:hAnsi="宋体" w:eastAsia="宋体" w:cs="宋体"/>
            </w:rPr>
            <w:t>本专业图纸组织</w:t>
          </w:r>
          <w:r>
            <w:tab/>
          </w:r>
          <w:r>
            <w:fldChar w:fldCharType="begin"/>
          </w:r>
          <w:r>
            <w:instrText xml:space="preserve"> PAGEREF _Toc12365 \h </w:instrText>
          </w:r>
          <w:r>
            <w:fldChar w:fldCharType="separate"/>
          </w:r>
          <w:r>
            <w:t>32</w:t>
          </w:r>
          <w:r>
            <w:fldChar w:fldCharType="end"/>
          </w:r>
          <w:r>
            <w:rPr>
              <w:rFonts w:hint="eastAsia" w:ascii="宋体" w:hAnsi="宋体" w:eastAsia="宋体" w:cs="宋体"/>
              <w:bCs/>
              <w:lang w:val="zh-CN"/>
            </w:rPr>
            <w:fldChar w:fldCharType="end"/>
          </w:r>
        </w:p>
        <w:p w14:paraId="5BF52DA2">
          <w:pPr>
            <w:pStyle w:val="14"/>
            <w:tabs>
              <w:tab w:val="right" w:leader="dot" w:pos="8832"/>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_Toc30876 </w:instrText>
          </w:r>
          <w:r>
            <w:rPr>
              <w:rFonts w:hint="eastAsia" w:ascii="宋体" w:hAnsi="宋体" w:eastAsia="宋体" w:cs="宋体"/>
              <w:bCs/>
              <w:lang w:val="zh-CN"/>
            </w:rPr>
            <w:fldChar w:fldCharType="separate"/>
          </w:r>
          <w:r>
            <w:rPr>
              <w:rFonts w:hint="eastAsia" w:ascii="仿宋" w:hAnsi="仿宋" w:eastAsia="仿宋" w:cs="仿宋"/>
              <w:bCs/>
              <w:szCs w:val="28"/>
            </w:rPr>
            <w:t xml:space="preserve">4.4 </w:t>
          </w:r>
          <w:r>
            <w:rPr>
              <w:rFonts w:hint="eastAsia" w:ascii="宋体" w:hAnsi="宋体" w:eastAsia="宋体" w:cs="宋体"/>
            </w:rPr>
            <w:t>景观土建施工</w:t>
          </w:r>
          <w:r>
            <w:tab/>
          </w:r>
          <w:r>
            <w:fldChar w:fldCharType="begin"/>
          </w:r>
          <w:r>
            <w:instrText xml:space="preserve"> PAGEREF _Toc30876 \h </w:instrText>
          </w:r>
          <w:r>
            <w:fldChar w:fldCharType="separate"/>
          </w:r>
          <w:r>
            <w:t>33</w:t>
          </w:r>
          <w:r>
            <w:fldChar w:fldCharType="end"/>
          </w:r>
          <w:r>
            <w:rPr>
              <w:rFonts w:hint="eastAsia" w:ascii="宋体" w:hAnsi="宋体" w:eastAsia="宋体" w:cs="宋体"/>
              <w:bCs/>
              <w:lang w:val="zh-CN"/>
            </w:rPr>
            <w:fldChar w:fldCharType="end"/>
          </w:r>
        </w:p>
        <w:p w14:paraId="2058EEAB">
          <w:pPr>
            <w:pStyle w:val="14"/>
            <w:tabs>
              <w:tab w:val="right" w:leader="dot" w:pos="8832"/>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_Toc30334 </w:instrText>
          </w:r>
          <w:r>
            <w:rPr>
              <w:rFonts w:hint="eastAsia" w:ascii="宋体" w:hAnsi="宋体" w:eastAsia="宋体" w:cs="宋体"/>
              <w:bCs/>
              <w:lang w:val="zh-CN"/>
            </w:rPr>
            <w:fldChar w:fldCharType="separate"/>
          </w:r>
          <w:r>
            <w:rPr>
              <w:rFonts w:hint="eastAsia" w:ascii="仿宋" w:hAnsi="仿宋" w:eastAsia="仿宋" w:cs="仿宋"/>
              <w:bCs/>
              <w:szCs w:val="28"/>
            </w:rPr>
            <w:t xml:space="preserve">4.5 </w:t>
          </w:r>
          <w:r>
            <w:rPr>
              <w:rFonts w:hint="eastAsia" w:ascii="宋体" w:hAnsi="宋体" w:eastAsia="宋体" w:cs="宋体"/>
            </w:rPr>
            <w:t>种植</w:t>
          </w:r>
          <w:r>
            <w:tab/>
          </w:r>
          <w:r>
            <w:fldChar w:fldCharType="begin"/>
          </w:r>
          <w:r>
            <w:instrText xml:space="preserve"> PAGEREF _Toc30334 \h </w:instrText>
          </w:r>
          <w:r>
            <w:fldChar w:fldCharType="separate"/>
          </w:r>
          <w:r>
            <w:t>34</w:t>
          </w:r>
          <w:r>
            <w:fldChar w:fldCharType="end"/>
          </w:r>
          <w:r>
            <w:rPr>
              <w:rFonts w:hint="eastAsia" w:ascii="宋体" w:hAnsi="宋体" w:eastAsia="宋体" w:cs="宋体"/>
              <w:bCs/>
              <w:lang w:val="zh-CN"/>
            </w:rPr>
            <w:fldChar w:fldCharType="end"/>
          </w:r>
        </w:p>
        <w:p w14:paraId="58FEBA5F">
          <w:pPr>
            <w:pStyle w:val="14"/>
            <w:tabs>
              <w:tab w:val="right" w:leader="dot" w:pos="8832"/>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_Toc11095 </w:instrText>
          </w:r>
          <w:r>
            <w:rPr>
              <w:rFonts w:hint="eastAsia" w:ascii="宋体" w:hAnsi="宋体" w:eastAsia="宋体" w:cs="宋体"/>
              <w:bCs/>
              <w:lang w:val="zh-CN"/>
            </w:rPr>
            <w:fldChar w:fldCharType="separate"/>
          </w:r>
          <w:r>
            <w:rPr>
              <w:rFonts w:hint="eastAsia" w:ascii="仿宋" w:hAnsi="仿宋" w:eastAsia="仿宋" w:cs="仿宋"/>
              <w:bCs/>
              <w:szCs w:val="28"/>
            </w:rPr>
            <w:t xml:space="preserve">4.6 </w:t>
          </w:r>
          <w:r>
            <w:rPr>
              <w:rFonts w:hint="eastAsia" w:ascii="宋体" w:hAnsi="宋体" w:eastAsia="宋体" w:cs="宋体"/>
            </w:rPr>
            <w:t>景观照明</w:t>
          </w:r>
          <w:r>
            <w:tab/>
          </w:r>
          <w:r>
            <w:fldChar w:fldCharType="begin"/>
          </w:r>
          <w:r>
            <w:instrText xml:space="preserve"> PAGEREF _Toc11095 \h </w:instrText>
          </w:r>
          <w:r>
            <w:fldChar w:fldCharType="separate"/>
          </w:r>
          <w:r>
            <w:t>36</w:t>
          </w:r>
          <w:r>
            <w:fldChar w:fldCharType="end"/>
          </w:r>
          <w:r>
            <w:rPr>
              <w:rFonts w:hint="eastAsia" w:ascii="宋体" w:hAnsi="宋体" w:eastAsia="宋体" w:cs="宋体"/>
              <w:bCs/>
              <w:lang w:val="zh-CN"/>
            </w:rPr>
            <w:fldChar w:fldCharType="end"/>
          </w:r>
        </w:p>
        <w:p w14:paraId="37A75B45">
          <w:pPr>
            <w:pStyle w:val="14"/>
            <w:tabs>
              <w:tab w:val="right" w:leader="dot" w:pos="8832"/>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_Toc10366 </w:instrText>
          </w:r>
          <w:r>
            <w:rPr>
              <w:rFonts w:hint="eastAsia" w:ascii="宋体" w:hAnsi="宋体" w:eastAsia="宋体" w:cs="宋体"/>
              <w:bCs/>
              <w:lang w:val="zh-CN"/>
            </w:rPr>
            <w:fldChar w:fldCharType="separate"/>
          </w:r>
          <w:r>
            <w:rPr>
              <w:rFonts w:hint="eastAsia" w:ascii="仿宋" w:hAnsi="仿宋" w:eastAsia="仿宋" w:cs="仿宋"/>
              <w:bCs/>
              <w:szCs w:val="28"/>
            </w:rPr>
            <w:t xml:space="preserve">4.7 </w:t>
          </w:r>
          <w:r>
            <w:rPr>
              <w:rFonts w:hint="eastAsia" w:ascii="宋体" w:hAnsi="宋体" w:eastAsia="宋体" w:cs="宋体"/>
            </w:rPr>
            <w:t>喷灌施工</w:t>
          </w:r>
          <w:r>
            <w:tab/>
          </w:r>
          <w:r>
            <w:fldChar w:fldCharType="begin"/>
          </w:r>
          <w:r>
            <w:instrText xml:space="preserve"> PAGEREF _Toc10366 \h </w:instrText>
          </w:r>
          <w:r>
            <w:fldChar w:fldCharType="separate"/>
          </w:r>
          <w:r>
            <w:t>37</w:t>
          </w:r>
          <w:r>
            <w:fldChar w:fldCharType="end"/>
          </w:r>
          <w:r>
            <w:rPr>
              <w:rFonts w:hint="eastAsia" w:ascii="宋体" w:hAnsi="宋体" w:eastAsia="宋体" w:cs="宋体"/>
              <w:bCs/>
              <w:lang w:val="zh-CN"/>
            </w:rPr>
            <w:fldChar w:fldCharType="end"/>
          </w:r>
        </w:p>
        <w:p w14:paraId="02B72EC2">
          <w:pPr>
            <w:pStyle w:val="17"/>
            <w:tabs>
              <w:tab w:val="right" w:leader="dot" w:pos="8832"/>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_Toc10344 </w:instrText>
          </w:r>
          <w:r>
            <w:rPr>
              <w:rFonts w:hint="eastAsia" w:ascii="宋体" w:hAnsi="宋体" w:eastAsia="宋体" w:cs="宋体"/>
              <w:bCs/>
              <w:lang w:val="zh-CN"/>
            </w:rPr>
            <w:fldChar w:fldCharType="separate"/>
          </w:r>
          <w:r>
            <w:rPr>
              <w:rFonts w:hint="eastAsia" w:ascii="仿宋" w:hAnsi="仿宋" w:eastAsia="仿宋" w:cs="仿宋"/>
              <w:i w:val="0"/>
            </w:rPr>
            <w:t xml:space="preserve">5 </w:t>
          </w:r>
          <w:r>
            <w:rPr>
              <w:rFonts w:hint="eastAsia" w:ascii="宋体" w:hAnsi="宋体" w:eastAsia="宋体" w:cs="宋体"/>
            </w:rPr>
            <w:t>标识技术规范</w:t>
          </w:r>
          <w:r>
            <w:tab/>
          </w:r>
          <w:r>
            <w:fldChar w:fldCharType="begin"/>
          </w:r>
          <w:r>
            <w:instrText xml:space="preserve"> PAGEREF _Toc10344 \h </w:instrText>
          </w:r>
          <w:r>
            <w:fldChar w:fldCharType="separate"/>
          </w:r>
          <w:r>
            <w:t>38</w:t>
          </w:r>
          <w:r>
            <w:fldChar w:fldCharType="end"/>
          </w:r>
          <w:r>
            <w:rPr>
              <w:rFonts w:hint="eastAsia" w:ascii="宋体" w:hAnsi="宋体" w:eastAsia="宋体" w:cs="宋体"/>
              <w:bCs/>
              <w:lang w:val="zh-CN"/>
            </w:rPr>
            <w:fldChar w:fldCharType="end"/>
          </w:r>
        </w:p>
        <w:p w14:paraId="421A5237">
          <w:pPr>
            <w:pStyle w:val="14"/>
            <w:tabs>
              <w:tab w:val="right" w:leader="dot" w:pos="8832"/>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_Toc9018 </w:instrText>
          </w:r>
          <w:r>
            <w:rPr>
              <w:rFonts w:hint="eastAsia" w:ascii="宋体" w:hAnsi="宋体" w:eastAsia="宋体" w:cs="宋体"/>
              <w:bCs/>
              <w:lang w:val="zh-CN"/>
            </w:rPr>
            <w:fldChar w:fldCharType="separate"/>
          </w:r>
          <w:r>
            <w:rPr>
              <w:rFonts w:hint="eastAsia" w:ascii="仿宋" w:hAnsi="仿宋" w:eastAsia="仿宋" w:cs="仿宋"/>
              <w:bCs/>
              <w:szCs w:val="28"/>
            </w:rPr>
            <w:t xml:space="preserve">5.1 </w:t>
          </w:r>
          <w:r>
            <w:rPr>
              <w:rFonts w:hint="eastAsia" w:ascii="宋体" w:hAnsi="宋体" w:eastAsia="宋体" w:cs="宋体"/>
            </w:rPr>
            <w:t>设计依据</w:t>
          </w:r>
          <w:r>
            <w:tab/>
          </w:r>
          <w:r>
            <w:fldChar w:fldCharType="begin"/>
          </w:r>
          <w:r>
            <w:instrText xml:space="preserve"> PAGEREF _Toc9018 \h </w:instrText>
          </w:r>
          <w:r>
            <w:fldChar w:fldCharType="separate"/>
          </w:r>
          <w:r>
            <w:t>38</w:t>
          </w:r>
          <w:r>
            <w:fldChar w:fldCharType="end"/>
          </w:r>
          <w:r>
            <w:rPr>
              <w:rFonts w:hint="eastAsia" w:ascii="宋体" w:hAnsi="宋体" w:eastAsia="宋体" w:cs="宋体"/>
              <w:bCs/>
              <w:lang w:val="zh-CN"/>
            </w:rPr>
            <w:fldChar w:fldCharType="end"/>
          </w:r>
        </w:p>
        <w:p w14:paraId="47E90BE5">
          <w:pPr>
            <w:pStyle w:val="14"/>
            <w:tabs>
              <w:tab w:val="right" w:leader="dot" w:pos="8832"/>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_Toc24839 </w:instrText>
          </w:r>
          <w:r>
            <w:rPr>
              <w:rFonts w:hint="eastAsia" w:ascii="宋体" w:hAnsi="宋体" w:eastAsia="宋体" w:cs="宋体"/>
              <w:bCs/>
              <w:lang w:val="zh-CN"/>
            </w:rPr>
            <w:fldChar w:fldCharType="separate"/>
          </w:r>
          <w:r>
            <w:rPr>
              <w:rFonts w:hint="eastAsia" w:ascii="仿宋" w:hAnsi="仿宋" w:eastAsia="仿宋" w:cs="仿宋"/>
              <w:bCs/>
              <w:szCs w:val="28"/>
            </w:rPr>
            <w:t xml:space="preserve">5.2 </w:t>
          </w:r>
          <w:r>
            <w:rPr>
              <w:rFonts w:hint="eastAsia" w:ascii="宋体" w:hAnsi="宋体" w:eastAsia="宋体" w:cs="宋体"/>
            </w:rPr>
            <w:t>系统描述</w:t>
          </w:r>
          <w:r>
            <w:tab/>
          </w:r>
          <w:r>
            <w:fldChar w:fldCharType="begin"/>
          </w:r>
          <w:r>
            <w:instrText xml:space="preserve"> PAGEREF _Toc24839 \h </w:instrText>
          </w:r>
          <w:r>
            <w:fldChar w:fldCharType="separate"/>
          </w:r>
          <w:r>
            <w:t>40</w:t>
          </w:r>
          <w:r>
            <w:fldChar w:fldCharType="end"/>
          </w:r>
          <w:r>
            <w:rPr>
              <w:rFonts w:hint="eastAsia" w:ascii="宋体" w:hAnsi="宋体" w:eastAsia="宋体" w:cs="宋体"/>
              <w:bCs/>
              <w:lang w:val="zh-CN"/>
            </w:rPr>
            <w:fldChar w:fldCharType="end"/>
          </w:r>
        </w:p>
        <w:p w14:paraId="619D84FF">
          <w:pPr>
            <w:pStyle w:val="14"/>
            <w:tabs>
              <w:tab w:val="right" w:leader="dot" w:pos="8832"/>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_Toc773 </w:instrText>
          </w:r>
          <w:r>
            <w:rPr>
              <w:rFonts w:hint="eastAsia" w:ascii="宋体" w:hAnsi="宋体" w:eastAsia="宋体" w:cs="宋体"/>
              <w:bCs/>
              <w:lang w:val="zh-CN"/>
            </w:rPr>
            <w:fldChar w:fldCharType="separate"/>
          </w:r>
          <w:r>
            <w:rPr>
              <w:rFonts w:hint="eastAsia" w:ascii="仿宋" w:hAnsi="仿宋" w:eastAsia="仿宋" w:cs="仿宋"/>
              <w:bCs/>
              <w:szCs w:val="28"/>
            </w:rPr>
            <w:t xml:space="preserve">5.3 </w:t>
          </w:r>
          <w:r>
            <w:rPr>
              <w:rFonts w:hint="eastAsia" w:ascii="宋体" w:hAnsi="宋体" w:eastAsia="宋体" w:cs="宋体"/>
            </w:rPr>
            <w:t>消防及结构安全要求</w:t>
          </w:r>
          <w:r>
            <w:tab/>
          </w:r>
          <w:r>
            <w:fldChar w:fldCharType="begin"/>
          </w:r>
          <w:r>
            <w:instrText xml:space="preserve"> PAGEREF _Toc773 \h </w:instrText>
          </w:r>
          <w:r>
            <w:fldChar w:fldCharType="separate"/>
          </w:r>
          <w:r>
            <w:t>43</w:t>
          </w:r>
          <w:r>
            <w:fldChar w:fldCharType="end"/>
          </w:r>
          <w:r>
            <w:rPr>
              <w:rFonts w:hint="eastAsia" w:ascii="宋体" w:hAnsi="宋体" w:eastAsia="宋体" w:cs="宋体"/>
              <w:bCs/>
              <w:lang w:val="zh-CN"/>
            </w:rPr>
            <w:fldChar w:fldCharType="end"/>
          </w:r>
        </w:p>
        <w:p w14:paraId="0CD766BE">
          <w:pPr>
            <w:pStyle w:val="14"/>
            <w:tabs>
              <w:tab w:val="right" w:leader="dot" w:pos="8832"/>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_Toc6222 </w:instrText>
          </w:r>
          <w:r>
            <w:rPr>
              <w:rFonts w:hint="eastAsia" w:ascii="宋体" w:hAnsi="宋体" w:eastAsia="宋体" w:cs="宋体"/>
              <w:bCs/>
              <w:lang w:val="zh-CN"/>
            </w:rPr>
            <w:fldChar w:fldCharType="separate"/>
          </w:r>
          <w:r>
            <w:rPr>
              <w:rFonts w:hint="eastAsia" w:ascii="仿宋" w:hAnsi="仿宋" w:eastAsia="仿宋" w:cs="仿宋"/>
              <w:bCs/>
              <w:szCs w:val="28"/>
            </w:rPr>
            <w:t xml:space="preserve">5.4 </w:t>
          </w:r>
          <w:r>
            <w:rPr>
              <w:rFonts w:hint="eastAsia" w:ascii="宋体" w:hAnsi="宋体" w:eastAsia="宋体" w:cs="宋体"/>
            </w:rPr>
            <w:t>材料及技术要求</w:t>
          </w:r>
          <w:r>
            <w:tab/>
          </w:r>
          <w:r>
            <w:fldChar w:fldCharType="begin"/>
          </w:r>
          <w:r>
            <w:instrText xml:space="preserve"> PAGEREF _Toc6222 \h </w:instrText>
          </w:r>
          <w:r>
            <w:fldChar w:fldCharType="separate"/>
          </w:r>
          <w:r>
            <w:t>45</w:t>
          </w:r>
          <w:r>
            <w:fldChar w:fldCharType="end"/>
          </w:r>
          <w:r>
            <w:rPr>
              <w:rFonts w:hint="eastAsia" w:ascii="宋体" w:hAnsi="宋体" w:eastAsia="宋体" w:cs="宋体"/>
              <w:bCs/>
              <w:lang w:val="zh-CN"/>
            </w:rPr>
            <w:fldChar w:fldCharType="end"/>
          </w:r>
        </w:p>
        <w:p w14:paraId="05CBF7CB">
          <w:pPr>
            <w:rPr>
              <w:rFonts w:hint="eastAsia" w:ascii="宋体" w:hAnsi="宋体" w:eastAsia="宋体" w:cs="宋体"/>
            </w:rPr>
          </w:pPr>
          <w:r>
            <w:rPr>
              <w:rFonts w:hint="eastAsia" w:ascii="宋体" w:hAnsi="宋体" w:eastAsia="宋体" w:cs="宋体"/>
              <w:bCs/>
              <w:lang w:val="zh-CN"/>
            </w:rPr>
            <w:fldChar w:fldCharType="end"/>
          </w:r>
        </w:p>
      </w:sdtContent>
    </w:sdt>
    <w:p w14:paraId="3FA1CF4B">
      <w:pPr>
        <w:rPr>
          <w:rFonts w:hint="eastAsia" w:ascii="宋体" w:hAnsi="宋体" w:eastAsia="宋体" w:cs="宋体"/>
          <w:b w:val="0"/>
          <w:bCs w:val="0"/>
          <w:snapToGrid w:val="0"/>
          <w:color w:val="auto"/>
          <w:kern w:val="0"/>
          <w:sz w:val="24"/>
          <w:szCs w:val="21"/>
          <w:highlight w:val="none"/>
          <w:shd w:val="clear" w:color="auto" w:fill="auto"/>
          <w:lang w:val="en-US" w:eastAsia="zh-CN"/>
        </w:rPr>
      </w:pPr>
      <w:r>
        <w:rPr>
          <w:rFonts w:hint="eastAsia" w:ascii="宋体" w:hAnsi="宋体" w:eastAsia="宋体" w:cs="宋体"/>
          <w:b w:val="0"/>
          <w:bCs w:val="0"/>
          <w:snapToGrid w:val="0"/>
          <w:color w:val="auto"/>
          <w:kern w:val="0"/>
          <w:sz w:val="24"/>
          <w:szCs w:val="21"/>
          <w:highlight w:val="none"/>
          <w:shd w:val="clear" w:color="auto" w:fill="auto"/>
          <w:lang w:val="en-US" w:eastAsia="zh-CN"/>
        </w:rPr>
        <w:t>提示：</w:t>
      </w:r>
    </w:p>
    <w:p w14:paraId="5737361D">
      <w:pPr>
        <w:rPr>
          <w:rFonts w:hint="eastAsia" w:ascii="宋体" w:hAnsi="宋体" w:eastAsia="宋体" w:cs="宋体"/>
          <w:b w:val="0"/>
          <w:bCs w:val="0"/>
          <w:snapToGrid w:val="0"/>
          <w:color w:val="auto"/>
          <w:kern w:val="0"/>
          <w:sz w:val="24"/>
          <w:szCs w:val="21"/>
          <w:highlight w:val="none"/>
          <w:shd w:val="clear" w:color="auto" w:fill="auto"/>
          <w:lang w:val="en-US" w:eastAsia="zh-CN"/>
        </w:rPr>
      </w:pPr>
      <w:r>
        <w:rPr>
          <w:rFonts w:hint="eastAsia" w:ascii="宋体" w:hAnsi="宋体" w:eastAsia="宋体" w:cs="宋体"/>
          <w:b w:val="0"/>
          <w:bCs w:val="0"/>
          <w:snapToGrid w:val="0"/>
          <w:color w:val="auto"/>
          <w:kern w:val="0"/>
          <w:sz w:val="24"/>
          <w:szCs w:val="21"/>
          <w:highlight w:val="none"/>
          <w:shd w:val="clear" w:color="auto" w:fill="auto"/>
          <w:lang w:val="en-US" w:eastAsia="zh-CN"/>
        </w:rPr>
        <w:t>1、技术规范书和图纸有冲突的情况，以图纸为准。</w:t>
      </w:r>
    </w:p>
    <w:p w14:paraId="5E475073">
      <w:pPr>
        <w:rPr>
          <w:rFonts w:hint="eastAsia" w:ascii="宋体" w:hAnsi="宋体" w:eastAsia="宋体" w:cs="宋体"/>
          <w:b w:val="0"/>
          <w:bCs w:val="0"/>
          <w:snapToGrid w:val="0"/>
          <w:color w:val="auto"/>
          <w:kern w:val="0"/>
          <w:sz w:val="24"/>
          <w:szCs w:val="21"/>
          <w:highlight w:val="none"/>
          <w:shd w:val="clear" w:color="auto" w:fill="auto"/>
          <w:lang w:val="en-US" w:eastAsia="zh-CN"/>
        </w:rPr>
      </w:pPr>
      <w:r>
        <w:rPr>
          <w:rFonts w:hint="eastAsia" w:ascii="宋体" w:hAnsi="宋体" w:eastAsia="宋体" w:cs="宋体"/>
          <w:b w:val="0"/>
          <w:bCs w:val="0"/>
          <w:snapToGrid w:val="0"/>
          <w:color w:val="auto"/>
          <w:kern w:val="0"/>
          <w:sz w:val="24"/>
          <w:szCs w:val="21"/>
          <w:highlight w:val="none"/>
          <w:shd w:val="clear" w:color="auto" w:fill="auto"/>
          <w:lang w:val="en-US" w:eastAsia="zh-CN"/>
        </w:rPr>
        <w:t>2、招标确认设备品牌和材料品牌后，需结合图纸和技术规范书、物料手册要求，结合现场情况进行产品技术性选型和深化设计，并经设计单位确认后实施，确保在施工前完成，避免现场拆改情况发生。</w:t>
      </w:r>
    </w:p>
    <w:p w14:paraId="0328C7C0">
      <w:pPr>
        <w:rPr>
          <w:rFonts w:hint="eastAsia" w:ascii="宋体" w:hAnsi="宋体" w:eastAsia="宋体" w:cs="宋体"/>
          <w:color w:val="auto"/>
          <w:highlight w:val="none"/>
          <w:shd w:val="clear" w:color="auto" w:fill="auto"/>
        </w:rPr>
      </w:pPr>
      <w:r>
        <w:rPr>
          <w:rFonts w:hint="eastAsia" w:ascii="宋体" w:hAnsi="宋体" w:eastAsia="宋体" w:cs="宋体"/>
          <w:b w:val="0"/>
          <w:bCs w:val="0"/>
          <w:snapToGrid w:val="0"/>
          <w:color w:val="auto"/>
          <w:kern w:val="0"/>
          <w:sz w:val="24"/>
          <w:szCs w:val="21"/>
          <w:highlight w:val="none"/>
          <w:shd w:val="clear" w:color="auto" w:fill="auto"/>
          <w:lang w:val="en-US" w:eastAsia="zh-CN"/>
        </w:rPr>
        <w:t>3、基本要求：1）本规范书中所列规范及标准，如有新标准时，则按新标准执行；2）技术要求低于国家标准或规范的，按照国家相关标准或规范执行，高于国家标准或规范的，按照本技术要求的要求执行。</w:t>
      </w:r>
    </w:p>
    <w:p w14:paraId="48CBD5E8">
      <w:pPr>
        <w:rPr>
          <w:rFonts w:hint="eastAsia" w:ascii="宋体" w:hAnsi="宋体" w:eastAsia="宋体" w:cs="宋体"/>
        </w:rPr>
        <w:sectPr>
          <w:pgSz w:w="11906" w:h="16838"/>
          <w:pgMar w:top="1418" w:right="1537" w:bottom="1134" w:left="1537" w:header="0" w:footer="567" w:gutter="0"/>
          <w:pgNumType w:start="1"/>
          <w:cols w:space="425" w:num="1"/>
          <w:docGrid w:type="lines" w:linePitch="381" w:charSpace="0"/>
        </w:sectPr>
      </w:pPr>
    </w:p>
    <w:p w14:paraId="5138C768">
      <w:pPr>
        <w:pStyle w:val="3"/>
        <w:rPr>
          <w:rFonts w:hint="eastAsia" w:ascii="宋体" w:hAnsi="宋体" w:eastAsia="宋体" w:cs="宋体"/>
        </w:rPr>
      </w:pPr>
      <w:bookmarkStart w:id="3" w:name="_Toc6388"/>
      <w:bookmarkStart w:id="4" w:name="_Toc175980337"/>
      <w:bookmarkStart w:id="5" w:name="_Toc22206"/>
      <w:r>
        <w:rPr>
          <w:rFonts w:hint="eastAsia" w:ascii="宋体" w:hAnsi="宋体" w:eastAsia="宋体" w:cs="宋体"/>
        </w:rPr>
        <w:t>给排水部分技术要求</w:t>
      </w:r>
      <w:bookmarkEnd w:id="3"/>
      <w:bookmarkEnd w:id="4"/>
      <w:bookmarkEnd w:id="5"/>
    </w:p>
    <w:p w14:paraId="0A46C02B">
      <w:pPr>
        <w:pStyle w:val="4"/>
        <w:rPr>
          <w:rFonts w:hint="eastAsia" w:ascii="宋体" w:hAnsi="宋体" w:eastAsia="宋体" w:cs="宋体"/>
        </w:rPr>
      </w:pPr>
      <w:bookmarkStart w:id="6" w:name="_Toc175980341"/>
      <w:bookmarkStart w:id="7" w:name="_Toc1416"/>
      <w:bookmarkStart w:id="8" w:name="_Toc14958"/>
      <w:r>
        <w:rPr>
          <w:rFonts w:hint="eastAsia" w:ascii="宋体" w:hAnsi="宋体" w:eastAsia="宋体" w:cs="宋体"/>
        </w:rPr>
        <w:t>水表</w:t>
      </w:r>
      <w:bookmarkEnd w:id="6"/>
      <w:bookmarkEnd w:id="7"/>
      <w:bookmarkEnd w:id="8"/>
    </w:p>
    <w:p w14:paraId="5746EDDD">
      <w:pPr>
        <w:pStyle w:val="5"/>
        <w:rPr>
          <w:rFonts w:hint="eastAsia" w:ascii="宋体" w:hAnsi="宋体" w:eastAsia="宋体" w:cs="宋体"/>
        </w:rPr>
      </w:pPr>
      <w:r>
        <w:rPr>
          <w:rFonts w:hint="eastAsia" w:ascii="宋体" w:hAnsi="宋体" w:eastAsia="宋体" w:cs="宋体"/>
        </w:rPr>
        <w:t>技术标准</w:t>
      </w:r>
    </w:p>
    <w:p w14:paraId="5720129F">
      <w:pPr>
        <w:pStyle w:val="12"/>
        <w:ind w:firstLine="420"/>
        <w:rPr>
          <w:rFonts w:hint="eastAsia" w:ascii="宋体" w:hAnsi="宋体" w:eastAsia="宋体" w:cs="宋体"/>
          <w:snapToGrid w:val="0"/>
        </w:rPr>
      </w:pPr>
      <w:r>
        <w:rPr>
          <w:rFonts w:hint="eastAsia" w:ascii="宋体" w:hAnsi="宋体" w:eastAsia="宋体" w:cs="宋体"/>
          <w:snapToGrid w:val="0"/>
        </w:rPr>
        <w:t>水表质量必须符合现行国家及行业的技术标准要求。</w:t>
      </w:r>
    </w:p>
    <w:p w14:paraId="047747B7">
      <w:pPr>
        <w:pStyle w:val="5"/>
        <w:rPr>
          <w:rFonts w:hint="eastAsia" w:ascii="宋体" w:hAnsi="宋体" w:eastAsia="宋体" w:cs="宋体"/>
        </w:rPr>
      </w:pPr>
      <w:r>
        <w:rPr>
          <w:rFonts w:hint="eastAsia" w:ascii="宋体" w:hAnsi="宋体" w:eastAsia="宋体" w:cs="宋体"/>
        </w:rPr>
        <w:t>技术要求</w:t>
      </w:r>
    </w:p>
    <w:p w14:paraId="6F06E4CF">
      <w:pPr>
        <w:pStyle w:val="12"/>
        <w:ind w:firstLine="420"/>
        <w:rPr>
          <w:rFonts w:hint="eastAsia" w:ascii="宋体" w:hAnsi="宋体" w:eastAsia="宋体" w:cs="宋体"/>
          <w:snapToGrid w:val="0"/>
        </w:rPr>
      </w:pPr>
      <w:r>
        <w:rPr>
          <w:rFonts w:hint="eastAsia" w:ascii="宋体" w:hAnsi="宋体" w:eastAsia="宋体" w:cs="宋体"/>
          <w:snapToGrid w:val="0"/>
        </w:rPr>
        <w:t>读表方式：直读式，要求计数准确，读数清晰。</w:t>
      </w:r>
    </w:p>
    <w:p w14:paraId="7684D547">
      <w:pPr>
        <w:pStyle w:val="12"/>
        <w:ind w:firstLine="420"/>
        <w:rPr>
          <w:rFonts w:hint="eastAsia" w:ascii="宋体" w:hAnsi="宋体" w:eastAsia="宋体" w:cs="宋体"/>
          <w:snapToGrid w:val="0"/>
        </w:rPr>
      </w:pPr>
      <w:r>
        <w:rPr>
          <w:rFonts w:hint="eastAsia" w:ascii="宋体" w:hAnsi="宋体" w:eastAsia="宋体" w:cs="宋体"/>
          <w:snapToGrid w:val="0"/>
        </w:rPr>
        <w:t>安装方式：水平安装，水表前后直线段的最小长度，应符合水表的产品样本规定。</w:t>
      </w:r>
    </w:p>
    <w:p w14:paraId="60F6FD33">
      <w:pPr>
        <w:pStyle w:val="12"/>
        <w:ind w:firstLine="420"/>
        <w:rPr>
          <w:rFonts w:hint="eastAsia" w:ascii="宋体" w:hAnsi="宋体" w:eastAsia="宋体" w:cs="宋体"/>
          <w:snapToGrid w:val="0"/>
        </w:rPr>
      </w:pPr>
      <w:r>
        <w:rPr>
          <w:rFonts w:hint="eastAsia" w:ascii="宋体" w:hAnsi="宋体" w:eastAsia="宋体" w:cs="宋体"/>
          <w:snapToGrid w:val="0"/>
        </w:rPr>
        <w:t>密封性强，适应使用环境，耐腐蚀，具有防磁功能。</w:t>
      </w:r>
    </w:p>
    <w:p w14:paraId="7E5C89D4">
      <w:pPr>
        <w:pStyle w:val="12"/>
        <w:ind w:firstLine="420"/>
        <w:rPr>
          <w:rFonts w:hint="eastAsia" w:ascii="宋体" w:hAnsi="宋体" w:eastAsia="宋体" w:cs="宋体"/>
          <w:snapToGrid w:val="0"/>
        </w:rPr>
      </w:pPr>
      <w:r>
        <w:rPr>
          <w:rFonts w:hint="eastAsia" w:ascii="宋体" w:hAnsi="宋体" w:eastAsia="宋体" w:cs="宋体"/>
          <w:snapToGrid w:val="0"/>
        </w:rPr>
        <w:t>基表选型须符合国家相关规范标准要求。</w:t>
      </w:r>
    </w:p>
    <w:p w14:paraId="3F209755">
      <w:pPr>
        <w:pStyle w:val="12"/>
        <w:ind w:firstLine="420"/>
        <w:rPr>
          <w:rFonts w:hint="eastAsia" w:ascii="宋体" w:hAnsi="宋体" w:eastAsia="宋体" w:cs="宋体"/>
          <w:snapToGrid w:val="0"/>
        </w:rPr>
      </w:pPr>
      <w:r>
        <w:rPr>
          <w:rFonts w:hint="eastAsia" w:ascii="宋体" w:hAnsi="宋体" w:eastAsia="宋体" w:cs="宋体"/>
          <w:snapToGrid w:val="0"/>
        </w:rPr>
        <w:t>产品生产厂应有制造计量器具许可证，并取得《中华人民共和国计量器具型式批准证书》，并获得ISO9000质量体系认证且在有效期内。</w:t>
      </w:r>
    </w:p>
    <w:p w14:paraId="605A6188">
      <w:pPr>
        <w:pStyle w:val="5"/>
        <w:rPr>
          <w:rFonts w:hint="eastAsia" w:ascii="宋体" w:hAnsi="宋体" w:eastAsia="宋体" w:cs="宋体"/>
        </w:rPr>
      </w:pPr>
      <w:r>
        <w:rPr>
          <w:rFonts w:hint="eastAsia" w:ascii="宋体" w:hAnsi="宋体" w:eastAsia="宋体" w:cs="宋体"/>
        </w:rPr>
        <w:t>设备名称</w:t>
      </w:r>
    </w:p>
    <w:p w14:paraId="065C8D74">
      <w:pPr>
        <w:pStyle w:val="12"/>
        <w:ind w:firstLine="420"/>
        <w:rPr>
          <w:rFonts w:hint="eastAsia" w:ascii="宋体" w:hAnsi="宋体" w:eastAsia="宋体" w:cs="宋体"/>
          <w:snapToGrid w:val="0"/>
        </w:rPr>
      </w:pPr>
      <w:r>
        <w:rPr>
          <w:rFonts w:hint="eastAsia" w:ascii="宋体" w:hAnsi="宋体" w:eastAsia="宋体" w:cs="宋体"/>
          <w:snapToGrid w:val="0"/>
        </w:rPr>
        <w:t>水平螺翼式水表，包括表体、表配件。</w:t>
      </w:r>
    </w:p>
    <w:p w14:paraId="27AB55F6">
      <w:pPr>
        <w:pStyle w:val="4"/>
        <w:rPr>
          <w:rFonts w:hint="eastAsia" w:ascii="宋体" w:hAnsi="宋体" w:eastAsia="宋体" w:cs="宋体"/>
        </w:rPr>
      </w:pPr>
      <w:bookmarkStart w:id="9" w:name="_Toc11990"/>
      <w:bookmarkStart w:id="10" w:name="_Toc175980342"/>
      <w:bookmarkStart w:id="11" w:name="_Toc19335"/>
      <w:r>
        <w:rPr>
          <w:rFonts w:hint="eastAsia" w:ascii="宋体" w:hAnsi="宋体" w:eastAsia="宋体" w:cs="宋体"/>
        </w:rPr>
        <w:t>给排水管道</w:t>
      </w:r>
      <w:bookmarkEnd w:id="9"/>
      <w:bookmarkEnd w:id="10"/>
      <w:bookmarkEnd w:id="11"/>
    </w:p>
    <w:p w14:paraId="730D8865">
      <w:pPr>
        <w:pStyle w:val="5"/>
        <w:rPr>
          <w:rFonts w:hint="eastAsia" w:ascii="宋体" w:hAnsi="宋体" w:eastAsia="宋体" w:cs="宋体"/>
        </w:rPr>
      </w:pPr>
      <w:r>
        <w:rPr>
          <w:rFonts w:hint="eastAsia" w:ascii="宋体" w:hAnsi="宋体" w:eastAsia="宋体" w:cs="宋体"/>
        </w:rPr>
        <w:t>技术标准</w:t>
      </w:r>
    </w:p>
    <w:p w14:paraId="69367636">
      <w:pPr>
        <w:pStyle w:val="12"/>
        <w:ind w:firstLine="420"/>
        <w:rPr>
          <w:rFonts w:hint="eastAsia" w:ascii="宋体" w:hAnsi="宋体" w:eastAsia="宋体" w:cs="宋体"/>
        </w:rPr>
      </w:pPr>
      <w:r>
        <w:rPr>
          <w:rFonts w:hint="eastAsia" w:ascii="宋体" w:hAnsi="宋体" w:eastAsia="宋体" w:cs="宋体"/>
          <w:snapToGrid w:val="0"/>
        </w:rPr>
        <w:t>应满足现行最试用的相关国家、地方、行业标准和规范（含设计标准和规范、产品标准和规范、工程标准和规范、验收标准和规</w:t>
      </w:r>
      <w:r>
        <w:rPr>
          <w:rFonts w:hint="eastAsia" w:ascii="宋体" w:hAnsi="宋体" w:eastAsia="宋体" w:cs="宋体"/>
        </w:rPr>
        <w:t>范、各标准相冲突以要求较高者执行）。</w:t>
      </w:r>
    </w:p>
    <w:p w14:paraId="6961E8A1">
      <w:pPr>
        <w:pStyle w:val="5"/>
        <w:rPr>
          <w:rFonts w:hint="eastAsia" w:ascii="宋体" w:hAnsi="宋体" w:eastAsia="宋体" w:cs="宋体"/>
        </w:rPr>
      </w:pPr>
      <w:r>
        <w:rPr>
          <w:rFonts w:hint="eastAsia" w:ascii="宋体" w:hAnsi="宋体" w:eastAsia="宋体" w:cs="宋体"/>
        </w:rPr>
        <w:t>技术要求</w:t>
      </w:r>
    </w:p>
    <w:p w14:paraId="6C2661B8">
      <w:pPr>
        <w:pStyle w:val="12"/>
        <w:numPr>
          <w:ilvl w:val="0"/>
          <w:numId w:val="2"/>
        </w:numPr>
        <w:ind w:left="0" w:firstLine="0" w:firstLineChars="0"/>
        <w:rPr>
          <w:rFonts w:hint="eastAsia" w:ascii="宋体" w:hAnsi="宋体" w:eastAsia="宋体" w:cs="宋体"/>
          <w:snapToGrid w:val="0"/>
          <w:lang w:eastAsia="zh"/>
        </w:rPr>
      </w:pPr>
      <w:r>
        <w:rPr>
          <w:rFonts w:hint="eastAsia" w:ascii="宋体" w:hAnsi="宋体" w:eastAsia="宋体" w:cs="宋体"/>
          <w:snapToGrid w:val="0"/>
          <w:lang w:eastAsia="zh"/>
        </w:rPr>
        <w:t>生活给水管、灌溉管道：</w:t>
      </w:r>
    </w:p>
    <w:p w14:paraId="177FCC01">
      <w:pPr>
        <w:pStyle w:val="12"/>
        <w:ind w:firstLine="420"/>
        <w:rPr>
          <w:rFonts w:hint="eastAsia" w:ascii="宋体" w:hAnsi="宋体" w:eastAsia="宋体" w:cs="宋体"/>
        </w:rPr>
      </w:pPr>
      <w:r>
        <w:rPr>
          <w:rFonts w:hint="eastAsia" w:ascii="宋体" w:hAnsi="宋体" w:eastAsia="宋体" w:cs="宋体"/>
        </w:rPr>
        <w:t>室外部分：室外生活给水管道DN≤75mm者采用钢丝网骨架聚乙烯复合管，普通系列，电熔连接；DN＞75mm者采用K9级离心球墨给水铸铁管，承插防拉脱柔性接口。</w:t>
      </w:r>
    </w:p>
    <w:p w14:paraId="1CC1F518">
      <w:pPr>
        <w:pStyle w:val="12"/>
        <w:ind w:firstLine="420"/>
        <w:rPr>
          <w:rFonts w:hint="eastAsia" w:ascii="宋体" w:hAnsi="宋体" w:eastAsia="宋体" w:cs="宋体"/>
        </w:rPr>
      </w:pPr>
      <w:r>
        <w:rPr>
          <w:rFonts w:hint="eastAsia" w:ascii="宋体" w:hAnsi="宋体" w:eastAsia="宋体" w:cs="宋体"/>
        </w:rPr>
        <w:t>灌溉给水管采用PE管，热熔连接。阀门：管径&lt;DN50采用球阀或截止阀，管径≥DN50采用蝶阀或闸阀。</w:t>
      </w:r>
    </w:p>
    <w:p w14:paraId="57E44C12">
      <w:pPr>
        <w:pStyle w:val="12"/>
        <w:numPr>
          <w:ilvl w:val="0"/>
          <w:numId w:val="2"/>
        </w:numPr>
        <w:ind w:left="0" w:firstLine="0" w:firstLineChars="0"/>
        <w:rPr>
          <w:rFonts w:hint="eastAsia" w:ascii="宋体" w:hAnsi="宋体" w:eastAsia="宋体" w:cs="宋体"/>
          <w:snapToGrid w:val="0"/>
          <w:lang w:eastAsia="zh"/>
        </w:rPr>
      </w:pPr>
      <w:r>
        <w:rPr>
          <w:rFonts w:hint="eastAsia" w:ascii="宋体" w:hAnsi="宋体" w:eastAsia="宋体" w:cs="宋体"/>
          <w:snapToGrid w:val="0"/>
          <w:lang w:eastAsia="zh"/>
        </w:rPr>
        <w:t>雨污水排水管：</w:t>
      </w:r>
    </w:p>
    <w:p w14:paraId="6C472AC6">
      <w:pPr>
        <w:pStyle w:val="12"/>
        <w:ind w:firstLine="420"/>
        <w:rPr>
          <w:rFonts w:hint="eastAsia" w:ascii="宋体" w:hAnsi="宋体" w:eastAsia="宋体" w:cs="宋体"/>
        </w:rPr>
      </w:pPr>
      <w:r>
        <w:rPr>
          <w:rFonts w:hint="eastAsia" w:ascii="宋体" w:hAnsi="宋体" w:eastAsia="宋体" w:cs="宋体"/>
        </w:rPr>
        <w:t>室外部分排水管道：生活污水管、雨水管DN≤300mm者采用聚乙烯（PE）实壁管，采用热熔连接；DN＞300mm应采用Ⅱ级钢筋混凝土管，橡胶密封圈承插连接。</w:t>
      </w:r>
    </w:p>
    <w:p w14:paraId="0140DEC7">
      <w:pPr>
        <w:pStyle w:val="12"/>
        <w:numPr>
          <w:ilvl w:val="0"/>
          <w:numId w:val="2"/>
        </w:numPr>
        <w:ind w:left="0" w:firstLine="0" w:firstLineChars="0"/>
        <w:rPr>
          <w:rFonts w:hint="eastAsia" w:ascii="宋体" w:hAnsi="宋体" w:eastAsia="宋体" w:cs="宋体"/>
          <w:snapToGrid w:val="0"/>
          <w:lang w:eastAsia="zh"/>
        </w:rPr>
      </w:pPr>
      <w:r>
        <w:rPr>
          <w:rFonts w:hint="eastAsia" w:ascii="宋体" w:hAnsi="宋体" w:eastAsia="宋体" w:cs="宋体"/>
          <w:snapToGrid w:val="0"/>
          <w:lang w:eastAsia="zh"/>
        </w:rPr>
        <w:t>消火栓、自动喷水等水消防管道采用离心球墨给水铸铁管，承插防拉脱柔性接口。</w:t>
      </w:r>
    </w:p>
    <w:p w14:paraId="30AF1AB0">
      <w:pPr>
        <w:pStyle w:val="4"/>
        <w:rPr>
          <w:rFonts w:hint="eastAsia" w:ascii="宋体" w:hAnsi="宋体" w:eastAsia="宋体" w:cs="宋体"/>
          <w:lang w:eastAsia="zh"/>
        </w:rPr>
      </w:pPr>
      <w:bookmarkStart w:id="12" w:name="_Toc175980343"/>
      <w:bookmarkStart w:id="13" w:name="_Toc19769"/>
      <w:bookmarkStart w:id="14" w:name="_Toc28401"/>
      <w:r>
        <w:rPr>
          <w:rFonts w:hint="eastAsia" w:ascii="宋体" w:hAnsi="宋体" w:eastAsia="宋体" w:cs="宋体"/>
          <w:lang w:eastAsia="zh"/>
        </w:rPr>
        <w:t>阀门</w:t>
      </w:r>
      <w:bookmarkEnd w:id="12"/>
      <w:bookmarkEnd w:id="13"/>
      <w:bookmarkEnd w:id="14"/>
    </w:p>
    <w:p w14:paraId="489F93BA">
      <w:pPr>
        <w:pStyle w:val="12"/>
        <w:numPr>
          <w:ilvl w:val="0"/>
          <w:numId w:val="3"/>
        </w:numPr>
        <w:ind w:left="0" w:firstLine="0" w:firstLineChars="0"/>
        <w:rPr>
          <w:rFonts w:hint="eastAsia" w:ascii="宋体" w:hAnsi="宋体" w:eastAsia="宋体" w:cs="宋体"/>
          <w:snapToGrid w:val="0"/>
          <w:lang w:eastAsia="zh"/>
        </w:rPr>
      </w:pPr>
      <w:r>
        <w:rPr>
          <w:rFonts w:hint="eastAsia" w:ascii="宋体" w:hAnsi="宋体" w:eastAsia="宋体" w:cs="宋体"/>
          <w:snapToGrid w:val="0"/>
          <w:lang w:eastAsia="zh"/>
        </w:rPr>
        <w:t>阀门的执行机构的设计应按数据表中系统最大设计压力、温度进行计算。阀体和阀盖:铸铁或者不锈钢等，材料选择应根据介质的性质和工作条件相匹配。密封面:常用的密封面材料橡胶；阀杆:常用的材料不锈钢、碳钢等，并确保阀杆的强度和耐腐蚀性。</w:t>
      </w:r>
    </w:p>
    <w:p w14:paraId="2CF317FB">
      <w:pPr>
        <w:pStyle w:val="12"/>
        <w:numPr>
          <w:ilvl w:val="0"/>
          <w:numId w:val="3"/>
        </w:numPr>
        <w:ind w:left="0" w:firstLine="0" w:firstLineChars="0"/>
        <w:rPr>
          <w:rFonts w:hint="eastAsia" w:ascii="宋体" w:hAnsi="宋体" w:eastAsia="宋体" w:cs="宋体"/>
          <w:snapToGrid w:val="0"/>
          <w:lang w:eastAsia="zh"/>
        </w:rPr>
      </w:pPr>
      <w:r>
        <w:rPr>
          <w:rFonts w:hint="eastAsia" w:ascii="宋体" w:hAnsi="宋体" w:eastAsia="宋体" w:cs="宋体"/>
          <w:snapToGrid w:val="0"/>
          <w:lang w:eastAsia="zh"/>
        </w:rPr>
        <w:t>所有阀门表面应进行加工，保证外型美观。</w:t>
      </w:r>
    </w:p>
    <w:p w14:paraId="04EBCC68">
      <w:pPr>
        <w:pStyle w:val="12"/>
        <w:numPr>
          <w:ilvl w:val="0"/>
          <w:numId w:val="3"/>
        </w:numPr>
        <w:ind w:left="0" w:firstLine="0" w:firstLineChars="0"/>
        <w:rPr>
          <w:rFonts w:hint="eastAsia" w:ascii="宋体" w:hAnsi="宋体" w:eastAsia="宋体" w:cs="宋体"/>
          <w:snapToGrid w:val="0"/>
          <w:lang w:eastAsia="zh"/>
        </w:rPr>
      </w:pPr>
      <w:r>
        <w:rPr>
          <w:rFonts w:hint="eastAsia" w:ascii="宋体" w:hAnsi="宋体" w:eastAsia="宋体" w:cs="宋体"/>
          <w:snapToGrid w:val="0"/>
          <w:lang w:eastAsia="zh"/>
        </w:rPr>
        <w:t>所有阀门编号应打印在阀门铭牌上。</w:t>
      </w:r>
    </w:p>
    <w:p w14:paraId="650D6B8D">
      <w:pPr>
        <w:pStyle w:val="12"/>
        <w:numPr>
          <w:ilvl w:val="0"/>
          <w:numId w:val="3"/>
        </w:numPr>
        <w:ind w:left="0" w:firstLine="0" w:firstLineChars="0"/>
        <w:rPr>
          <w:rFonts w:hint="eastAsia" w:ascii="宋体" w:hAnsi="宋体" w:eastAsia="宋体" w:cs="宋体"/>
          <w:snapToGrid w:val="0"/>
          <w:lang w:eastAsia="zh"/>
        </w:rPr>
      </w:pPr>
      <w:r>
        <w:rPr>
          <w:rFonts w:hint="eastAsia" w:ascii="宋体" w:hAnsi="宋体" w:eastAsia="宋体" w:cs="宋体"/>
          <w:snapToGrid w:val="0"/>
          <w:lang w:eastAsia="zh"/>
        </w:rPr>
        <w:t>所有阀门须作水压试验，试验压力应为系统最大压力的1.5倍，持续时间为不少于 20 分钟。</w:t>
      </w:r>
    </w:p>
    <w:p w14:paraId="4EE3DBC9">
      <w:pPr>
        <w:pStyle w:val="12"/>
        <w:numPr>
          <w:ilvl w:val="0"/>
          <w:numId w:val="3"/>
        </w:numPr>
        <w:ind w:left="0" w:firstLine="0" w:firstLineChars="0"/>
        <w:rPr>
          <w:rFonts w:hint="eastAsia" w:ascii="宋体" w:hAnsi="宋体" w:eastAsia="宋体" w:cs="宋体"/>
          <w:snapToGrid w:val="0"/>
          <w:lang w:eastAsia="zh"/>
        </w:rPr>
      </w:pPr>
      <w:r>
        <w:rPr>
          <w:rFonts w:hint="eastAsia" w:ascii="宋体" w:hAnsi="宋体" w:eastAsia="宋体" w:cs="宋体"/>
          <w:snapToGrid w:val="0"/>
          <w:lang w:eastAsia="zh"/>
        </w:rPr>
        <w:t>电动阀打开或关闭时阀座两面的最大不平衡压差应该是电动阀设计压力的基准值。</w:t>
      </w:r>
    </w:p>
    <w:p w14:paraId="16738683">
      <w:pPr>
        <w:pStyle w:val="12"/>
        <w:numPr>
          <w:ilvl w:val="0"/>
          <w:numId w:val="3"/>
        </w:numPr>
        <w:ind w:left="0" w:firstLine="0" w:firstLineChars="0"/>
        <w:rPr>
          <w:rFonts w:hint="eastAsia" w:ascii="宋体" w:hAnsi="宋体" w:eastAsia="宋体" w:cs="宋体"/>
          <w:snapToGrid w:val="0"/>
          <w:lang w:eastAsia="zh"/>
        </w:rPr>
      </w:pPr>
      <w:r>
        <w:rPr>
          <w:rFonts w:hint="eastAsia" w:ascii="宋体" w:hAnsi="宋体" w:eastAsia="宋体" w:cs="宋体"/>
          <w:snapToGrid w:val="0"/>
          <w:lang w:eastAsia="zh"/>
        </w:rPr>
        <w:t>在规格参数表中规定的工作条件下所有阀门组件都应能双向平衡可靠地操作。构造、规格和型号相同的阀门都应可以互换。</w:t>
      </w:r>
    </w:p>
    <w:p w14:paraId="68FC16EB">
      <w:pPr>
        <w:pStyle w:val="12"/>
        <w:numPr>
          <w:ilvl w:val="0"/>
          <w:numId w:val="3"/>
        </w:numPr>
        <w:ind w:left="0" w:firstLine="0" w:firstLineChars="0"/>
        <w:rPr>
          <w:rFonts w:hint="eastAsia" w:ascii="宋体" w:hAnsi="宋体" w:eastAsia="宋体" w:cs="宋体"/>
          <w:snapToGrid w:val="0"/>
          <w:lang w:eastAsia="zh"/>
        </w:rPr>
      </w:pPr>
      <w:r>
        <w:rPr>
          <w:rFonts w:hint="eastAsia" w:ascii="宋体" w:hAnsi="宋体" w:eastAsia="宋体" w:cs="宋体"/>
          <w:snapToGrid w:val="0"/>
          <w:lang w:eastAsia="zh"/>
        </w:rPr>
        <w:t>对于电动阀门，则需要在电动阀门参数表中，卖方应提供扭矩、行程时间、行程距离及与电动驱动装置的接口型式及尺寸，并在签订技术协议时提供扭矩计算资料。</w:t>
      </w:r>
    </w:p>
    <w:p w14:paraId="2A083294">
      <w:pPr>
        <w:pStyle w:val="12"/>
        <w:numPr>
          <w:ilvl w:val="0"/>
          <w:numId w:val="3"/>
        </w:numPr>
        <w:ind w:left="0" w:firstLine="0" w:firstLineChars="0"/>
        <w:rPr>
          <w:rFonts w:hint="eastAsia" w:ascii="宋体" w:hAnsi="宋体" w:eastAsia="宋体" w:cs="宋体"/>
          <w:snapToGrid w:val="0"/>
          <w:lang w:eastAsia="zh"/>
        </w:rPr>
      </w:pPr>
      <w:r>
        <w:rPr>
          <w:rFonts w:hint="eastAsia" w:ascii="宋体" w:hAnsi="宋体" w:eastAsia="宋体" w:cs="宋体"/>
          <w:snapToGrid w:val="0"/>
          <w:lang w:eastAsia="zh"/>
        </w:rPr>
        <w:t>卖方负责与电动驱动装置的接口配合。</w:t>
      </w:r>
    </w:p>
    <w:p w14:paraId="17891F40">
      <w:pPr>
        <w:pStyle w:val="12"/>
        <w:numPr>
          <w:ilvl w:val="0"/>
          <w:numId w:val="3"/>
        </w:numPr>
        <w:ind w:left="0" w:firstLine="0" w:firstLineChars="0"/>
        <w:rPr>
          <w:rFonts w:hint="eastAsia" w:ascii="宋体" w:hAnsi="宋体" w:eastAsia="宋体" w:cs="宋体"/>
          <w:snapToGrid w:val="0"/>
          <w:lang w:eastAsia="zh"/>
        </w:rPr>
      </w:pPr>
      <w:r>
        <w:rPr>
          <w:rFonts w:hint="eastAsia" w:ascii="宋体" w:hAnsi="宋体" w:eastAsia="宋体" w:cs="宋体"/>
          <w:snapToGrid w:val="0"/>
          <w:lang w:eastAsia="zh"/>
        </w:rPr>
        <w:t>蝶阀开度限位装置为机械限位，开度标志准确明显，保证开度指示与实际阀板位置一致。</w:t>
      </w:r>
    </w:p>
    <w:p w14:paraId="028098AB">
      <w:pPr>
        <w:pStyle w:val="12"/>
        <w:numPr>
          <w:ilvl w:val="0"/>
          <w:numId w:val="3"/>
        </w:numPr>
        <w:ind w:left="0" w:firstLine="0" w:firstLineChars="0"/>
        <w:rPr>
          <w:rFonts w:hint="eastAsia" w:ascii="宋体" w:hAnsi="宋体" w:eastAsia="宋体" w:cs="宋体"/>
          <w:snapToGrid w:val="0"/>
          <w:lang w:eastAsia="zh"/>
        </w:rPr>
      </w:pPr>
      <w:r>
        <w:rPr>
          <w:rFonts w:hint="eastAsia" w:ascii="宋体" w:hAnsi="宋体" w:eastAsia="宋体" w:cs="宋体"/>
          <w:snapToGrid w:val="0"/>
          <w:lang w:eastAsia="zh"/>
        </w:rPr>
        <w:t>蝶阀采用三偏心硬密封结构。阀门密封圈的设计制造，必须保证蝶板在工作时，一侧为工作压力，另一侧为无压时不漏水，泄漏量为零;阀门需双向密封。</w:t>
      </w:r>
    </w:p>
    <w:p w14:paraId="1A6D975D">
      <w:pPr>
        <w:pStyle w:val="12"/>
        <w:numPr>
          <w:ilvl w:val="0"/>
          <w:numId w:val="3"/>
        </w:numPr>
        <w:ind w:left="0" w:firstLine="0" w:firstLineChars="0"/>
        <w:rPr>
          <w:rFonts w:hint="eastAsia" w:ascii="宋体" w:hAnsi="宋体" w:eastAsia="宋体" w:cs="宋体"/>
          <w:snapToGrid w:val="0"/>
          <w:lang w:eastAsia="zh"/>
        </w:rPr>
      </w:pPr>
      <w:r>
        <w:rPr>
          <w:rFonts w:hint="eastAsia" w:ascii="宋体" w:hAnsi="宋体" w:eastAsia="宋体" w:cs="宋体"/>
          <w:snapToGrid w:val="0"/>
          <w:lang w:eastAsia="zh"/>
        </w:rPr>
        <w:t>阀门的操作机构具有足够的力矩和刚度，保证蝶板在开启和关闭过程中平稳运行，使蝶板稳定的停留在任意的中间位置上。</w:t>
      </w:r>
    </w:p>
    <w:p w14:paraId="795489F3">
      <w:pPr>
        <w:pStyle w:val="12"/>
        <w:numPr>
          <w:ilvl w:val="0"/>
          <w:numId w:val="3"/>
        </w:numPr>
        <w:ind w:left="0" w:firstLine="0" w:firstLineChars="0"/>
        <w:rPr>
          <w:rFonts w:hint="eastAsia" w:ascii="宋体" w:hAnsi="宋体" w:eastAsia="宋体" w:cs="宋体"/>
          <w:snapToGrid w:val="0"/>
          <w:lang w:eastAsia="zh"/>
        </w:rPr>
      </w:pPr>
      <w:r>
        <w:rPr>
          <w:rFonts w:hint="eastAsia" w:ascii="宋体" w:hAnsi="宋体" w:eastAsia="宋体" w:cs="宋体"/>
          <w:snapToGrid w:val="0"/>
          <w:lang w:eastAsia="zh"/>
        </w:rPr>
        <w:t>阀门本体设计时已考虑地震力及温度应力的作用。</w:t>
      </w:r>
    </w:p>
    <w:p w14:paraId="3B3D24D7">
      <w:pPr>
        <w:pStyle w:val="12"/>
        <w:numPr>
          <w:ilvl w:val="0"/>
          <w:numId w:val="3"/>
        </w:numPr>
        <w:ind w:left="0" w:firstLine="0" w:firstLineChars="0"/>
        <w:rPr>
          <w:rFonts w:hint="eastAsia" w:ascii="宋体" w:hAnsi="宋体" w:eastAsia="宋体" w:cs="宋体"/>
          <w:snapToGrid w:val="0"/>
          <w:lang w:eastAsia="zh"/>
        </w:rPr>
      </w:pPr>
      <w:r>
        <w:rPr>
          <w:rFonts w:hint="eastAsia" w:ascii="宋体" w:hAnsi="宋体" w:eastAsia="宋体" w:cs="宋体"/>
          <w:snapToGrid w:val="0"/>
          <w:lang w:eastAsia="zh"/>
        </w:rPr>
        <w:t>在阀体上铸锻出流体的流动方向。</w:t>
      </w:r>
    </w:p>
    <w:p w14:paraId="33BB25CC">
      <w:pPr>
        <w:pStyle w:val="12"/>
        <w:numPr>
          <w:ilvl w:val="0"/>
          <w:numId w:val="3"/>
        </w:numPr>
        <w:ind w:left="0" w:firstLine="0" w:firstLineChars="0"/>
        <w:rPr>
          <w:rFonts w:hint="eastAsia" w:ascii="宋体" w:hAnsi="宋体" w:eastAsia="宋体" w:cs="宋体"/>
          <w:snapToGrid w:val="0"/>
          <w:lang w:eastAsia="zh"/>
        </w:rPr>
      </w:pPr>
      <w:r>
        <w:rPr>
          <w:rFonts w:hint="eastAsia" w:ascii="宋体" w:hAnsi="宋体" w:eastAsia="宋体" w:cs="宋体"/>
          <w:snapToGrid w:val="0"/>
          <w:lang w:eastAsia="zh"/>
        </w:rPr>
        <w:t>滑动部件间有一定的硬度差别以防相互咬紧，并提供有利的磨损特性，如:阀杆与上密封衬套，阀体与导向衬套，密封圈的支承面等。</w:t>
      </w:r>
    </w:p>
    <w:p w14:paraId="2DA5C6D9">
      <w:pPr>
        <w:pStyle w:val="12"/>
        <w:numPr>
          <w:ilvl w:val="0"/>
          <w:numId w:val="3"/>
        </w:numPr>
        <w:ind w:left="0" w:firstLine="0" w:firstLineChars="0"/>
        <w:rPr>
          <w:rFonts w:hint="eastAsia" w:ascii="宋体" w:hAnsi="宋体" w:eastAsia="宋体" w:cs="宋体"/>
          <w:snapToGrid w:val="0"/>
          <w:lang w:eastAsia="zh"/>
        </w:rPr>
      </w:pPr>
      <w:r>
        <w:rPr>
          <w:rFonts w:hint="eastAsia" w:ascii="宋体" w:hAnsi="宋体" w:eastAsia="宋体" w:cs="宋体"/>
          <w:snapToGrid w:val="0"/>
          <w:lang w:eastAsia="zh"/>
        </w:rPr>
        <w:t>填料和压盖：(1)所有需要填料的阀门都配供卖方推荐的自润滑填料，其可滤氣化物含量不超过 25mg/1，填料具有降低不锈钢阀杆腐蚀的措施，并且不需拆卸阀杆就可更换。(2)所有阀门都能在不拆执行器时更换填料，且不得接长阀杆来满足。</w:t>
      </w:r>
    </w:p>
    <w:p w14:paraId="4BCA2E1A">
      <w:pPr>
        <w:pStyle w:val="12"/>
        <w:numPr>
          <w:ilvl w:val="0"/>
          <w:numId w:val="3"/>
        </w:numPr>
        <w:ind w:left="0" w:firstLine="0" w:firstLineChars="0"/>
        <w:rPr>
          <w:rFonts w:hint="eastAsia" w:ascii="宋体" w:hAnsi="宋体" w:eastAsia="宋体" w:cs="宋体"/>
          <w:snapToGrid w:val="0"/>
          <w:lang w:eastAsia="zh"/>
        </w:rPr>
      </w:pPr>
      <w:r>
        <w:rPr>
          <w:rFonts w:hint="eastAsia" w:ascii="宋体" w:hAnsi="宋体" w:eastAsia="宋体" w:cs="宋体"/>
          <w:snapToGrid w:val="0"/>
          <w:lang w:eastAsia="zh"/>
        </w:rPr>
        <w:t>所有阀门配备可调行程挡块以防止阀门在开/关位置时超行程。阀体应为整体锻制结构。</w:t>
      </w:r>
    </w:p>
    <w:p w14:paraId="265768EC">
      <w:pPr>
        <w:pStyle w:val="12"/>
        <w:numPr>
          <w:ilvl w:val="0"/>
          <w:numId w:val="3"/>
        </w:numPr>
        <w:ind w:left="0" w:firstLine="0" w:firstLineChars="0"/>
        <w:rPr>
          <w:rFonts w:hint="eastAsia" w:ascii="宋体" w:hAnsi="宋体" w:eastAsia="宋体" w:cs="宋体"/>
          <w:snapToGrid w:val="0"/>
          <w:lang w:eastAsia="zh"/>
        </w:rPr>
      </w:pPr>
      <w:r>
        <w:rPr>
          <w:rFonts w:hint="eastAsia" w:ascii="宋体" w:hAnsi="宋体" w:eastAsia="宋体" w:cs="宋体"/>
          <w:snapToGrid w:val="0"/>
          <w:lang w:eastAsia="zh"/>
        </w:rPr>
        <w:t>卖方保证所有材料适合于所输送的流体。所有承压零部件材料均应符合相关规范的要求，非承压材料如垫片、填料等也要满足相关规定或买方的标准。</w:t>
      </w:r>
    </w:p>
    <w:p w14:paraId="0260F889">
      <w:pPr>
        <w:pStyle w:val="12"/>
        <w:numPr>
          <w:ilvl w:val="0"/>
          <w:numId w:val="3"/>
        </w:numPr>
        <w:ind w:left="0" w:firstLine="0" w:firstLineChars="0"/>
        <w:rPr>
          <w:rFonts w:hint="eastAsia" w:ascii="宋体" w:hAnsi="宋体" w:eastAsia="宋体" w:cs="宋体"/>
          <w:snapToGrid w:val="0"/>
          <w:lang w:eastAsia="zh"/>
        </w:rPr>
      </w:pPr>
      <w:r>
        <w:rPr>
          <w:rFonts w:hint="eastAsia" w:ascii="宋体" w:hAnsi="宋体" w:eastAsia="宋体" w:cs="宋体"/>
          <w:snapToGrid w:val="0"/>
          <w:lang w:eastAsia="zh"/>
        </w:rPr>
        <w:t>当阀门进出口口径或材料与蒸汽管道不同时，供货方需提供与管子材料一致的过渡短管。短管的壁厚根据阀门的设计压力和温度以及水压试验的要求进行选择，其管道材质、壁厚要求不得低于与之相连的蒸汽管道。</w:t>
      </w:r>
    </w:p>
    <w:p w14:paraId="5D2B483B">
      <w:pPr>
        <w:pStyle w:val="12"/>
        <w:numPr>
          <w:ilvl w:val="0"/>
          <w:numId w:val="3"/>
        </w:numPr>
        <w:ind w:left="0" w:firstLine="0" w:firstLineChars="0"/>
        <w:rPr>
          <w:rFonts w:hint="eastAsia" w:ascii="宋体" w:hAnsi="宋体" w:eastAsia="宋体" w:cs="宋体"/>
          <w:snapToGrid w:val="0"/>
          <w:lang w:eastAsia="zh"/>
        </w:rPr>
      </w:pPr>
      <w:r>
        <w:rPr>
          <w:rFonts w:hint="eastAsia" w:ascii="宋体" w:hAnsi="宋体" w:eastAsia="宋体" w:cs="宋体"/>
          <w:snapToGrid w:val="0"/>
          <w:lang w:eastAsia="zh"/>
        </w:rPr>
        <w:t>卖方提供的阀门或短管能与买方的管道直接焊接，阀门或短管的坡口形式必须符合《给水排水管道工程施工及验收规范 》(GB 50268-2008 )相关的坡口要求。</w:t>
      </w:r>
    </w:p>
    <w:p w14:paraId="607EDC92">
      <w:pPr>
        <w:pStyle w:val="12"/>
        <w:numPr>
          <w:ilvl w:val="0"/>
          <w:numId w:val="3"/>
        </w:numPr>
        <w:ind w:left="0" w:firstLine="0" w:firstLineChars="0"/>
        <w:rPr>
          <w:rFonts w:hint="eastAsia" w:ascii="宋体" w:hAnsi="宋体" w:eastAsia="宋体" w:cs="宋体"/>
          <w:snapToGrid w:val="0"/>
          <w:lang w:eastAsia="zh"/>
        </w:rPr>
      </w:pPr>
      <w:r>
        <w:rPr>
          <w:rFonts w:hint="eastAsia" w:ascii="宋体" w:hAnsi="宋体" w:eastAsia="宋体" w:cs="宋体"/>
          <w:snapToGrid w:val="0"/>
          <w:lang w:eastAsia="zh"/>
        </w:rPr>
        <w:t>卖方根据介质和限定的工作条件,进行材料选用并提供给买方确认,但不能推卸选用材料的责任。</w:t>
      </w:r>
    </w:p>
    <w:p w14:paraId="2732D825">
      <w:pPr>
        <w:pStyle w:val="3"/>
        <w:rPr>
          <w:rFonts w:hint="eastAsia" w:ascii="宋体" w:hAnsi="宋体" w:eastAsia="宋体" w:cs="宋体"/>
        </w:rPr>
      </w:pPr>
      <w:bookmarkStart w:id="15" w:name="_Toc7941"/>
      <w:r>
        <w:rPr>
          <w:rFonts w:hint="eastAsia" w:ascii="宋体" w:hAnsi="宋体" w:eastAsia="宋体" w:cs="宋体"/>
        </w:rPr>
        <w:t>电气部分技术要求</w:t>
      </w:r>
      <w:bookmarkEnd w:id="15"/>
    </w:p>
    <w:p w14:paraId="649ADAE1">
      <w:pPr>
        <w:pStyle w:val="4"/>
        <w:rPr>
          <w:rFonts w:hint="eastAsia" w:ascii="宋体" w:hAnsi="宋体" w:eastAsia="宋体" w:cs="宋体"/>
        </w:rPr>
      </w:pPr>
      <w:r>
        <w:rPr>
          <w:rFonts w:hint="eastAsia" w:ascii="宋体" w:hAnsi="宋体" w:eastAsia="宋体" w:cs="宋体"/>
        </w:rPr>
        <w:t xml:space="preserve"> </w:t>
      </w:r>
      <w:bookmarkStart w:id="16" w:name="_Toc9348"/>
      <w:r>
        <w:rPr>
          <w:rFonts w:hint="eastAsia" w:ascii="宋体" w:hAnsi="宋体" w:eastAsia="宋体" w:cs="宋体"/>
        </w:rPr>
        <w:t>配电箱（柜）技术要求</w:t>
      </w:r>
      <w:bookmarkEnd w:id="16"/>
    </w:p>
    <w:p w14:paraId="23CBE8F8">
      <w:pPr>
        <w:pStyle w:val="5"/>
        <w:rPr>
          <w:rFonts w:hint="eastAsia" w:ascii="宋体" w:hAnsi="宋体" w:eastAsia="宋体" w:cs="宋体"/>
        </w:rPr>
      </w:pPr>
      <w:r>
        <w:rPr>
          <w:rFonts w:hint="eastAsia" w:ascii="宋体" w:hAnsi="宋体" w:eastAsia="宋体" w:cs="宋体"/>
        </w:rPr>
        <w:t>基本要求</w:t>
      </w:r>
    </w:p>
    <w:p w14:paraId="60B535E7">
      <w:pPr>
        <w:pStyle w:val="12"/>
        <w:numPr>
          <w:ilvl w:val="0"/>
          <w:numId w:val="4"/>
        </w:numPr>
        <w:ind w:left="0" w:firstLine="0" w:firstLineChars="0"/>
        <w:rPr>
          <w:rFonts w:hint="eastAsia" w:ascii="宋体" w:hAnsi="宋体" w:eastAsia="宋体" w:cs="宋体"/>
          <w:snapToGrid w:val="0"/>
          <w:lang w:eastAsia="zh"/>
        </w:rPr>
      </w:pPr>
      <w:r>
        <w:rPr>
          <w:rFonts w:hint="eastAsia" w:ascii="宋体" w:hAnsi="宋体" w:eastAsia="宋体" w:cs="宋体"/>
          <w:snapToGrid w:val="0"/>
          <w:lang w:eastAsia="zh"/>
        </w:rPr>
        <w:t>设备运行条件</w:t>
      </w:r>
    </w:p>
    <w:p w14:paraId="22E1C785">
      <w:pPr>
        <w:pStyle w:val="12"/>
        <w:numPr>
          <w:ilvl w:val="1"/>
          <w:numId w:val="5"/>
        </w:numPr>
        <w:ind w:left="0" w:firstLine="0" w:firstLineChars="0"/>
        <w:rPr>
          <w:rFonts w:hint="eastAsia" w:ascii="宋体" w:hAnsi="宋体" w:eastAsia="宋体" w:cs="宋体"/>
        </w:rPr>
      </w:pPr>
      <w:r>
        <w:rPr>
          <w:rFonts w:hint="eastAsia" w:ascii="宋体" w:hAnsi="宋体" w:eastAsia="宋体" w:cs="宋体"/>
        </w:rPr>
        <w:t>安装场所：户内安装（部分户外安装）；</w:t>
      </w:r>
    </w:p>
    <w:p w14:paraId="4AB002AC">
      <w:pPr>
        <w:pStyle w:val="12"/>
        <w:numPr>
          <w:ilvl w:val="1"/>
          <w:numId w:val="5"/>
        </w:numPr>
        <w:ind w:left="0" w:firstLine="0" w:firstLineChars="0"/>
        <w:rPr>
          <w:rFonts w:hint="eastAsia" w:ascii="宋体" w:hAnsi="宋体" w:eastAsia="宋体" w:cs="宋体"/>
        </w:rPr>
      </w:pPr>
      <w:r>
        <w:rPr>
          <w:rFonts w:hint="eastAsia" w:ascii="宋体" w:hAnsi="宋体" w:eastAsia="宋体" w:cs="宋体"/>
        </w:rPr>
        <w:t>海拔高度：≤1000m；</w:t>
      </w:r>
    </w:p>
    <w:p w14:paraId="5D6353A7">
      <w:pPr>
        <w:pStyle w:val="12"/>
        <w:numPr>
          <w:ilvl w:val="1"/>
          <w:numId w:val="5"/>
        </w:numPr>
        <w:ind w:left="0" w:firstLine="0" w:firstLineChars="0"/>
        <w:rPr>
          <w:rFonts w:hint="eastAsia" w:ascii="宋体" w:hAnsi="宋体" w:eastAsia="宋体" w:cs="宋体"/>
        </w:rPr>
      </w:pPr>
      <w:r>
        <w:rPr>
          <w:rFonts w:hint="eastAsia" w:ascii="宋体" w:hAnsi="宋体" w:eastAsia="宋体" w:cs="宋体"/>
        </w:rPr>
        <w:t>环境温度：-5℃～+40℃；户外按照淮安地区温度考虑；</w:t>
      </w:r>
    </w:p>
    <w:p w14:paraId="468D1F56">
      <w:pPr>
        <w:pStyle w:val="12"/>
        <w:numPr>
          <w:ilvl w:val="1"/>
          <w:numId w:val="5"/>
        </w:numPr>
        <w:ind w:left="0" w:firstLine="0" w:firstLineChars="0"/>
        <w:rPr>
          <w:rFonts w:hint="eastAsia" w:ascii="宋体" w:hAnsi="宋体" w:eastAsia="宋体" w:cs="宋体"/>
        </w:rPr>
      </w:pPr>
      <w:r>
        <w:rPr>
          <w:rFonts w:hint="eastAsia" w:ascii="宋体" w:hAnsi="宋体" w:eastAsia="宋体" w:cs="宋体"/>
        </w:rPr>
        <w:t>日温差：25℃；</w:t>
      </w:r>
    </w:p>
    <w:p w14:paraId="2EF7EEC6">
      <w:pPr>
        <w:pStyle w:val="12"/>
        <w:numPr>
          <w:ilvl w:val="1"/>
          <w:numId w:val="5"/>
        </w:numPr>
        <w:ind w:left="0" w:firstLine="0" w:firstLineChars="0"/>
        <w:rPr>
          <w:rFonts w:hint="eastAsia" w:ascii="宋体" w:hAnsi="宋体" w:eastAsia="宋体" w:cs="宋体"/>
        </w:rPr>
      </w:pPr>
      <w:r>
        <w:rPr>
          <w:rFonts w:hint="eastAsia" w:ascii="宋体" w:hAnsi="宋体" w:eastAsia="宋体" w:cs="宋体"/>
        </w:rPr>
        <w:t>相对湿度：≤85％（+25℃）；</w:t>
      </w:r>
    </w:p>
    <w:p w14:paraId="788FF52C">
      <w:pPr>
        <w:pStyle w:val="12"/>
        <w:numPr>
          <w:ilvl w:val="1"/>
          <w:numId w:val="5"/>
        </w:numPr>
        <w:ind w:left="0" w:firstLine="0" w:firstLineChars="0"/>
        <w:rPr>
          <w:rFonts w:hint="eastAsia" w:ascii="宋体" w:hAnsi="宋体" w:eastAsia="宋体" w:cs="宋体"/>
        </w:rPr>
      </w:pPr>
      <w:r>
        <w:rPr>
          <w:rFonts w:hint="eastAsia" w:ascii="宋体" w:hAnsi="宋体" w:eastAsia="宋体" w:cs="宋体"/>
        </w:rPr>
        <w:t>抗震能力：承受地震烈度7度，即：水平加速度0.3g，垂直加速度0.15g，安全系数&gt;1.67；</w:t>
      </w:r>
    </w:p>
    <w:p w14:paraId="45BD919E">
      <w:pPr>
        <w:pStyle w:val="12"/>
        <w:numPr>
          <w:ilvl w:val="1"/>
          <w:numId w:val="5"/>
        </w:numPr>
        <w:ind w:left="0" w:firstLine="0" w:firstLineChars="0"/>
        <w:rPr>
          <w:rFonts w:hint="eastAsia" w:ascii="宋体" w:hAnsi="宋体" w:eastAsia="宋体" w:cs="宋体"/>
        </w:rPr>
      </w:pPr>
      <w:r>
        <w:rPr>
          <w:rFonts w:hint="eastAsia" w:ascii="宋体" w:hAnsi="宋体" w:eastAsia="宋体" w:cs="宋体"/>
        </w:rPr>
        <w:t>电源：AC220/380V，50Hz。元器件应采用国家有关标准的定型产品。本次投标产品所选用的元器件必须保证是正品、新品。</w:t>
      </w:r>
    </w:p>
    <w:p w14:paraId="14884553">
      <w:pPr>
        <w:pStyle w:val="12"/>
        <w:numPr>
          <w:ilvl w:val="0"/>
          <w:numId w:val="4"/>
        </w:numPr>
        <w:ind w:left="0" w:firstLine="0" w:firstLineChars="0"/>
        <w:rPr>
          <w:rFonts w:hint="eastAsia" w:ascii="宋体" w:hAnsi="宋体" w:eastAsia="宋体" w:cs="宋体"/>
          <w:snapToGrid w:val="0"/>
          <w:lang w:eastAsia="zh"/>
        </w:rPr>
      </w:pPr>
      <w:r>
        <w:rPr>
          <w:rFonts w:hint="eastAsia" w:ascii="宋体" w:hAnsi="宋体" w:eastAsia="宋体" w:cs="宋体"/>
          <w:snapToGrid w:val="0"/>
          <w:lang w:eastAsia="zh"/>
        </w:rPr>
        <w:t>投标产品（包括所选用的主要器件）必须符合中国电工产品认证委员会的安全认证要求，其电气设备上应带有安全认证保证（CCC认证）；必须符合国家现行技术标准的规定，并应提供合格证书、3C认证等。</w:t>
      </w:r>
    </w:p>
    <w:p w14:paraId="4AD83C58">
      <w:pPr>
        <w:pStyle w:val="12"/>
        <w:numPr>
          <w:ilvl w:val="0"/>
          <w:numId w:val="4"/>
        </w:numPr>
        <w:ind w:left="0" w:firstLine="0" w:firstLineChars="0"/>
        <w:rPr>
          <w:rFonts w:hint="eastAsia" w:ascii="宋体" w:hAnsi="宋体" w:eastAsia="宋体" w:cs="宋体"/>
          <w:snapToGrid w:val="0"/>
          <w:lang w:eastAsia="zh"/>
        </w:rPr>
      </w:pPr>
      <w:r>
        <w:rPr>
          <w:rFonts w:hint="eastAsia" w:ascii="宋体" w:hAnsi="宋体" w:eastAsia="宋体" w:cs="宋体"/>
          <w:snapToGrid w:val="0"/>
          <w:lang w:eastAsia="zh"/>
        </w:rPr>
        <w:t>元器件应采用国家有关标准的定型产品。本次投标产品所选用的元器件必须保证是正品、新品。</w:t>
      </w:r>
    </w:p>
    <w:p w14:paraId="648FE8D6">
      <w:pPr>
        <w:pStyle w:val="5"/>
        <w:rPr>
          <w:rFonts w:hint="eastAsia" w:ascii="宋体" w:hAnsi="宋体" w:eastAsia="宋体" w:cs="宋体"/>
        </w:rPr>
      </w:pPr>
      <w:r>
        <w:rPr>
          <w:rFonts w:hint="eastAsia" w:ascii="宋体" w:hAnsi="宋体" w:eastAsia="宋体" w:cs="宋体"/>
        </w:rPr>
        <w:t>主要元器件技术要求</w:t>
      </w:r>
    </w:p>
    <w:p w14:paraId="7FE45705">
      <w:pPr>
        <w:pStyle w:val="12"/>
        <w:numPr>
          <w:ilvl w:val="0"/>
          <w:numId w:val="6"/>
        </w:numPr>
        <w:ind w:left="0" w:firstLine="0" w:firstLineChars="0"/>
        <w:rPr>
          <w:rFonts w:hint="eastAsia" w:ascii="宋体" w:hAnsi="宋体" w:eastAsia="宋体" w:cs="宋体"/>
          <w:snapToGrid w:val="0"/>
          <w:lang w:eastAsia="zh"/>
        </w:rPr>
      </w:pPr>
      <w:r>
        <w:rPr>
          <w:rFonts w:hint="eastAsia" w:ascii="宋体" w:hAnsi="宋体" w:eastAsia="宋体" w:cs="宋体"/>
          <w:snapToGrid w:val="0"/>
          <w:lang w:eastAsia="zh"/>
        </w:rPr>
        <w:t>塑壳断路器：</w:t>
      </w:r>
    </w:p>
    <w:p w14:paraId="75EB4FA0">
      <w:pPr>
        <w:pStyle w:val="12"/>
        <w:ind w:firstLine="420"/>
        <w:rPr>
          <w:rFonts w:hint="eastAsia" w:ascii="宋体" w:hAnsi="宋体" w:eastAsia="宋体" w:cs="宋体"/>
        </w:rPr>
      </w:pPr>
      <w:r>
        <w:rPr>
          <w:rFonts w:hint="eastAsia" w:ascii="宋体" w:hAnsi="宋体" w:eastAsia="宋体" w:cs="宋体"/>
        </w:rPr>
        <w:t>额定电流见配电箱系统图；</w:t>
      </w:r>
    </w:p>
    <w:p w14:paraId="5F5AB438">
      <w:pPr>
        <w:pStyle w:val="12"/>
        <w:ind w:firstLine="420"/>
        <w:rPr>
          <w:rFonts w:hint="eastAsia" w:ascii="宋体" w:hAnsi="宋体" w:eastAsia="宋体" w:cs="宋体"/>
        </w:rPr>
      </w:pPr>
      <w:r>
        <w:rPr>
          <w:rFonts w:hint="eastAsia" w:ascii="宋体" w:hAnsi="宋体" w:eastAsia="宋体" w:cs="宋体"/>
        </w:rPr>
        <w:t>使用分断能力（Ics）≥50kA；</w:t>
      </w:r>
    </w:p>
    <w:p w14:paraId="35C0B55E">
      <w:pPr>
        <w:pStyle w:val="12"/>
        <w:ind w:firstLine="420"/>
        <w:rPr>
          <w:rFonts w:hint="eastAsia" w:ascii="宋体" w:hAnsi="宋体" w:eastAsia="宋体" w:cs="宋体"/>
        </w:rPr>
      </w:pPr>
      <w:r>
        <w:rPr>
          <w:rFonts w:hint="eastAsia" w:ascii="宋体" w:hAnsi="宋体" w:eastAsia="宋体" w:cs="宋体"/>
        </w:rPr>
        <w:t>额定工作电压Ue：690V；</w:t>
      </w:r>
    </w:p>
    <w:p w14:paraId="3CFA95A4">
      <w:pPr>
        <w:pStyle w:val="12"/>
        <w:ind w:firstLine="420"/>
        <w:rPr>
          <w:rFonts w:hint="eastAsia" w:ascii="宋体" w:hAnsi="宋体" w:eastAsia="宋体" w:cs="宋体"/>
        </w:rPr>
      </w:pPr>
      <w:r>
        <w:rPr>
          <w:rFonts w:hint="eastAsia" w:ascii="宋体" w:hAnsi="宋体" w:eastAsia="宋体" w:cs="宋体"/>
        </w:rPr>
        <w:t>使用寿命：机械寿命20000次以上，电气寿命10000次以上；</w:t>
      </w:r>
    </w:p>
    <w:p w14:paraId="744B7AC8">
      <w:pPr>
        <w:pStyle w:val="12"/>
        <w:ind w:firstLine="420"/>
        <w:rPr>
          <w:rFonts w:hint="eastAsia" w:ascii="宋体" w:hAnsi="宋体" w:eastAsia="宋体" w:cs="宋体"/>
        </w:rPr>
      </w:pPr>
      <w:r>
        <w:rPr>
          <w:rFonts w:hint="eastAsia" w:ascii="宋体" w:hAnsi="宋体" w:eastAsia="宋体" w:cs="宋体"/>
        </w:rPr>
        <w:t xml:space="preserve">外壳采用高阻燃、高强度的塑料压制，采用无飞弧结构； </w:t>
      </w:r>
    </w:p>
    <w:p w14:paraId="0EB2526E">
      <w:pPr>
        <w:pStyle w:val="12"/>
        <w:ind w:firstLine="420"/>
        <w:rPr>
          <w:rFonts w:hint="eastAsia" w:ascii="宋体" w:hAnsi="宋体" w:eastAsia="宋体" w:cs="宋体"/>
        </w:rPr>
      </w:pPr>
      <w:r>
        <w:rPr>
          <w:rFonts w:hint="eastAsia" w:ascii="宋体" w:hAnsi="宋体" w:eastAsia="宋体" w:cs="宋体"/>
        </w:rPr>
        <w:t>具有可靠的电气隔离功能；</w:t>
      </w:r>
    </w:p>
    <w:p w14:paraId="6A10FE88">
      <w:pPr>
        <w:pStyle w:val="12"/>
        <w:ind w:firstLine="420"/>
        <w:rPr>
          <w:rFonts w:hint="eastAsia" w:ascii="宋体" w:hAnsi="宋体" w:eastAsia="宋体" w:cs="宋体"/>
        </w:rPr>
      </w:pPr>
      <w:r>
        <w:rPr>
          <w:rFonts w:hint="eastAsia" w:ascii="宋体" w:hAnsi="宋体" w:eastAsia="宋体" w:cs="宋体"/>
        </w:rPr>
        <w:t>为更好保证系统稳定及维护使用安全，塑壳断路器应为限流型断路器，并且具有优良的绝缘特性。</w:t>
      </w:r>
    </w:p>
    <w:p w14:paraId="29018691">
      <w:pPr>
        <w:pStyle w:val="12"/>
        <w:ind w:firstLine="420"/>
        <w:rPr>
          <w:rFonts w:hint="eastAsia" w:ascii="宋体" w:hAnsi="宋体" w:eastAsia="宋体" w:cs="宋体"/>
        </w:rPr>
      </w:pPr>
      <w:r>
        <w:rPr>
          <w:rFonts w:hint="eastAsia" w:ascii="宋体" w:hAnsi="宋体" w:eastAsia="宋体" w:cs="宋体"/>
        </w:rPr>
        <w:t>断路器应为模块化结构设计、安装方便，并可在不拆卸塑壳断路器外壳的情况下加装各种附件（如分励脱扣器、辅助触头、报警触头）而无需改变断路器结构和低压开关柜结构，同时面板、附件为标准化设计。</w:t>
      </w:r>
    </w:p>
    <w:p w14:paraId="3A943661">
      <w:pPr>
        <w:pStyle w:val="12"/>
        <w:ind w:firstLine="420"/>
        <w:rPr>
          <w:rFonts w:hint="eastAsia" w:ascii="宋体" w:hAnsi="宋体" w:eastAsia="宋体" w:cs="宋体"/>
        </w:rPr>
      </w:pPr>
      <w:r>
        <w:rPr>
          <w:rFonts w:hint="eastAsia" w:ascii="宋体" w:hAnsi="宋体" w:eastAsia="宋体" w:cs="宋体"/>
        </w:rPr>
        <w:t>塑壳断路器应具有优良的上下级选择性和级联特性，以提高配电系统的工作连续性,并能提供级联配合表。</w:t>
      </w:r>
    </w:p>
    <w:p w14:paraId="62F6E893">
      <w:pPr>
        <w:pStyle w:val="12"/>
        <w:ind w:firstLine="420"/>
        <w:rPr>
          <w:rFonts w:hint="eastAsia" w:ascii="宋体" w:hAnsi="宋体" w:eastAsia="宋体" w:cs="宋体"/>
        </w:rPr>
      </w:pPr>
      <w:r>
        <w:rPr>
          <w:rFonts w:hint="eastAsia" w:ascii="宋体" w:hAnsi="宋体" w:eastAsia="宋体" w:cs="宋体"/>
        </w:rPr>
        <w:t>塑壳断路器保护脱扣器应选用电子脱扣器，提供长延时、短延时、瞬时短路保护功能，并具有电流及时间参数整定范围广等特性（四极断路器并具备单相接地保护功能）。</w:t>
      </w:r>
    </w:p>
    <w:p w14:paraId="3545383A">
      <w:pPr>
        <w:pStyle w:val="12"/>
        <w:ind w:firstLine="420"/>
        <w:rPr>
          <w:rFonts w:hint="eastAsia" w:ascii="宋体" w:hAnsi="宋体" w:eastAsia="宋体" w:cs="宋体"/>
        </w:rPr>
      </w:pPr>
      <w:r>
        <w:rPr>
          <w:rFonts w:hint="eastAsia" w:ascii="宋体" w:hAnsi="宋体" w:eastAsia="宋体" w:cs="宋体"/>
        </w:rPr>
        <w:t>带液晶显示屏，可以测量电流、电压、功率、电量、频率、谐波畸变率等参数或通过类似表计实现测量功能。</w:t>
      </w:r>
    </w:p>
    <w:p w14:paraId="3B8AE755">
      <w:pPr>
        <w:pStyle w:val="12"/>
        <w:ind w:firstLine="420"/>
        <w:rPr>
          <w:rFonts w:hint="eastAsia" w:ascii="宋体" w:hAnsi="宋体" w:eastAsia="宋体" w:cs="宋体"/>
        </w:rPr>
      </w:pPr>
      <w:r>
        <w:rPr>
          <w:rFonts w:hint="eastAsia" w:ascii="宋体" w:hAnsi="宋体" w:eastAsia="宋体" w:cs="宋体"/>
        </w:rPr>
        <w:t>具有高级报警功能，可以实现过电压、低电压、过频率、超不平衡电流、逆功率等高级报警功能。</w:t>
      </w:r>
    </w:p>
    <w:p w14:paraId="5AD96EAF">
      <w:pPr>
        <w:pStyle w:val="12"/>
        <w:ind w:firstLine="420"/>
        <w:rPr>
          <w:rFonts w:hint="eastAsia" w:ascii="宋体" w:hAnsi="宋体" w:eastAsia="宋体" w:cs="宋体"/>
        </w:rPr>
      </w:pPr>
      <w:r>
        <w:rPr>
          <w:rFonts w:hint="eastAsia" w:ascii="宋体" w:hAnsi="宋体" w:eastAsia="宋体" w:cs="宋体"/>
        </w:rPr>
        <w:t>历史日志功能，记录断路器故障脱扣情况。</w:t>
      </w:r>
    </w:p>
    <w:p w14:paraId="6278225D">
      <w:pPr>
        <w:pStyle w:val="12"/>
        <w:ind w:firstLine="420"/>
        <w:rPr>
          <w:rFonts w:hint="eastAsia" w:ascii="宋体" w:hAnsi="宋体" w:eastAsia="宋体" w:cs="宋体"/>
        </w:rPr>
      </w:pPr>
      <w:r>
        <w:rPr>
          <w:rFonts w:hint="eastAsia" w:ascii="宋体" w:hAnsi="宋体" w:eastAsia="宋体" w:cs="宋体"/>
        </w:rPr>
        <w:t>故障诊断功能，要求报警信号可以区分故障的类型（NSX通过SDx实现）。</w:t>
      </w:r>
    </w:p>
    <w:p w14:paraId="35CB2E1D">
      <w:pPr>
        <w:pStyle w:val="12"/>
        <w:ind w:firstLine="420"/>
        <w:rPr>
          <w:rFonts w:hint="eastAsia" w:ascii="宋体" w:hAnsi="宋体" w:eastAsia="宋体" w:cs="宋体"/>
        </w:rPr>
      </w:pPr>
      <w:r>
        <w:rPr>
          <w:rFonts w:hint="eastAsia" w:ascii="宋体" w:hAnsi="宋体" w:eastAsia="宋体" w:cs="宋体"/>
        </w:rPr>
        <w:t>操作信息记录，要求查看断路器分合闸操作次数。</w:t>
      </w:r>
    </w:p>
    <w:p w14:paraId="4EB4F0B1">
      <w:pPr>
        <w:pStyle w:val="12"/>
        <w:ind w:firstLine="420"/>
        <w:rPr>
          <w:rFonts w:hint="eastAsia" w:ascii="宋体" w:hAnsi="宋体" w:eastAsia="宋体" w:cs="宋体"/>
        </w:rPr>
      </w:pPr>
      <w:r>
        <w:rPr>
          <w:rFonts w:hint="eastAsia" w:ascii="宋体" w:hAnsi="宋体" w:eastAsia="宋体" w:cs="宋体"/>
        </w:rPr>
        <w:t>其它参数见招标图纸。</w:t>
      </w:r>
    </w:p>
    <w:p w14:paraId="0E828E32">
      <w:pPr>
        <w:pStyle w:val="12"/>
        <w:numPr>
          <w:ilvl w:val="0"/>
          <w:numId w:val="6"/>
        </w:numPr>
        <w:ind w:left="0" w:firstLine="0" w:firstLineChars="0"/>
        <w:rPr>
          <w:rFonts w:hint="eastAsia" w:ascii="宋体" w:hAnsi="宋体" w:eastAsia="宋体" w:cs="宋体"/>
          <w:snapToGrid w:val="0"/>
          <w:lang w:eastAsia="zh"/>
        </w:rPr>
      </w:pPr>
      <w:r>
        <w:rPr>
          <w:rFonts w:hint="eastAsia" w:ascii="宋体" w:hAnsi="宋体" w:eastAsia="宋体" w:cs="宋体"/>
          <w:snapToGrid w:val="0"/>
          <w:lang w:eastAsia="zh"/>
        </w:rPr>
        <w:t>微型断路器：</w:t>
      </w:r>
    </w:p>
    <w:p w14:paraId="4195CA1D">
      <w:pPr>
        <w:pStyle w:val="12"/>
        <w:ind w:firstLine="420"/>
        <w:rPr>
          <w:rFonts w:hint="eastAsia" w:ascii="宋体" w:hAnsi="宋体" w:eastAsia="宋体" w:cs="宋体"/>
        </w:rPr>
      </w:pPr>
      <w:r>
        <w:rPr>
          <w:rFonts w:hint="eastAsia" w:ascii="宋体" w:hAnsi="宋体" w:eastAsia="宋体" w:cs="宋体"/>
        </w:rPr>
        <w:t>额定电流见配电箱系统图；</w:t>
      </w:r>
    </w:p>
    <w:p w14:paraId="2A778BFC">
      <w:pPr>
        <w:pStyle w:val="12"/>
        <w:ind w:firstLine="420"/>
        <w:rPr>
          <w:rFonts w:hint="eastAsia" w:ascii="宋体" w:hAnsi="宋体" w:eastAsia="宋体" w:cs="宋体"/>
        </w:rPr>
      </w:pPr>
      <w:r>
        <w:rPr>
          <w:rFonts w:hint="eastAsia" w:ascii="宋体" w:hAnsi="宋体" w:eastAsia="宋体" w:cs="宋体"/>
        </w:rPr>
        <w:t>分断能力≥6KA；</w:t>
      </w:r>
    </w:p>
    <w:p w14:paraId="47420708">
      <w:pPr>
        <w:pStyle w:val="12"/>
        <w:ind w:firstLine="420"/>
        <w:rPr>
          <w:rFonts w:hint="eastAsia" w:ascii="宋体" w:hAnsi="宋体" w:eastAsia="宋体" w:cs="宋体"/>
        </w:rPr>
      </w:pPr>
      <w:r>
        <w:rPr>
          <w:rFonts w:hint="eastAsia" w:ascii="宋体" w:hAnsi="宋体" w:eastAsia="宋体" w:cs="宋体"/>
        </w:rPr>
        <w:t>耐污染等级应达到3级或以上，且绝缘电压（Ui）不小于500V。</w:t>
      </w:r>
    </w:p>
    <w:p w14:paraId="4B14987F">
      <w:pPr>
        <w:pStyle w:val="12"/>
        <w:ind w:firstLine="420"/>
        <w:rPr>
          <w:rFonts w:hint="eastAsia" w:ascii="宋体" w:hAnsi="宋体" w:eastAsia="宋体" w:cs="宋体"/>
        </w:rPr>
      </w:pPr>
      <w:r>
        <w:rPr>
          <w:rFonts w:hint="eastAsia" w:ascii="宋体" w:hAnsi="宋体" w:eastAsia="宋体" w:cs="宋体"/>
        </w:rPr>
        <w:t>机械寿命不低于20000次，且为三级限流产品。</w:t>
      </w:r>
    </w:p>
    <w:p w14:paraId="702B0AC3">
      <w:pPr>
        <w:pStyle w:val="12"/>
        <w:ind w:firstLine="420"/>
        <w:rPr>
          <w:rFonts w:hint="eastAsia" w:ascii="宋体" w:hAnsi="宋体" w:eastAsia="宋体" w:cs="宋体"/>
        </w:rPr>
      </w:pPr>
      <w:r>
        <w:rPr>
          <w:rFonts w:hint="eastAsia" w:ascii="宋体" w:hAnsi="宋体" w:eastAsia="宋体" w:cs="宋体"/>
        </w:rPr>
        <w:t>外壳采用阻燃环保热固型材料；</w:t>
      </w:r>
    </w:p>
    <w:p w14:paraId="3E48D7BF">
      <w:pPr>
        <w:pStyle w:val="12"/>
        <w:ind w:firstLine="420"/>
        <w:rPr>
          <w:rFonts w:hint="eastAsia" w:ascii="宋体" w:hAnsi="宋体" w:eastAsia="宋体" w:cs="宋体"/>
        </w:rPr>
      </w:pPr>
      <w:r>
        <w:rPr>
          <w:rFonts w:hint="eastAsia" w:ascii="宋体" w:hAnsi="宋体" w:eastAsia="宋体" w:cs="宋体"/>
        </w:rPr>
        <w:t>断路器操作机构为自动脱扣，负载触头在故障时不会保持在闭合位置且能显示其分合状态；</w:t>
      </w:r>
    </w:p>
    <w:p w14:paraId="0B898C70">
      <w:pPr>
        <w:pStyle w:val="12"/>
        <w:ind w:firstLine="420"/>
        <w:rPr>
          <w:rFonts w:hint="eastAsia" w:ascii="宋体" w:hAnsi="宋体" w:eastAsia="宋体" w:cs="宋体"/>
        </w:rPr>
      </w:pPr>
      <w:r>
        <w:rPr>
          <w:rFonts w:hint="eastAsia" w:ascii="宋体" w:hAnsi="宋体" w:eastAsia="宋体" w:cs="宋体"/>
        </w:rPr>
        <w:t>当三相电路中的一相出现过负荷故障时，可同时切断三相电源；</w:t>
      </w:r>
    </w:p>
    <w:p w14:paraId="36DD5431">
      <w:pPr>
        <w:pStyle w:val="12"/>
        <w:ind w:firstLine="420"/>
        <w:rPr>
          <w:rFonts w:hint="eastAsia" w:ascii="宋体" w:hAnsi="宋体" w:eastAsia="宋体" w:cs="宋体"/>
        </w:rPr>
      </w:pPr>
      <w:r>
        <w:rPr>
          <w:rFonts w:hint="eastAsia" w:ascii="宋体" w:hAnsi="宋体" w:eastAsia="宋体" w:cs="宋体"/>
        </w:rPr>
        <w:t>具有可靠的隔离功能；</w:t>
      </w:r>
    </w:p>
    <w:p w14:paraId="63F3BBC8">
      <w:pPr>
        <w:pStyle w:val="12"/>
        <w:ind w:firstLine="420"/>
        <w:rPr>
          <w:rFonts w:hint="eastAsia" w:ascii="宋体" w:hAnsi="宋体" w:eastAsia="宋体" w:cs="宋体"/>
        </w:rPr>
      </w:pPr>
      <w:r>
        <w:rPr>
          <w:rFonts w:hint="eastAsia" w:ascii="宋体" w:hAnsi="宋体" w:eastAsia="宋体" w:cs="宋体"/>
        </w:rPr>
        <w:t>接线要求上下进线均可，要求两用端子，可接铜线和汇流排；</w:t>
      </w:r>
    </w:p>
    <w:p w14:paraId="1877DBA6">
      <w:pPr>
        <w:pStyle w:val="12"/>
        <w:ind w:firstLine="420"/>
        <w:rPr>
          <w:rFonts w:hint="eastAsia" w:ascii="宋体" w:hAnsi="宋体" w:eastAsia="宋体" w:cs="宋体"/>
        </w:rPr>
      </w:pPr>
      <w:r>
        <w:rPr>
          <w:rFonts w:hint="eastAsia" w:ascii="宋体" w:hAnsi="宋体" w:eastAsia="宋体" w:cs="宋体"/>
        </w:rPr>
        <w:t>漏电断路器采用过载、短路保护及漏电一体的断路器；</w:t>
      </w:r>
    </w:p>
    <w:p w14:paraId="493229AC">
      <w:pPr>
        <w:pStyle w:val="12"/>
        <w:ind w:firstLine="420"/>
        <w:rPr>
          <w:rFonts w:hint="eastAsia" w:ascii="宋体" w:hAnsi="宋体" w:eastAsia="宋体" w:cs="宋体"/>
        </w:rPr>
      </w:pPr>
      <w:r>
        <w:rPr>
          <w:rFonts w:hint="eastAsia" w:ascii="宋体" w:hAnsi="宋体" w:eastAsia="宋体" w:cs="宋体"/>
        </w:rPr>
        <w:t>接线端子处具有防触电设计，方便非电气专业人员操作维护。</w:t>
      </w:r>
    </w:p>
    <w:p w14:paraId="2475986F">
      <w:pPr>
        <w:pStyle w:val="12"/>
        <w:ind w:firstLine="420"/>
        <w:rPr>
          <w:rFonts w:hint="eastAsia" w:ascii="宋体" w:hAnsi="宋体" w:eastAsia="宋体" w:cs="宋体"/>
        </w:rPr>
      </w:pPr>
      <w:r>
        <w:rPr>
          <w:rFonts w:hint="eastAsia" w:ascii="宋体" w:hAnsi="宋体" w:eastAsia="宋体" w:cs="宋体"/>
        </w:rPr>
        <w:t>微型断路器可以灵活拼装各种电气、机械以及控制附件。并且各种终端配电设备的附件应通用</w:t>
      </w:r>
    </w:p>
    <w:p w14:paraId="4E6591D8">
      <w:pPr>
        <w:pStyle w:val="12"/>
        <w:ind w:firstLine="420"/>
        <w:rPr>
          <w:rFonts w:hint="eastAsia" w:ascii="宋体" w:hAnsi="宋体" w:eastAsia="宋体" w:cs="宋体"/>
        </w:rPr>
      </w:pPr>
      <w:r>
        <w:rPr>
          <w:rFonts w:hint="eastAsia" w:ascii="宋体" w:hAnsi="宋体" w:eastAsia="宋体" w:cs="宋体"/>
        </w:rPr>
        <w:t>其它参数见招标图纸。</w:t>
      </w:r>
    </w:p>
    <w:p w14:paraId="2998FC2A">
      <w:pPr>
        <w:pStyle w:val="12"/>
        <w:numPr>
          <w:ilvl w:val="0"/>
          <w:numId w:val="6"/>
        </w:numPr>
        <w:ind w:left="0" w:firstLine="0" w:firstLineChars="0"/>
        <w:rPr>
          <w:rFonts w:hint="eastAsia" w:ascii="宋体" w:hAnsi="宋体" w:eastAsia="宋体" w:cs="宋体"/>
          <w:snapToGrid w:val="0"/>
          <w:lang w:eastAsia="zh"/>
        </w:rPr>
      </w:pPr>
      <w:r>
        <w:rPr>
          <w:rFonts w:hint="eastAsia" w:ascii="宋体" w:hAnsi="宋体" w:eastAsia="宋体" w:cs="宋体"/>
          <w:snapToGrid w:val="0"/>
          <w:lang w:eastAsia="zh"/>
        </w:rPr>
        <w:t>隔离开关：</w:t>
      </w:r>
    </w:p>
    <w:p w14:paraId="6D0E91ED">
      <w:pPr>
        <w:pStyle w:val="12"/>
        <w:ind w:firstLine="420"/>
        <w:rPr>
          <w:rFonts w:hint="eastAsia" w:ascii="宋体" w:hAnsi="宋体" w:eastAsia="宋体" w:cs="宋体"/>
        </w:rPr>
      </w:pPr>
      <w:r>
        <w:rPr>
          <w:rFonts w:hint="eastAsia" w:ascii="宋体" w:hAnsi="宋体" w:eastAsia="宋体" w:cs="宋体"/>
        </w:rPr>
        <w:t>额定电流见配电箱系统图；</w:t>
      </w:r>
    </w:p>
    <w:p w14:paraId="6301138D">
      <w:pPr>
        <w:pStyle w:val="12"/>
        <w:ind w:firstLine="420"/>
        <w:rPr>
          <w:rFonts w:hint="eastAsia" w:ascii="宋体" w:hAnsi="宋体" w:eastAsia="宋体" w:cs="宋体"/>
        </w:rPr>
      </w:pPr>
      <w:r>
        <w:rPr>
          <w:rFonts w:hint="eastAsia" w:ascii="宋体" w:hAnsi="宋体" w:eastAsia="宋体" w:cs="宋体"/>
        </w:rPr>
        <w:t>外壳采用阻燃环保材料；</w:t>
      </w:r>
    </w:p>
    <w:p w14:paraId="3B57FC23">
      <w:pPr>
        <w:pStyle w:val="12"/>
        <w:ind w:firstLine="420"/>
        <w:rPr>
          <w:rFonts w:hint="eastAsia" w:ascii="宋体" w:hAnsi="宋体" w:eastAsia="宋体" w:cs="宋体"/>
        </w:rPr>
      </w:pPr>
      <w:r>
        <w:rPr>
          <w:rFonts w:hint="eastAsia" w:ascii="宋体" w:hAnsi="宋体" w:eastAsia="宋体" w:cs="宋体"/>
        </w:rPr>
        <w:t>应有明显隔离指示开关，以保证使用安全；</w:t>
      </w:r>
    </w:p>
    <w:p w14:paraId="3970A47B">
      <w:pPr>
        <w:pStyle w:val="12"/>
        <w:ind w:firstLine="420"/>
        <w:rPr>
          <w:rFonts w:hint="eastAsia" w:ascii="宋体" w:hAnsi="宋体" w:eastAsia="宋体" w:cs="宋体"/>
        </w:rPr>
      </w:pPr>
      <w:r>
        <w:rPr>
          <w:rFonts w:hint="eastAsia" w:ascii="宋体" w:hAnsi="宋体" w:eastAsia="宋体" w:cs="宋体"/>
        </w:rPr>
        <w:t>机械寿命不得低于10000 次；</w:t>
      </w:r>
    </w:p>
    <w:p w14:paraId="3162CD63">
      <w:pPr>
        <w:pStyle w:val="12"/>
        <w:ind w:firstLine="420"/>
        <w:rPr>
          <w:rFonts w:hint="eastAsia" w:ascii="宋体" w:hAnsi="宋体" w:eastAsia="宋体" w:cs="宋体"/>
        </w:rPr>
      </w:pPr>
      <w:r>
        <w:rPr>
          <w:rFonts w:hint="eastAsia" w:ascii="宋体" w:hAnsi="宋体" w:eastAsia="宋体" w:cs="宋体"/>
        </w:rPr>
        <w:t>其它参数见设计图纸。</w:t>
      </w:r>
    </w:p>
    <w:p w14:paraId="366E2C7A">
      <w:pPr>
        <w:pStyle w:val="12"/>
        <w:numPr>
          <w:ilvl w:val="0"/>
          <w:numId w:val="6"/>
        </w:numPr>
        <w:ind w:left="0" w:firstLine="0" w:firstLineChars="0"/>
        <w:rPr>
          <w:rFonts w:hint="eastAsia" w:ascii="宋体" w:hAnsi="宋体" w:eastAsia="宋体" w:cs="宋体"/>
          <w:snapToGrid w:val="0"/>
          <w:lang w:eastAsia="zh"/>
        </w:rPr>
      </w:pPr>
      <w:r>
        <w:rPr>
          <w:rFonts w:hint="eastAsia" w:ascii="宋体" w:hAnsi="宋体" w:eastAsia="宋体" w:cs="宋体"/>
          <w:snapToGrid w:val="0"/>
          <w:lang w:eastAsia="zh"/>
        </w:rPr>
        <w:t>浪涌保护器：</w:t>
      </w:r>
    </w:p>
    <w:p w14:paraId="3BAD122C">
      <w:pPr>
        <w:pStyle w:val="12"/>
        <w:ind w:firstLine="420"/>
        <w:rPr>
          <w:rFonts w:hint="eastAsia" w:ascii="宋体" w:hAnsi="宋体" w:eastAsia="宋体" w:cs="宋体"/>
        </w:rPr>
      </w:pPr>
      <w:r>
        <w:rPr>
          <w:rFonts w:hint="eastAsia" w:ascii="宋体" w:hAnsi="宋体" w:eastAsia="宋体" w:cs="宋体"/>
        </w:rPr>
        <w:t>最大持续工作电压（Uc）≥275V；</w:t>
      </w:r>
    </w:p>
    <w:p w14:paraId="799EF141">
      <w:pPr>
        <w:pStyle w:val="12"/>
        <w:ind w:firstLine="420"/>
        <w:rPr>
          <w:rFonts w:hint="eastAsia" w:ascii="宋体" w:hAnsi="宋体" w:eastAsia="宋体" w:cs="宋体"/>
        </w:rPr>
      </w:pPr>
      <w:r>
        <w:rPr>
          <w:rFonts w:hint="eastAsia" w:ascii="宋体" w:hAnsi="宋体" w:eastAsia="宋体" w:cs="宋体"/>
        </w:rPr>
        <w:t>最大放电电流（Imax）：B级≥60kA(8/20μs)，C级≥40kA(8/20μs)；</w:t>
      </w:r>
    </w:p>
    <w:p w14:paraId="619A518F">
      <w:pPr>
        <w:pStyle w:val="12"/>
        <w:ind w:firstLine="420"/>
        <w:rPr>
          <w:rFonts w:hint="eastAsia" w:ascii="宋体" w:hAnsi="宋体" w:eastAsia="宋体" w:cs="宋体"/>
        </w:rPr>
      </w:pPr>
      <w:r>
        <w:rPr>
          <w:rFonts w:hint="eastAsia" w:ascii="宋体" w:hAnsi="宋体" w:eastAsia="宋体" w:cs="宋体"/>
        </w:rPr>
        <w:t>标称放电电流（In）：B级≥30kA(8/20μs)，C级≥20kA(8/20μs)；</w:t>
      </w:r>
    </w:p>
    <w:p w14:paraId="7837BA08">
      <w:pPr>
        <w:pStyle w:val="12"/>
        <w:ind w:firstLine="420"/>
        <w:rPr>
          <w:rFonts w:hint="eastAsia" w:ascii="宋体" w:hAnsi="宋体" w:eastAsia="宋体" w:cs="宋体"/>
        </w:rPr>
      </w:pPr>
      <w:r>
        <w:rPr>
          <w:rFonts w:hint="eastAsia" w:ascii="宋体" w:hAnsi="宋体" w:eastAsia="宋体" w:cs="宋体"/>
        </w:rPr>
        <w:t>响应时间≤25ns；</w:t>
      </w:r>
    </w:p>
    <w:p w14:paraId="0CE8B201">
      <w:pPr>
        <w:pStyle w:val="12"/>
        <w:ind w:firstLine="420"/>
        <w:rPr>
          <w:rFonts w:hint="eastAsia" w:ascii="宋体" w:hAnsi="宋体" w:eastAsia="宋体" w:cs="宋体"/>
        </w:rPr>
      </w:pPr>
      <w:r>
        <w:rPr>
          <w:rFonts w:hint="eastAsia" w:ascii="宋体" w:hAnsi="宋体" w:eastAsia="宋体" w:cs="宋体"/>
        </w:rPr>
        <w:t>电压保护水平（Up）＜1.8kV；</w:t>
      </w:r>
    </w:p>
    <w:p w14:paraId="560195D2">
      <w:pPr>
        <w:pStyle w:val="12"/>
        <w:ind w:firstLine="420"/>
        <w:rPr>
          <w:rFonts w:hint="eastAsia" w:ascii="宋体" w:hAnsi="宋体" w:eastAsia="宋体" w:cs="宋体"/>
        </w:rPr>
      </w:pPr>
      <w:r>
        <w:rPr>
          <w:rFonts w:hint="eastAsia" w:ascii="宋体" w:hAnsi="宋体" w:eastAsia="宋体" w:cs="宋体"/>
        </w:rPr>
        <w:t>采用标准插拔式结构，可导轨安装；</w:t>
      </w:r>
    </w:p>
    <w:p w14:paraId="15DD81BE">
      <w:pPr>
        <w:pStyle w:val="12"/>
        <w:ind w:firstLine="420"/>
        <w:rPr>
          <w:rFonts w:hint="eastAsia" w:ascii="宋体" w:hAnsi="宋体" w:eastAsia="宋体" w:cs="宋体"/>
        </w:rPr>
      </w:pPr>
      <w:r>
        <w:rPr>
          <w:rFonts w:hint="eastAsia" w:ascii="宋体" w:hAnsi="宋体" w:eastAsia="宋体" w:cs="宋体"/>
        </w:rPr>
        <w:t>有故障显示；</w:t>
      </w:r>
    </w:p>
    <w:p w14:paraId="6DC71170">
      <w:pPr>
        <w:pStyle w:val="12"/>
        <w:ind w:firstLine="420"/>
        <w:rPr>
          <w:rFonts w:hint="eastAsia" w:ascii="宋体" w:hAnsi="宋体" w:eastAsia="宋体" w:cs="宋体"/>
        </w:rPr>
      </w:pPr>
      <w:r>
        <w:rPr>
          <w:rFonts w:hint="eastAsia" w:ascii="宋体" w:hAnsi="宋体" w:eastAsia="宋体" w:cs="宋体"/>
        </w:rPr>
        <w:t>参数见配电箱系统图。</w:t>
      </w:r>
    </w:p>
    <w:p w14:paraId="08F4F778">
      <w:pPr>
        <w:pStyle w:val="5"/>
        <w:rPr>
          <w:rFonts w:hint="eastAsia" w:ascii="宋体" w:hAnsi="宋体" w:eastAsia="宋体" w:cs="宋体"/>
        </w:rPr>
      </w:pPr>
      <w:r>
        <w:rPr>
          <w:rFonts w:hint="eastAsia" w:ascii="宋体" w:hAnsi="宋体" w:eastAsia="宋体" w:cs="宋体"/>
        </w:rPr>
        <w:t>其他技术要求</w:t>
      </w:r>
    </w:p>
    <w:p w14:paraId="38C65AC9">
      <w:pPr>
        <w:pStyle w:val="12"/>
        <w:numPr>
          <w:ilvl w:val="0"/>
          <w:numId w:val="7"/>
        </w:numPr>
        <w:ind w:left="0" w:firstLine="0" w:firstLineChars="0"/>
        <w:rPr>
          <w:rFonts w:hint="eastAsia" w:ascii="宋体" w:hAnsi="宋体" w:eastAsia="宋体" w:cs="宋体"/>
          <w:snapToGrid w:val="0"/>
          <w:lang w:eastAsia="zh"/>
        </w:rPr>
      </w:pPr>
      <w:r>
        <w:rPr>
          <w:rFonts w:hint="eastAsia" w:ascii="宋体" w:hAnsi="宋体" w:eastAsia="宋体" w:cs="宋体"/>
          <w:snapToGrid w:val="0"/>
          <w:lang w:eastAsia="zh"/>
        </w:rPr>
        <w:t>配电箱（柜）体采用厚度不小于2.0mm的优质冷轧钢板；配电箱（柜）的外形尺寸要根据箱柜内的电气元器件尺寸进行合理的调整，调整后的尺寸需经招标人、设计单位认可再投入生产。</w:t>
      </w:r>
    </w:p>
    <w:p w14:paraId="2C95A098">
      <w:pPr>
        <w:pStyle w:val="12"/>
        <w:numPr>
          <w:ilvl w:val="0"/>
          <w:numId w:val="7"/>
        </w:numPr>
        <w:ind w:left="0" w:firstLine="0" w:firstLineChars="0"/>
        <w:rPr>
          <w:rFonts w:hint="eastAsia" w:ascii="宋体" w:hAnsi="宋体" w:eastAsia="宋体" w:cs="宋体"/>
          <w:snapToGrid w:val="0"/>
          <w:lang w:eastAsia="zh"/>
        </w:rPr>
      </w:pPr>
      <w:r>
        <w:rPr>
          <w:rFonts w:hint="eastAsia" w:ascii="宋体" w:hAnsi="宋体" w:eastAsia="宋体" w:cs="宋体"/>
          <w:snapToGrid w:val="0"/>
          <w:lang w:eastAsia="zh"/>
        </w:rPr>
        <w:t>配电箱（柜）体颜色应按合同及招标人认可的色标生产，箱（柜）体采用喷塑，所有金属板材及部件均应做好基础处理，以防生锈、腐蚀。</w:t>
      </w:r>
    </w:p>
    <w:p w14:paraId="033EBD51">
      <w:pPr>
        <w:pStyle w:val="12"/>
        <w:numPr>
          <w:ilvl w:val="0"/>
          <w:numId w:val="7"/>
        </w:numPr>
        <w:ind w:left="0" w:firstLine="0" w:firstLineChars="0"/>
        <w:rPr>
          <w:rFonts w:hint="eastAsia" w:ascii="宋体" w:hAnsi="宋体" w:eastAsia="宋体" w:cs="宋体"/>
          <w:snapToGrid w:val="0"/>
          <w:lang w:eastAsia="zh"/>
        </w:rPr>
      </w:pPr>
      <w:r>
        <w:rPr>
          <w:rFonts w:hint="eastAsia" w:ascii="宋体" w:hAnsi="宋体" w:eastAsia="宋体" w:cs="宋体"/>
          <w:snapToGrid w:val="0"/>
          <w:lang w:eastAsia="zh"/>
        </w:rPr>
        <w:t>配电箱（柜）必须有铭牌标示，铭牌应该牢固、明显、易于辨认，内容至少应包括：</w:t>
      </w:r>
    </w:p>
    <w:p w14:paraId="18F17497">
      <w:pPr>
        <w:pStyle w:val="12"/>
        <w:numPr>
          <w:ilvl w:val="0"/>
          <w:numId w:val="8"/>
        </w:numPr>
        <w:ind w:left="0" w:firstLine="0" w:firstLineChars="0"/>
        <w:rPr>
          <w:rFonts w:hint="eastAsia" w:ascii="宋体" w:hAnsi="宋体" w:eastAsia="宋体" w:cs="宋体"/>
        </w:rPr>
      </w:pPr>
      <w:r>
        <w:rPr>
          <w:rFonts w:hint="eastAsia" w:ascii="宋体" w:hAnsi="宋体" w:eastAsia="宋体" w:cs="宋体"/>
        </w:rPr>
        <w:t>产品名称、型号；</w:t>
      </w:r>
    </w:p>
    <w:p w14:paraId="02128620">
      <w:pPr>
        <w:pStyle w:val="12"/>
        <w:numPr>
          <w:ilvl w:val="0"/>
          <w:numId w:val="8"/>
        </w:numPr>
        <w:ind w:left="0" w:firstLine="0" w:firstLineChars="0"/>
        <w:rPr>
          <w:rFonts w:hint="eastAsia" w:ascii="宋体" w:hAnsi="宋体" w:eastAsia="宋体" w:cs="宋体"/>
        </w:rPr>
      </w:pPr>
      <w:r>
        <w:rPr>
          <w:rFonts w:hint="eastAsia" w:ascii="宋体" w:hAnsi="宋体" w:eastAsia="宋体" w:cs="宋体"/>
        </w:rPr>
        <w:t>制造厂家名称、商标；</w:t>
      </w:r>
    </w:p>
    <w:p w14:paraId="1BB025C3">
      <w:pPr>
        <w:pStyle w:val="12"/>
        <w:numPr>
          <w:ilvl w:val="0"/>
          <w:numId w:val="8"/>
        </w:numPr>
        <w:ind w:left="0" w:firstLine="0" w:firstLineChars="0"/>
        <w:rPr>
          <w:rFonts w:hint="eastAsia" w:ascii="宋体" w:hAnsi="宋体" w:eastAsia="宋体" w:cs="宋体"/>
        </w:rPr>
      </w:pPr>
      <w:r>
        <w:rPr>
          <w:rFonts w:hint="eastAsia" w:ascii="宋体" w:hAnsi="宋体" w:eastAsia="宋体" w:cs="宋体"/>
        </w:rPr>
        <w:t>出厂日期、产品编号或生产批号；</w:t>
      </w:r>
    </w:p>
    <w:p w14:paraId="4FA55CCB">
      <w:pPr>
        <w:pStyle w:val="12"/>
        <w:numPr>
          <w:ilvl w:val="0"/>
          <w:numId w:val="8"/>
        </w:numPr>
        <w:ind w:left="0" w:firstLine="0" w:firstLineChars="0"/>
        <w:rPr>
          <w:rFonts w:hint="eastAsia" w:ascii="宋体" w:hAnsi="宋体" w:eastAsia="宋体" w:cs="宋体"/>
        </w:rPr>
      </w:pPr>
      <w:r>
        <w:rPr>
          <w:rFonts w:hint="eastAsia" w:ascii="宋体" w:hAnsi="宋体" w:eastAsia="宋体" w:cs="宋体"/>
        </w:rPr>
        <w:t>在配电箱外，按照设计图纸制作位置标识。</w:t>
      </w:r>
    </w:p>
    <w:p w14:paraId="15E5B602">
      <w:pPr>
        <w:pStyle w:val="12"/>
        <w:numPr>
          <w:ilvl w:val="0"/>
          <w:numId w:val="7"/>
        </w:numPr>
        <w:ind w:left="0" w:firstLine="0" w:firstLineChars="0"/>
        <w:rPr>
          <w:rFonts w:hint="eastAsia" w:ascii="宋体" w:hAnsi="宋体" w:eastAsia="宋体" w:cs="宋体"/>
          <w:snapToGrid w:val="0"/>
          <w:lang w:eastAsia="zh"/>
        </w:rPr>
      </w:pPr>
      <w:r>
        <w:rPr>
          <w:rFonts w:hint="eastAsia" w:ascii="宋体" w:hAnsi="宋体" w:eastAsia="宋体" w:cs="宋体"/>
          <w:snapToGrid w:val="0"/>
          <w:lang w:eastAsia="zh"/>
        </w:rPr>
        <w:t>配电箱（柜）内部结构布置须严格按系统图、国家标准及</w:t>
      </w:r>
      <w:r>
        <w:rPr>
          <w:rFonts w:hint="eastAsia" w:ascii="宋体" w:hAnsi="宋体" w:eastAsia="宋体" w:cs="宋体"/>
          <w:snapToGrid w:val="0"/>
          <w:lang w:eastAsia="zh-CN"/>
        </w:rPr>
        <w:t>淮安</w:t>
      </w:r>
      <w:r>
        <w:rPr>
          <w:rFonts w:hint="eastAsia" w:ascii="宋体" w:hAnsi="宋体" w:eastAsia="宋体" w:cs="宋体"/>
          <w:snapToGrid w:val="0"/>
          <w:lang w:eastAsia="zh"/>
        </w:rPr>
        <w:t>市地方规范执行；内部接线应排列整齐、清晰和美观，绑扎成束或敷设于专用塑料槽内卡在安装架上；配线应考虑足够的余量。所选用的导线、尼龙扎带、支撑架、防护板、塑料线槽等均为阻燃型。</w:t>
      </w:r>
    </w:p>
    <w:p w14:paraId="28843189">
      <w:pPr>
        <w:pStyle w:val="12"/>
        <w:numPr>
          <w:ilvl w:val="0"/>
          <w:numId w:val="7"/>
        </w:numPr>
        <w:ind w:left="0" w:firstLine="0" w:firstLineChars="0"/>
        <w:rPr>
          <w:rFonts w:hint="eastAsia" w:ascii="宋体" w:hAnsi="宋体" w:eastAsia="宋体" w:cs="宋体"/>
          <w:snapToGrid w:val="0"/>
          <w:lang w:eastAsia="zh"/>
        </w:rPr>
      </w:pPr>
      <w:r>
        <w:rPr>
          <w:rFonts w:hint="eastAsia" w:ascii="宋体" w:hAnsi="宋体" w:eastAsia="宋体" w:cs="宋体"/>
          <w:snapToGrid w:val="0"/>
          <w:lang w:eastAsia="zh"/>
        </w:rPr>
        <w:t>配电箱（柜）门内侧必须贴有经过封塑处理的电气系统图。在每个电气开关下方设对应回路名称的标志牌，标志牌要求美观、牢固、耐用，且内容与系统图对应一致。</w:t>
      </w:r>
    </w:p>
    <w:p w14:paraId="726D2132">
      <w:pPr>
        <w:pStyle w:val="12"/>
        <w:numPr>
          <w:ilvl w:val="0"/>
          <w:numId w:val="7"/>
        </w:numPr>
        <w:ind w:left="0" w:firstLine="0" w:firstLineChars="0"/>
        <w:rPr>
          <w:rFonts w:hint="eastAsia" w:ascii="宋体" w:hAnsi="宋体" w:eastAsia="宋体" w:cs="宋体"/>
          <w:snapToGrid w:val="0"/>
          <w:lang w:eastAsia="zh"/>
        </w:rPr>
      </w:pPr>
      <w:r>
        <w:rPr>
          <w:rFonts w:hint="eastAsia" w:ascii="宋体" w:hAnsi="宋体" w:eastAsia="宋体" w:cs="宋体"/>
          <w:snapToGrid w:val="0"/>
          <w:lang w:eastAsia="zh"/>
        </w:rPr>
        <w:t>明装箱均应有专用接地螺丝，各箱、柜等均设二层板，保证操作安全，板上对应操作机构加标记块；配电箱（柜）的金属部分包括电器的安装（支架）和电器的金属外壳等均应有良好的接地；箱（柜）位置应明显、易操作的地方设置不可拆卸的接地螺丝，并设置“〨”标志。暗装配电箱在上下对角各预留40x4镀锌扁钢作为进出电管接地用，长度不小于10cm。配电箱（柜）的盖、门、覆板等处装有电器并可开启时应用裸铜软线与接地螺丝可靠连接。</w:t>
      </w:r>
    </w:p>
    <w:p w14:paraId="5F9F5F7E">
      <w:pPr>
        <w:pStyle w:val="12"/>
        <w:numPr>
          <w:ilvl w:val="0"/>
          <w:numId w:val="7"/>
        </w:numPr>
        <w:ind w:left="0" w:firstLine="0" w:firstLineChars="0"/>
        <w:rPr>
          <w:rFonts w:hint="eastAsia" w:ascii="宋体" w:hAnsi="宋体" w:eastAsia="宋体" w:cs="宋体"/>
          <w:snapToGrid w:val="0"/>
          <w:lang w:eastAsia="zh"/>
        </w:rPr>
      </w:pPr>
      <w:r>
        <w:rPr>
          <w:rFonts w:hint="eastAsia" w:ascii="宋体" w:hAnsi="宋体" w:eastAsia="宋体" w:cs="宋体"/>
          <w:snapToGrid w:val="0"/>
          <w:lang w:eastAsia="zh"/>
        </w:rPr>
        <w:t>中性线母排和接地母排的电流容量必须经过计算且足够大；配电箱（柜）的盖、门、覆板等处装有电器并是开启的，均应以裸铜软线与接地的金属架构可靠连接并有防松装置。箱（柜）的过门线为软线。箱（柜）内元件安装固定可靠、接线正确、牢固；外接端子质量、外接导线预留空间、箱柜内配线规格与颜色、电气间隙及爬电距离符合规范要求。</w:t>
      </w:r>
    </w:p>
    <w:p w14:paraId="001F4702">
      <w:pPr>
        <w:pStyle w:val="12"/>
        <w:numPr>
          <w:ilvl w:val="0"/>
          <w:numId w:val="7"/>
        </w:numPr>
        <w:ind w:left="0" w:firstLine="0" w:firstLineChars="0"/>
        <w:rPr>
          <w:rFonts w:hint="eastAsia" w:ascii="宋体" w:hAnsi="宋体" w:eastAsia="宋体" w:cs="宋体"/>
          <w:snapToGrid w:val="0"/>
          <w:lang w:eastAsia="zh"/>
        </w:rPr>
      </w:pPr>
      <w:r>
        <w:rPr>
          <w:rFonts w:hint="eastAsia" w:ascii="宋体" w:hAnsi="宋体" w:eastAsia="宋体" w:cs="宋体"/>
          <w:snapToGrid w:val="0"/>
          <w:lang w:eastAsia="zh"/>
        </w:rPr>
        <w:t>配电柜下部接线端子距地高度不得小于300mm，避免电缆导线连接用的有效空间过小；装有超安全电压的电器设备的柜门、盖、覆板必须与保护电路可靠连接；柜内保护导体颜色符合规定；支撑固定导体的绝缘子（瓷瓶）外表釉面不得有裂纹或缺损；配电箱（柜）上装有计量仪表、互感器及继电器时其二次配线应使用铜芯绝缘软线，其截面应不小于：电流回路2.5 mm2，电压回路1.5mm2。接到活动门处的二次线必须采用铜芯多股软线，并在活动轴两侧留出余量后卡固。配电箱（柜）内与电器元件连接的导线如为多芯铜软线时，须盘圈后涮锡或压铜线鼻子，如为多芯铜线时，须采用套管线鼻压接。与电度表连接的导线须用单股铜芯导线。导线穿过铁制安装板面时需在铁板处加装橡皮或塑料护圈以保护导线绝缘外皮完好。配电箱（柜）所装各种开关及断路器当处于断开状态时可动部分不得带电。垂直安装时应上端接电源下端接负荷，水平安装时左端接电源右端接负荷（面对配电装置）。所有的配电箱（柜）必须按进、出电缆条数截面设计母排、电缆卡固位置、电缆安装空间及进出线位置。本工程采用TN-S系统供电，PE线不得断开。在配电箱（柜）内应设置N，PE母线或端子板（排），N、PE母排上的螺丝采用内六角螺丝，PE、N线经端子板配出。PE、N线端子采用方铜端子。配电箱（柜）内端子板排列位置应与断路器等开关位置相对应。</w:t>
      </w:r>
    </w:p>
    <w:p w14:paraId="4AF3D039">
      <w:pPr>
        <w:pStyle w:val="12"/>
        <w:numPr>
          <w:ilvl w:val="0"/>
          <w:numId w:val="7"/>
        </w:numPr>
        <w:ind w:left="0" w:firstLine="0" w:firstLineChars="0"/>
        <w:rPr>
          <w:rFonts w:hint="eastAsia" w:ascii="宋体" w:hAnsi="宋体" w:eastAsia="宋体" w:cs="宋体"/>
          <w:snapToGrid w:val="0"/>
          <w:lang w:eastAsia="zh"/>
        </w:rPr>
      </w:pPr>
      <w:r>
        <w:rPr>
          <w:rFonts w:hint="eastAsia" w:ascii="宋体" w:hAnsi="宋体" w:eastAsia="宋体" w:cs="宋体"/>
          <w:snapToGrid w:val="0"/>
          <w:lang w:eastAsia="zh"/>
        </w:rPr>
        <w:t>配电箱（柜）内的铜母线应有彩色分相标志，按下列规定布置：</w:t>
      </w:r>
    </w:p>
    <w:tbl>
      <w:tblPr>
        <w:tblStyle w:val="18"/>
        <w:tblW w:w="5000" w:type="pct"/>
        <w:tblInd w:w="0" w:type="dxa"/>
        <w:tblLayout w:type="autofit"/>
        <w:tblCellMar>
          <w:top w:w="0" w:type="dxa"/>
          <w:left w:w="108" w:type="dxa"/>
          <w:bottom w:w="0" w:type="dxa"/>
          <w:right w:w="108" w:type="dxa"/>
        </w:tblCellMar>
      </w:tblPr>
      <w:tblGrid>
        <w:gridCol w:w="1652"/>
        <w:gridCol w:w="1849"/>
        <w:gridCol w:w="1858"/>
        <w:gridCol w:w="1915"/>
        <w:gridCol w:w="1774"/>
      </w:tblGrid>
      <w:tr w14:paraId="01BBD7DE">
        <w:tblPrEx>
          <w:tblCellMar>
            <w:top w:w="0" w:type="dxa"/>
            <w:left w:w="108" w:type="dxa"/>
            <w:bottom w:w="0" w:type="dxa"/>
            <w:right w:w="108" w:type="dxa"/>
          </w:tblCellMar>
        </w:tblPrEx>
        <w:trPr>
          <w:trHeight w:val="20" w:hRule="atLeast"/>
        </w:trPr>
        <w:tc>
          <w:tcPr>
            <w:tcW w:w="913" w:type="pct"/>
            <w:vMerge w:val="restart"/>
            <w:tcBorders>
              <w:top w:val="single" w:color="auto" w:sz="4" w:space="0"/>
              <w:left w:val="single" w:color="auto" w:sz="4" w:space="0"/>
              <w:bottom w:val="single" w:color="000000" w:sz="4" w:space="0"/>
              <w:right w:val="single" w:color="auto" w:sz="4" w:space="0"/>
            </w:tcBorders>
            <w:noWrap/>
            <w:vAlign w:val="center"/>
          </w:tcPr>
          <w:p w14:paraId="7836C15F">
            <w:pPr>
              <w:widowControl w:val="0"/>
              <w:topLinePunct/>
              <w:adjustRightInd w:val="0"/>
              <w:snapToGrid w:val="0"/>
              <w:jc w:val="center"/>
              <w:rPr>
                <w:rFonts w:hint="eastAsia" w:ascii="宋体" w:hAnsi="宋体" w:eastAsia="宋体" w:cs="宋体"/>
                <w:snapToGrid w:val="0"/>
                <w:kern w:val="0"/>
                <w:sz w:val="21"/>
                <w:szCs w:val="21"/>
                <w14:ligatures w14:val="none"/>
              </w:rPr>
            </w:pPr>
            <w:r>
              <w:rPr>
                <w:rFonts w:hint="eastAsia" w:ascii="宋体" w:hAnsi="宋体" w:eastAsia="宋体" w:cs="宋体"/>
                <w:snapToGrid w:val="0"/>
                <w:kern w:val="0"/>
                <w:sz w:val="21"/>
                <w:szCs w:val="21"/>
                <w14:ligatures w14:val="none"/>
              </w:rPr>
              <w:t>相别</w:t>
            </w:r>
          </w:p>
        </w:tc>
        <w:tc>
          <w:tcPr>
            <w:tcW w:w="1022" w:type="pct"/>
            <w:vMerge w:val="restart"/>
            <w:tcBorders>
              <w:top w:val="single" w:color="auto" w:sz="4" w:space="0"/>
              <w:left w:val="single" w:color="auto" w:sz="4" w:space="0"/>
              <w:bottom w:val="single" w:color="000000" w:sz="4" w:space="0"/>
              <w:right w:val="single" w:color="auto" w:sz="4" w:space="0"/>
            </w:tcBorders>
            <w:noWrap/>
            <w:vAlign w:val="center"/>
          </w:tcPr>
          <w:p w14:paraId="67A5549E">
            <w:pPr>
              <w:widowControl w:val="0"/>
              <w:topLinePunct/>
              <w:adjustRightInd w:val="0"/>
              <w:snapToGrid w:val="0"/>
              <w:jc w:val="center"/>
              <w:rPr>
                <w:rFonts w:hint="eastAsia" w:ascii="宋体" w:hAnsi="宋体" w:eastAsia="宋体" w:cs="宋体"/>
                <w:snapToGrid w:val="0"/>
                <w:kern w:val="0"/>
                <w:sz w:val="21"/>
                <w:szCs w:val="21"/>
                <w14:ligatures w14:val="none"/>
              </w:rPr>
            </w:pPr>
            <w:r>
              <w:rPr>
                <w:rFonts w:hint="eastAsia" w:ascii="宋体" w:hAnsi="宋体" w:eastAsia="宋体" w:cs="宋体"/>
                <w:snapToGrid w:val="0"/>
                <w:kern w:val="0"/>
                <w:sz w:val="21"/>
                <w:szCs w:val="21"/>
                <w14:ligatures w14:val="none"/>
              </w:rPr>
              <w:t>色标</w:t>
            </w:r>
          </w:p>
        </w:tc>
        <w:tc>
          <w:tcPr>
            <w:tcW w:w="3065" w:type="pct"/>
            <w:gridSpan w:val="3"/>
            <w:tcBorders>
              <w:top w:val="single" w:color="auto" w:sz="4" w:space="0"/>
              <w:left w:val="nil"/>
              <w:bottom w:val="single" w:color="auto" w:sz="4" w:space="0"/>
              <w:right w:val="single" w:color="000000" w:sz="4" w:space="0"/>
            </w:tcBorders>
            <w:noWrap/>
            <w:vAlign w:val="center"/>
          </w:tcPr>
          <w:p w14:paraId="4CAC1C05">
            <w:pPr>
              <w:widowControl w:val="0"/>
              <w:topLinePunct/>
              <w:adjustRightInd w:val="0"/>
              <w:snapToGrid w:val="0"/>
              <w:jc w:val="center"/>
              <w:rPr>
                <w:rFonts w:hint="eastAsia" w:ascii="宋体" w:hAnsi="宋体" w:eastAsia="宋体" w:cs="宋体"/>
                <w:snapToGrid w:val="0"/>
                <w:kern w:val="0"/>
                <w:sz w:val="21"/>
                <w:szCs w:val="21"/>
                <w14:ligatures w14:val="none"/>
              </w:rPr>
            </w:pPr>
            <w:r>
              <w:rPr>
                <w:rFonts w:hint="eastAsia" w:ascii="宋体" w:hAnsi="宋体" w:eastAsia="宋体" w:cs="宋体"/>
                <w:snapToGrid w:val="0"/>
                <w:kern w:val="0"/>
                <w:sz w:val="21"/>
                <w:szCs w:val="21"/>
                <w14:ligatures w14:val="none"/>
              </w:rPr>
              <w:t>母线安装位置</w:t>
            </w:r>
          </w:p>
        </w:tc>
      </w:tr>
      <w:tr w14:paraId="4143494E">
        <w:tblPrEx>
          <w:tblCellMar>
            <w:top w:w="0" w:type="dxa"/>
            <w:left w:w="108" w:type="dxa"/>
            <w:bottom w:w="0" w:type="dxa"/>
            <w:right w:w="108" w:type="dxa"/>
          </w:tblCellMar>
        </w:tblPrEx>
        <w:trPr>
          <w:trHeight w:val="20" w:hRule="atLeast"/>
        </w:trPr>
        <w:tc>
          <w:tcPr>
            <w:tcW w:w="913" w:type="pct"/>
            <w:vMerge w:val="continue"/>
            <w:tcBorders>
              <w:top w:val="single" w:color="auto" w:sz="4" w:space="0"/>
              <w:left w:val="single" w:color="auto" w:sz="4" w:space="0"/>
              <w:bottom w:val="single" w:color="000000" w:sz="4" w:space="0"/>
              <w:right w:val="single" w:color="auto" w:sz="4" w:space="0"/>
            </w:tcBorders>
            <w:noWrap/>
            <w:vAlign w:val="center"/>
          </w:tcPr>
          <w:p w14:paraId="1E551047">
            <w:pPr>
              <w:widowControl w:val="0"/>
              <w:topLinePunct/>
              <w:adjustRightInd w:val="0"/>
              <w:snapToGrid w:val="0"/>
              <w:jc w:val="center"/>
              <w:rPr>
                <w:rFonts w:hint="eastAsia" w:ascii="宋体" w:hAnsi="宋体" w:eastAsia="宋体" w:cs="宋体"/>
                <w:snapToGrid w:val="0"/>
                <w:kern w:val="0"/>
                <w:sz w:val="21"/>
                <w:szCs w:val="21"/>
                <w14:ligatures w14:val="none"/>
              </w:rPr>
            </w:pPr>
          </w:p>
        </w:tc>
        <w:tc>
          <w:tcPr>
            <w:tcW w:w="1022" w:type="pct"/>
            <w:vMerge w:val="continue"/>
            <w:tcBorders>
              <w:top w:val="single" w:color="auto" w:sz="4" w:space="0"/>
              <w:left w:val="single" w:color="auto" w:sz="4" w:space="0"/>
              <w:bottom w:val="single" w:color="000000" w:sz="4" w:space="0"/>
              <w:right w:val="single" w:color="auto" w:sz="4" w:space="0"/>
            </w:tcBorders>
            <w:noWrap/>
            <w:vAlign w:val="center"/>
          </w:tcPr>
          <w:p w14:paraId="405E4937">
            <w:pPr>
              <w:widowControl w:val="0"/>
              <w:topLinePunct/>
              <w:adjustRightInd w:val="0"/>
              <w:snapToGrid w:val="0"/>
              <w:jc w:val="center"/>
              <w:rPr>
                <w:rFonts w:hint="eastAsia" w:ascii="宋体" w:hAnsi="宋体" w:eastAsia="宋体" w:cs="宋体"/>
                <w:snapToGrid w:val="0"/>
                <w:kern w:val="0"/>
                <w:sz w:val="21"/>
                <w:szCs w:val="21"/>
                <w14:ligatures w14:val="none"/>
              </w:rPr>
            </w:pPr>
          </w:p>
        </w:tc>
        <w:tc>
          <w:tcPr>
            <w:tcW w:w="1027" w:type="pct"/>
            <w:tcBorders>
              <w:top w:val="nil"/>
              <w:left w:val="nil"/>
              <w:bottom w:val="single" w:color="auto" w:sz="4" w:space="0"/>
              <w:right w:val="single" w:color="auto" w:sz="4" w:space="0"/>
            </w:tcBorders>
            <w:noWrap/>
            <w:vAlign w:val="center"/>
          </w:tcPr>
          <w:p w14:paraId="7C2B9027">
            <w:pPr>
              <w:widowControl w:val="0"/>
              <w:topLinePunct/>
              <w:adjustRightInd w:val="0"/>
              <w:snapToGrid w:val="0"/>
              <w:jc w:val="center"/>
              <w:rPr>
                <w:rFonts w:hint="eastAsia" w:ascii="宋体" w:hAnsi="宋体" w:eastAsia="宋体" w:cs="宋体"/>
                <w:snapToGrid w:val="0"/>
                <w:kern w:val="0"/>
                <w:sz w:val="21"/>
                <w:szCs w:val="21"/>
                <w14:ligatures w14:val="none"/>
              </w:rPr>
            </w:pPr>
            <w:r>
              <w:rPr>
                <w:rFonts w:hint="eastAsia" w:ascii="宋体" w:hAnsi="宋体" w:eastAsia="宋体" w:cs="宋体"/>
                <w:snapToGrid w:val="0"/>
                <w:kern w:val="0"/>
                <w:sz w:val="21"/>
                <w:szCs w:val="21"/>
                <w14:ligatures w14:val="none"/>
              </w:rPr>
              <w:t>垂直安装</w:t>
            </w:r>
          </w:p>
        </w:tc>
        <w:tc>
          <w:tcPr>
            <w:tcW w:w="1058" w:type="pct"/>
            <w:tcBorders>
              <w:top w:val="nil"/>
              <w:left w:val="nil"/>
              <w:bottom w:val="single" w:color="auto" w:sz="4" w:space="0"/>
              <w:right w:val="single" w:color="auto" w:sz="4" w:space="0"/>
            </w:tcBorders>
            <w:noWrap/>
            <w:vAlign w:val="center"/>
          </w:tcPr>
          <w:p w14:paraId="2E462BD2">
            <w:pPr>
              <w:widowControl w:val="0"/>
              <w:topLinePunct/>
              <w:adjustRightInd w:val="0"/>
              <w:snapToGrid w:val="0"/>
              <w:jc w:val="center"/>
              <w:rPr>
                <w:rFonts w:hint="eastAsia" w:ascii="宋体" w:hAnsi="宋体" w:eastAsia="宋体" w:cs="宋体"/>
                <w:snapToGrid w:val="0"/>
                <w:kern w:val="0"/>
                <w:sz w:val="21"/>
                <w:szCs w:val="21"/>
                <w14:ligatures w14:val="none"/>
              </w:rPr>
            </w:pPr>
            <w:r>
              <w:rPr>
                <w:rFonts w:hint="eastAsia" w:ascii="宋体" w:hAnsi="宋体" w:eastAsia="宋体" w:cs="宋体"/>
                <w:snapToGrid w:val="0"/>
                <w:kern w:val="0"/>
                <w:sz w:val="21"/>
                <w:szCs w:val="21"/>
                <w14:ligatures w14:val="none"/>
              </w:rPr>
              <w:t>水平安装</w:t>
            </w:r>
          </w:p>
        </w:tc>
        <w:tc>
          <w:tcPr>
            <w:tcW w:w="981" w:type="pct"/>
            <w:tcBorders>
              <w:top w:val="nil"/>
              <w:left w:val="nil"/>
              <w:bottom w:val="single" w:color="auto" w:sz="4" w:space="0"/>
              <w:right w:val="single" w:color="auto" w:sz="4" w:space="0"/>
            </w:tcBorders>
            <w:noWrap/>
            <w:vAlign w:val="center"/>
          </w:tcPr>
          <w:p w14:paraId="550BD04F">
            <w:pPr>
              <w:widowControl w:val="0"/>
              <w:topLinePunct/>
              <w:adjustRightInd w:val="0"/>
              <w:snapToGrid w:val="0"/>
              <w:jc w:val="center"/>
              <w:rPr>
                <w:rFonts w:hint="eastAsia" w:ascii="宋体" w:hAnsi="宋体" w:eastAsia="宋体" w:cs="宋体"/>
                <w:snapToGrid w:val="0"/>
                <w:kern w:val="0"/>
                <w:sz w:val="21"/>
                <w:szCs w:val="21"/>
                <w14:ligatures w14:val="none"/>
              </w:rPr>
            </w:pPr>
            <w:r>
              <w:rPr>
                <w:rFonts w:hint="eastAsia" w:ascii="宋体" w:hAnsi="宋体" w:eastAsia="宋体" w:cs="宋体"/>
                <w:snapToGrid w:val="0"/>
                <w:kern w:val="0"/>
                <w:sz w:val="21"/>
                <w:szCs w:val="21"/>
                <w14:ligatures w14:val="none"/>
              </w:rPr>
              <w:t>引下线</w:t>
            </w:r>
          </w:p>
        </w:tc>
      </w:tr>
      <w:tr w14:paraId="5E48B1AF">
        <w:tblPrEx>
          <w:tblCellMar>
            <w:top w:w="0" w:type="dxa"/>
            <w:left w:w="108" w:type="dxa"/>
            <w:bottom w:w="0" w:type="dxa"/>
            <w:right w:w="108" w:type="dxa"/>
          </w:tblCellMar>
        </w:tblPrEx>
        <w:trPr>
          <w:trHeight w:val="20" w:hRule="atLeast"/>
        </w:trPr>
        <w:tc>
          <w:tcPr>
            <w:tcW w:w="913" w:type="pct"/>
            <w:tcBorders>
              <w:top w:val="nil"/>
              <w:left w:val="single" w:color="auto" w:sz="4" w:space="0"/>
              <w:bottom w:val="single" w:color="auto" w:sz="4" w:space="0"/>
              <w:right w:val="single" w:color="auto" w:sz="4" w:space="0"/>
            </w:tcBorders>
            <w:noWrap/>
            <w:vAlign w:val="center"/>
          </w:tcPr>
          <w:p w14:paraId="4D6010AC">
            <w:pPr>
              <w:widowControl w:val="0"/>
              <w:topLinePunct/>
              <w:adjustRightInd w:val="0"/>
              <w:snapToGrid w:val="0"/>
              <w:jc w:val="center"/>
              <w:rPr>
                <w:rFonts w:hint="eastAsia" w:ascii="宋体" w:hAnsi="宋体" w:eastAsia="宋体" w:cs="宋体"/>
                <w:snapToGrid w:val="0"/>
                <w:kern w:val="0"/>
                <w:sz w:val="21"/>
                <w:szCs w:val="21"/>
                <w14:ligatures w14:val="none"/>
              </w:rPr>
            </w:pPr>
            <w:r>
              <w:rPr>
                <w:rFonts w:hint="eastAsia" w:ascii="宋体" w:hAnsi="宋体" w:eastAsia="宋体" w:cs="宋体"/>
                <w:snapToGrid w:val="0"/>
                <w:kern w:val="0"/>
                <w:sz w:val="21"/>
                <w:szCs w:val="21"/>
                <w14:ligatures w14:val="none"/>
              </w:rPr>
              <w:t>L1</w:t>
            </w:r>
          </w:p>
        </w:tc>
        <w:tc>
          <w:tcPr>
            <w:tcW w:w="1022" w:type="pct"/>
            <w:tcBorders>
              <w:top w:val="nil"/>
              <w:left w:val="nil"/>
              <w:bottom w:val="single" w:color="auto" w:sz="4" w:space="0"/>
              <w:right w:val="single" w:color="auto" w:sz="4" w:space="0"/>
            </w:tcBorders>
            <w:noWrap/>
            <w:vAlign w:val="center"/>
          </w:tcPr>
          <w:p w14:paraId="796C806E">
            <w:pPr>
              <w:widowControl w:val="0"/>
              <w:topLinePunct/>
              <w:adjustRightInd w:val="0"/>
              <w:snapToGrid w:val="0"/>
              <w:jc w:val="center"/>
              <w:rPr>
                <w:rFonts w:hint="eastAsia" w:ascii="宋体" w:hAnsi="宋体" w:eastAsia="宋体" w:cs="宋体"/>
                <w:snapToGrid w:val="0"/>
                <w:kern w:val="0"/>
                <w:sz w:val="21"/>
                <w:szCs w:val="21"/>
                <w14:ligatures w14:val="none"/>
              </w:rPr>
            </w:pPr>
            <w:r>
              <w:rPr>
                <w:rFonts w:hint="eastAsia" w:ascii="宋体" w:hAnsi="宋体" w:eastAsia="宋体" w:cs="宋体"/>
                <w:snapToGrid w:val="0"/>
                <w:kern w:val="0"/>
                <w:sz w:val="21"/>
                <w:szCs w:val="21"/>
                <w14:ligatures w14:val="none"/>
              </w:rPr>
              <w:t>黄</w:t>
            </w:r>
          </w:p>
        </w:tc>
        <w:tc>
          <w:tcPr>
            <w:tcW w:w="1027" w:type="pct"/>
            <w:tcBorders>
              <w:top w:val="nil"/>
              <w:left w:val="nil"/>
              <w:bottom w:val="single" w:color="auto" w:sz="4" w:space="0"/>
              <w:right w:val="single" w:color="auto" w:sz="4" w:space="0"/>
            </w:tcBorders>
            <w:noWrap/>
            <w:vAlign w:val="center"/>
          </w:tcPr>
          <w:p w14:paraId="5287F605">
            <w:pPr>
              <w:widowControl w:val="0"/>
              <w:topLinePunct/>
              <w:adjustRightInd w:val="0"/>
              <w:snapToGrid w:val="0"/>
              <w:jc w:val="center"/>
              <w:rPr>
                <w:rFonts w:hint="eastAsia" w:ascii="宋体" w:hAnsi="宋体" w:eastAsia="宋体" w:cs="宋体"/>
                <w:snapToGrid w:val="0"/>
                <w:kern w:val="0"/>
                <w:sz w:val="21"/>
                <w:szCs w:val="21"/>
                <w14:ligatures w14:val="none"/>
              </w:rPr>
            </w:pPr>
            <w:r>
              <w:rPr>
                <w:rFonts w:hint="eastAsia" w:ascii="宋体" w:hAnsi="宋体" w:eastAsia="宋体" w:cs="宋体"/>
                <w:snapToGrid w:val="0"/>
                <w:kern w:val="0"/>
                <w:sz w:val="21"/>
                <w:szCs w:val="21"/>
                <w14:ligatures w14:val="none"/>
              </w:rPr>
              <w:t>上</w:t>
            </w:r>
          </w:p>
        </w:tc>
        <w:tc>
          <w:tcPr>
            <w:tcW w:w="1058" w:type="pct"/>
            <w:tcBorders>
              <w:top w:val="nil"/>
              <w:left w:val="nil"/>
              <w:bottom w:val="single" w:color="auto" w:sz="4" w:space="0"/>
              <w:right w:val="single" w:color="auto" w:sz="4" w:space="0"/>
            </w:tcBorders>
            <w:noWrap/>
            <w:vAlign w:val="center"/>
          </w:tcPr>
          <w:p w14:paraId="44F5F39C">
            <w:pPr>
              <w:widowControl w:val="0"/>
              <w:topLinePunct/>
              <w:adjustRightInd w:val="0"/>
              <w:snapToGrid w:val="0"/>
              <w:jc w:val="center"/>
              <w:rPr>
                <w:rFonts w:hint="eastAsia" w:ascii="宋体" w:hAnsi="宋体" w:eastAsia="宋体" w:cs="宋体"/>
                <w:snapToGrid w:val="0"/>
                <w:kern w:val="0"/>
                <w:sz w:val="21"/>
                <w:szCs w:val="21"/>
                <w14:ligatures w14:val="none"/>
              </w:rPr>
            </w:pPr>
            <w:r>
              <w:rPr>
                <w:rFonts w:hint="eastAsia" w:ascii="宋体" w:hAnsi="宋体" w:eastAsia="宋体" w:cs="宋体"/>
                <w:snapToGrid w:val="0"/>
                <w:kern w:val="0"/>
                <w:sz w:val="21"/>
                <w:szCs w:val="21"/>
                <w14:ligatures w14:val="none"/>
              </w:rPr>
              <w:t>后（内）</w:t>
            </w:r>
          </w:p>
        </w:tc>
        <w:tc>
          <w:tcPr>
            <w:tcW w:w="981" w:type="pct"/>
            <w:tcBorders>
              <w:top w:val="nil"/>
              <w:left w:val="nil"/>
              <w:bottom w:val="single" w:color="auto" w:sz="4" w:space="0"/>
              <w:right w:val="single" w:color="auto" w:sz="4" w:space="0"/>
            </w:tcBorders>
            <w:noWrap/>
            <w:vAlign w:val="center"/>
          </w:tcPr>
          <w:p w14:paraId="2A8F80B0">
            <w:pPr>
              <w:widowControl w:val="0"/>
              <w:topLinePunct/>
              <w:adjustRightInd w:val="0"/>
              <w:snapToGrid w:val="0"/>
              <w:jc w:val="center"/>
              <w:rPr>
                <w:rFonts w:hint="eastAsia" w:ascii="宋体" w:hAnsi="宋体" w:eastAsia="宋体" w:cs="宋体"/>
                <w:snapToGrid w:val="0"/>
                <w:kern w:val="0"/>
                <w:sz w:val="21"/>
                <w:szCs w:val="21"/>
                <w14:ligatures w14:val="none"/>
              </w:rPr>
            </w:pPr>
            <w:r>
              <w:rPr>
                <w:rFonts w:hint="eastAsia" w:ascii="宋体" w:hAnsi="宋体" w:eastAsia="宋体" w:cs="宋体"/>
                <w:snapToGrid w:val="0"/>
                <w:kern w:val="0"/>
                <w:sz w:val="21"/>
                <w:szCs w:val="21"/>
                <w14:ligatures w14:val="none"/>
              </w:rPr>
              <w:t>左</w:t>
            </w:r>
          </w:p>
        </w:tc>
      </w:tr>
      <w:tr w14:paraId="2380CC00">
        <w:tblPrEx>
          <w:tblCellMar>
            <w:top w:w="0" w:type="dxa"/>
            <w:left w:w="108" w:type="dxa"/>
            <w:bottom w:w="0" w:type="dxa"/>
            <w:right w:w="108" w:type="dxa"/>
          </w:tblCellMar>
        </w:tblPrEx>
        <w:trPr>
          <w:trHeight w:val="20" w:hRule="atLeast"/>
        </w:trPr>
        <w:tc>
          <w:tcPr>
            <w:tcW w:w="913" w:type="pct"/>
            <w:tcBorders>
              <w:top w:val="nil"/>
              <w:left w:val="single" w:color="auto" w:sz="4" w:space="0"/>
              <w:bottom w:val="single" w:color="auto" w:sz="4" w:space="0"/>
              <w:right w:val="single" w:color="auto" w:sz="4" w:space="0"/>
            </w:tcBorders>
            <w:noWrap/>
            <w:vAlign w:val="center"/>
          </w:tcPr>
          <w:p w14:paraId="25D566EF">
            <w:pPr>
              <w:widowControl w:val="0"/>
              <w:topLinePunct/>
              <w:adjustRightInd w:val="0"/>
              <w:snapToGrid w:val="0"/>
              <w:jc w:val="center"/>
              <w:rPr>
                <w:rFonts w:hint="eastAsia" w:ascii="宋体" w:hAnsi="宋体" w:eastAsia="宋体" w:cs="宋体"/>
                <w:snapToGrid w:val="0"/>
                <w:kern w:val="0"/>
                <w:sz w:val="21"/>
                <w:szCs w:val="21"/>
                <w14:ligatures w14:val="none"/>
              </w:rPr>
            </w:pPr>
            <w:r>
              <w:rPr>
                <w:rFonts w:hint="eastAsia" w:ascii="宋体" w:hAnsi="宋体" w:eastAsia="宋体" w:cs="宋体"/>
                <w:snapToGrid w:val="0"/>
                <w:kern w:val="0"/>
                <w:sz w:val="21"/>
                <w:szCs w:val="21"/>
                <w14:ligatures w14:val="none"/>
              </w:rPr>
              <w:t>L2</w:t>
            </w:r>
          </w:p>
        </w:tc>
        <w:tc>
          <w:tcPr>
            <w:tcW w:w="1022" w:type="pct"/>
            <w:tcBorders>
              <w:top w:val="nil"/>
              <w:left w:val="nil"/>
              <w:bottom w:val="single" w:color="auto" w:sz="4" w:space="0"/>
              <w:right w:val="single" w:color="auto" w:sz="4" w:space="0"/>
            </w:tcBorders>
            <w:noWrap/>
            <w:vAlign w:val="center"/>
          </w:tcPr>
          <w:p w14:paraId="06DAA8EF">
            <w:pPr>
              <w:widowControl w:val="0"/>
              <w:topLinePunct/>
              <w:adjustRightInd w:val="0"/>
              <w:snapToGrid w:val="0"/>
              <w:jc w:val="center"/>
              <w:rPr>
                <w:rFonts w:hint="eastAsia" w:ascii="宋体" w:hAnsi="宋体" w:eastAsia="宋体" w:cs="宋体"/>
                <w:snapToGrid w:val="0"/>
                <w:kern w:val="0"/>
                <w:sz w:val="21"/>
                <w:szCs w:val="21"/>
                <w14:ligatures w14:val="none"/>
              </w:rPr>
            </w:pPr>
            <w:r>
              <w:rPr>
                <w:rFonts w:hint="eastAsia" w:ascii="宋体" w:hAnsi="宋体" w:eastAsia="宋体" w:cs="宋体"/>
                <w:snapToGrid w:val="0"/>
                <w:kern w:val="0"/>
                <w:sz w:val="21"/>
                <w:szCs w:val="21"/>
                <w14:ligatures w14:val="none"/>
              </w:rPr>
              <w:t>绿</w:t>
            </w:r>
          </w:p>
        </w:tc>
        <w:tc>
          <w:tcPr>
            <w:tcW w:w="1027" w:type="pct"/>
            <w:tcBorders>
              <w:top w:val="nil"/>
              <w:left w:val="nil"/>
              <w:bottom w:val="single" w:color="auto" w:sz="4" w:space="0"/>
              <w:right w:val="single" w:color="auto" w:sz="4" w:space="0"/>
            </w:tcBorders>
            <w:noWrap/>
            <w:vAlign w:val="center"/>
          </w:tcPr>
          <w:p w14:paraId="0D8F7E97">
            <w:pPr>
              <w:widowControl w:val="0"/>
              <w:topLinePunct/>
              <w:adjustRightInd w:val="0"/>
              <w:snapToGrid w:val="0"/>
              <w:jc w:val="center"/>
              <w:rPr>
                <w:rFonts w:hint="eastAsia" w:ascii="宋体" w:hAnsi="宋体" w:eastAsia="宋体" w:cs="宋体"/>
                <w:snapToGrid w:val="0"/>
                <w:kern w:val="0"/>
                <w:sz w:val="21"/>
                <w:szCs w:val="21"/>
                <w14:ligatures w14:val="none"/>
              </w:rPr>
            </w:pPr>
            <w:r>
              <w:rPr>
                <w:rFonts w:hint="eastAsia" w:ascii="宋体" w:hAnsi="宋体" w:eastAsia="宋体" w:cs="宋体"/>
                <w:snapToGrid w:val="0"/>
                <w:kern w:val="0"/>
                <w:sz w:val="21"/>
                <w:szCs w:val="21"/>
                <w14:ligatures w14:val="none"/>
              </w:rPr>
              <w:t>中</w:t>
            </w:r>
          </w:p>
        </w:tc>
        <w:tc>
          <w:tcPr>
            <w:tcW w:w="1058" w:type="pct"/>
            <w:tcBorders>
              <w:top w:val="nil"/>
              <w:left w:val="nil"/>
              <w:bottom w:val="single" w:color="auto" w:sz="4" w:space="0"/>
              <w:right w:val="single" w:color="auto" w:sz="4" w:space="0"/>
            </w:tcBorders>
            <w:noWrap/>
            <w:vAlign w:val="center"/>
          </w:tcPr>
          <w:p w14:paraId="54F82F4F">
            <w:pPr>
              <w:widowControl w:val="0"/>
              <w:topLinePunct/>
              <w:adjustRightInd w:val="0"/>
              <w:snapToGrid w:val="0"/>
              <w:jc w:val="center"/>
              <w:rPr>
                <w:rFonts w:hint="eastAsia" w:ascii="宋体" w:hAnsi="宋体" w:eastAsia="宋体" w:cs="宋体"/>
                <w:snapToGrid w:val="0"/>
                <w:kern w:val="0"/>
                <w:sz w:val="21"/>
                <w:szCs w:val="21"/>
                <w14:ligatures w14:val="none"/>
              </w:rPr>
            </w:pPr>
            <w:r>
              <w:rPr>
                <w:rFonts w:hint="eastAsia" w:ascii="宋体" w:hAnsi="宋体" w:eastAsia="宋体" w:cs="宋体"/>
                <w:snapToGrid w:val="0"/>
                <w:kern w:val="0"/>
                <w:sz w:val="21"/>
                <w:szCs w:val="21"/>
                <w14:ligatures w14:val="none"/>
              </w:rPr>
              <w:t>中</w:t>
            </w:r>
          </w:p>
        </w:tc>
        <w:tc>
          <w:tcPr>
            <w:tcW w:w="981" w:type="pct"/>
            <w:tcBorders>
              <w:top w:val="nil"/>
              <w:left w:val="nil"/>
              <w:bottom w:val="single" w:color="auto" w:sz="4" w:space="0"/>
              <w:right w:val="single" w:color="auto" w:sz="4" w:space="0"/>
            </w:tcBorders>
            <w:noWrap/>
            <w:vAlign w:val="center"/>
          </w:tcPr>
          <w:p w14:paraId="503BDC57">
            <w:pPr>
              <w:widowControl w:val="0"/>
              <w:topLinePunct/>
              <w:adjustRightInd w:val="0"/>
              <w:snapToGrid w:val="0"/>
              <w:jc w:val="center"/>
              <w:rPr>
                <w:rFonts w:hint="eastAsia" w:ascii="宋体" w:hAnsi="宋体" w:eastAsia="宋体" w:cs="宋体"/>
                <w:snapToGrid w:val="0"/>
                <w:kern w:val="0"/>
                <w:sz w:val="21"/>
                <w:szCs w:val="21"/>
                <w14:ligatures w14:val="none"/>
              </w:rPr>
            </w:pPr>
            <w:r>
              <w:rPr>
                <w:rFonts w:hint="eastAsia" w:ascii="宋体" w:hAnsi="宋体" w:eastAsia="宋体" w:cs="宋体"/>
                <w:snapToGrid w:val="0"/>
                <w:kern w:val="0"/>
                <w:sz w:val="21"/>
                <w:szCs w:val="21"/>
                <w14:ligatures w14:val="none"/>
              </w:rPr>
              <w:t>中</w:t>
            </w:r>
          </w:p>
        </w:tc>
      </w:tr>
      <w:tr w14:paraId="2900370E">
        <w:tblPrEx>
          <w:tblCellMar>
            <w:top w:w="0" w:type="dxa"/>
            <w:left w:w="108" w:type="dxa"/>
            <w:bottom w:w="0" w:type="dxa"/>
            <w:right w:w="108" w:type="dxa"/>
          </w:tblCellMar>
        </w:tblPrEx>
        <w:trPr>
          <w:trHeight w:val="20" w:hRule="atLeast"/>
        </w:trPr>
        <w:tc>
          <w:tcPr>
            <w:tcW w:w="913" w:type="pct"/>
            <w:tcBorders>
              <w:top w:val="nil"/>
              <w:left w:val="single" w:color="auto" w:sz="4" w:space="0"/>
              <w:bottom w:val="single" w:color="auto" w:sz="4" w:space="0"/>
              <w:right w:val="single" w:color="auto" w:sz="4" w:space="0"/>
            </w:tcBorders>
            <w:noWrap/>
            <w:vAlign w:val="center"/>
          </w:tcPr>
          <w:p w14:paraId="1F1EE00A">
            <w:pPr>
              <w:widowControl w:val="0"/>
              <w:topLinePunct/>
              <w:adjustRightInd w:val="0"/>
              <w:snapToGrid w:val="0"/>
              <w:jc w:val="center"/>
              <w:rPr>
                <w:rFonts w:hint="eastAsia" w:ascii="宋体" w:hAnsi="宋体" w:eastAsia="宋体" w:cs="宋体"/>
                <w:snapToGrid w:val="0"/>
                <w:kern w:val="0"/>
                <w:sz w:val="21"/>
                <w:szCs w:val="21"/>
                <w14:ligatures w14:val="none"/>
              </w:rPr>
            </w:pPr>
            <w:r>
              <w:rPr>
                <w:rFonts w:hint="eastAsia" w:ascii="宋体" w:hAnsi="宋体" w:eastAsia="宋体" w:cs="宋体"/>
                <w:snapToGrid w:val="0"/>
                <w:kern w:val="0"/>
                <w:sz w:val="21"/>
                <w:szCs w:val="21"/>
                <w14:ligatures w14:val="none"/>
              </w:rPr>
              <w:t>L3</w:t>
            </w:r>
          </w:p>
        </w:tc>
        <w:tc>
          <w:tcPr>
            <w:tcW w:w="1022" w:type="pct"/>
            <w:tcBorders>
              <w:top w:val="nil"/>
              <w:left w:val="nil"/>
              <w:bottom w:val="single" w:color="auto" w:sz="4" w:space="0"/>
              <w:right w:val="single" w:color="auto" w:sz="4" w:space="0"/>
            </w:tcBorders>
            <w:noWrap/>
            <w:vAlign w:val="center"/>
          </w:tcPr>
          <w:p w14:paraId="7E859068">
            <w:pPr>
              <w:widowControl w:val="0"/>
              <w:topLinePunct/>
              <w:adjustRightInd w:val="0"/>
              <w:snapToGrid w:val="0"/>
              <w:jc w:val="center"/>
              <w:rPr>
                <w:rFonts w:hint="eastAsia" w:ascii="宋体" w:hAnsi="宋体" w:eastAsia="宋体" w:cs="宋体"/>
                <w:snapToGrid w:val="0"/>
                <w:kern w:val="0"/>
                <w:sz w:val="21"/>
                <w:szCs w:val="21"/>
                <w14:ligatures w14:val="none"/>
              </w:rPr>
            </w:pPr>
            <w:r>
              <w:rPr>
                <w:rFonts w:hint="eastAsia" w:ascii="宋体" w:hAnsi="宋体" w:eastAsia="宋体" w:cs="宋体"/>
                <w:snapToGrid w:val="0"/>
                <w:kern w:val="0"/>
                <w:sz w:val="21"/>
                <w:szCs w:val="21"/>
                <w14:ligatures w14:val="none"/>
              </w:rPr>
              <w:t>红</w:t>
            </w:r>
          </w:p>
        </w:tc>
        <w:tc>
          <w:tcPr>
            <w:tcW w:w="1027" w:type="pct"/>
            <w:tcBorders>
              <w:top w:val="nil"/>
              <w:left w:val="nil"/>
              <w:bottom w:val="single" w:color="auto" w:sz="4" w:space="0"/>
              <w:right w:val="single" w:color="auto" w:sz="4" w:space="0"/>
            </w:tcBorders>
            <w:noWrap/>
            <w:vAlign w:val="center"/>
          </w:tcPr>
          <w:p w14:paraId="6501EF7F">
            <w:pPr>
              <w:widowControl w:val="0"/>
              <w:topLinePunct/>
              <w:adjustRightInd w:val="0"/>
              <w:snapToGrid w:val="0"/>
              <w:jc w:val="center"/>
              <w:rPr>
                <w:rFonts w:hint="eastAsia" w:ascii="宋体" w:hAnsi="宋体" w:eastAsia="宋体" w:cs="宋体"/>
                <w:snapToGrid w:val="0"/>
                <w:kern w:val="0"/>
                <w:sz w:val="21"/>
                <w:szCs w:val="21"/>
                <w14:ligatures w14:val="none"/>
              </w:rPr>
            </w:pPr>
            <w:r>
              <w:rPr>
                <w:rFonts w:hint="eastAsia" w:ascii="宋体" w:hAnsi="宋体" w:eastAsia="宋体" w:cs="宋体"/>
                <w:snapToGrid w:val="0"/>
                <w:kern w:val="0"/>
                <w:sz w:val="21"/>
                <w:szCs w:val="21"/>
                <w14:ligatures w14:val="none"/>
              </w:rPr>
              <w:t>下</w:t>
            </w:r>
          </w:p>
        </w:tc>
        <w:tc>
          <w:tcPr>
            <w:tcW w:w="1058" w:type="pct"/>
            <w:tcBorders>
              <w:top w:val="nil"/>
              <w:left w:val="nil"/>
              <w:bottom w:val="single" w:color="auto" w:sz="4" w:space="0"/>
              <w:right w:val="single" w:color="auto" w:sz="4" w:space="0"/>
            </w:tcBorders>
            <w:noWrap/>
            <w:vAlign w:val="center"/>
          </w:tcPr>
          <w:p w14:paraId="164DD5F2">
            <w:pPr>
              <w:widowControl w:val="0"/>
              <w:topLinePunct/>
              <w:adjustRightInd w:val="0"/>
              <w:snapToGrid w:val="0"/>
              <w:jc w:val="center"/>
              <w:rPr>
                <w:rFonts w:hint="eastAsia" w:ascii="宋体" w:hAnsi="宋体" w:eastAsia="宋体" w:cs="宋体"/>
                <w:snapToGrid w:val="0"/>
                <w:kern w:val="0"/>
                <w:sz w:val="21"/>
                <w:szCs w:val="21"/>
                <w14:ligatures w14:val="none"/>
              </w:rPr>
            </w:pPr>
            <w:r>
              <w:rPr>
                <w:rFonts w:hint="eastAsia" w:ascii="宋体" w:hAnsi="宋体" w:eastAsia="宋体" w:cs="宋体"/>
                <w:snapToGrid w:val="0"/>
                <w:kern w:val="0"/>
                <w:sz w:val="21"/>
                <w:szCs w:val="21"/>
                <w14:ligatures w14:val="none"/>
              </w:rPr>
              <w:t>前（外）</w:t>
            </w:r>
          </w:p>
        </w:tc>
        <w:tc>
          <w:tcPr>
            <w:tcW w:w="981" w:type="pct"/>
            <w:tcBorders>
              <w:top w:val="nil"/>
              <w:left w:val="nil"/>
              <w:bottom w:val="single" w:color="auto" w:sz="4" w:space="0"/>
              <w:right w:val="single" w:color="auto" w:sz="4" w:space="0"/>
            </w:tcBorders>
            <w:noWrap/>
            <w:vAlign w:val="center"/>
          </w:tcPr>
          <w:p w14:paraId="43157397">
            <w:pPr>
              <w:widowControl w:val="0"/>
              <w:topLinePunct/>
              <w:adjustRightInd w:val="0"/>
              <w:snapToGrid w:val="0"/>
              <w:jc w:val="center"/>
              <w:rPr>
                <w:rFonts w:hint="eastAsia" w:ascii="宋体" w:hAnsi="宋体" w:eastAsia="宋体" w:cs="宋体"/>
                <w:snapToGrid w:val="0"/>
                <w:kern w:val="0"/>
                <w:sz w:val="21"/>
                <w:szCs w:val="21"/>
                <w14:ligatures w14:val="none"/>
              </w:rPr>
            </w:pPr>
            <w:r>
              <w:rPr>
                <w:rFonts w:hint="eastAsia" w:ascii="宋体" w:hAnsi="宋体" w:eastAsia="宋体" w:cs="宋体"/>
                <w:snapToGrid w:val="0"/>
                <w:kern w:val="0"/>
                <w:sz w:val="21"/>
                <w:szCs w:val="21"/>
                <w14:ligatures w14:val="none"/>
              </w:rPr>
              <w:t>右</w:t>
            </w:r>
          </w:p>
        </w:tc>
      </w:tr>
      <w:tr w14:paraId="16345C92">
        <w:tblPrEx>
          <w:tblCellMar>
            <w:top w:w="0" w:type="dxa"/>
            <w:left w:w="108" w:type="dxa"/>
            <w:bottom w:w="0" w:type="dxa"/>
            <w:right w:w="108" w:type="dxa"/>
          </w:tblCellMar>
        </w:tblPrEx>
        <w:trPr>
          <w:trHeight w:val="20" w:hRule="atLeast"/>
        </w:trPr>
        <w:tc>
          <w:tcPr>
            <w:tcW w:w="913" w:type="pct"/>
            <w:tcBorders>
              <w:top w:val="nil"/>
              <w:left w:val="single" w:color="auto" w:sz="4" w:space="0"/>
              <w:bottom w:val="single" w:color="auto" w:sz="4" w:space="0"/>
              <w:right w:val="single" w:color="auto" w:sz="4" w:space="0"/>
            </w:tcBorders>
            <w:noWrap/>
            <w:vAlign w:val="center"/>
          </w:tcPr>
          <w:p w14:paraId="084CEDB4">
            <w:pPr>
              <w:widowControl w:val="0"/>
              <w:topLinePunct/>
              <w:adjustRightInd w:val="0"/>
              <w:snapToGrid w:val="0"/>
              <w:jc w:val="center"/>
              <w:rPr>
                <w:rFonts w:hint="eastAsia" w:ascii="宋体" w:hAnsi="宋体" w:eastAsia="宋体" w:cs="宋体"/>
                <w:snapToGrid w:val="0"/>
                <w:kern w:val="0"/>
                <w:sz w:val="21"/>
                <w:szCs w:val="21"/>
                <w14:ligatures w14:val="none"/>
              </w:rPr>
            </w:pPr>
            <w:r>
              <w:rPr>
                <w:rFonts w:hint="eastAsia" w:ascii="宋体" w:hAnsi="宋体" w:eastAsia="宋体" w:cs="宋体"/>
                <w:snapToGrid w:val="0"/>
                <w:kern w:val="0"/>
                <w:sz w:val="21"/>
                <w:szCs w:val="21"/>
                <w14:ligatures w14:val="none"/>
              </w:rPr>
              <w:t>N</w:t>
            </w:r>
          </w:p>
        </w:tc>
        <w:tc>
          <w:tcPr>
            <w:tcW w:w="1022" w:type="pct"/>
            <w:tcBorders>
              <w:top w:val="nil"/>
              <w:left w:val="nil"/>
              <w:bottom w:val="single" w:color="auto" w:sz="4" w:space="0"/>
              <w:right w:val="single" w:color="auto" w:sz="4" w:space="0"/>
            </w:tcBorders>
            <w:noWrap/>
            <w:vAlign w:val="center"/>
          </w:tcPr>
          <w:p w14:paraId="0A47CF29">
            <w:pPr>
              <w:widowControl w:val="0"/>
              <w:topLinePunct/>
              <w:adjustRightInd w:val="0"/>
              <w:snapToGrid w:val="0"/>
              <w:jc w:val="center"/>
              <w:rPr>
                <w:rFonts w:hint="eastAsia" w:ascii="宋体" w:hAnsi="宋体" w:eastAsia="宋体" w:cs="宋体"/>
                <w:snapToGrid w:val="0"/>
                <w:kern w:val="0"/>
                <w:sz w:val="21"/>
                <w:szCs w:val="21"/>
                <w14:ligatures w14:val="none"/>
              </w:rPr>
            </w:pPr>
            <w:r>
              <w:rPr>
                <w:rFonts w:hint="eastAsia" w:ascii="宋体" w:hAnsi="宋体" w:eastAsia="宋体" w:cs="宋体"/>
                <w:snapToGrid w:val="0"/>
                <w:kern w:val="0"/>
                <w:sz w:val="21"/>
                <w:szCs w:val="21"/>
                <w14:ligatures w14:val="none"/>
              </w:rPr>
              <w:t>淡兰</w:t>
            </w:r>
          </w:p>
        </w:tc>
        <w:tc>
          <w:tcPr>
            <w:tcW w:w="1027" w:type="pct"/>
            <w:tcBorders>
              <w:top w:val="nil"/>
              <w:left w:val="nil"/>
              <w:bottom w:val="single" w:color="auto" w:sz="4" w:space="0"/>
              <w:right w:val="single" w:color="auto" w:sz="4" w:space="0"/>
            </w:tcBorders>
            <w:noWrap/>
            <w:vAlign w:val="center"/>
          </w:tcPr>
          <w:p w14:paraId="7FE31748">
            <w:pPr>
              <w:widowControl w:val="0"/>
              <w:topLinePunct/>
              <w:adjustRightInd w:val="0"/>
              <w:snapToGrid w:val="0"/>
              <w:jc w:val="center"/>
              <w:rPr>
                <w:rFonts w:hint="eastAsia" w:ascii="宋体" w:hAnsi="宋体" w:eastAsia="宋体" w:cs="宋体"/>
                <w:snapToGrid w:val="0"/>
                <w:kern w:val="0"/>
                <w:sz w:val="21"/>
                <w:szCs w:val="21"/>
                <w14:ligatures w14:val="none"/>
              </w:rPr>
            </w:pPr>
            <w:r>
              <w:rPr>
                <w:rFonts w:hint="eastAsia" w:ascii="宋体" w:hAnsi="宋体" w:eastAsia="宋体" w:cs="宋体"/>
                <w:snapToGrid w:val="0"/>
                <w:kern w:val="0"/>
                <w:sz w:val="21"/>
                <w:szCs w:val="21"/>
                <w14:ligatures w14:val="none"/>
              </w:rPr>
              <w:t>最下</w:t>
            </w:r>
          </w:p>
        </w:tc>
        <w:tc>
          <w:tcPr>
            <w:tcW w:w="1058" w:type="pct"/>
            <w:tcBorders>
              <w:top w:val="nil"/>
              <w:left w:val="nil"/>
              <w:bottom w:val="single" w:color="auto" w:sz="4" w:space="0"/>
              <w:right w:val="single" w:color="auto" w:sz="4" w:space="0"/>
            </w:tcBorders>
            <w:noWrap/>
            <w:vAlign w:val="center"/>
          </w:tcPr>
          <w:p w14:paraId="4601189F">
            <w:pPr>
              <w:widowControl w:val="0"/>
              <w:topLinePunct/>
              <w:adjustRightInd w:val="0"/>
              <w:snapToGrid w:val="0"/>
              <w:jc w:val="center"/>
              <w:rPr>
                <w:rFonts w:hint="eastAsia" w:ascii="宋体" w:hAnsi="宋体" w:eastAsia="宋体" w:cs="宋体"/>
                <w:snapToGrid w:val="0"/>
                <w:kern w:val="0"/>
                <w:sz w:val="21"/>
                <w:szCs w:val="21"/>
                <w14:ligatures w14:val="none"/>
              </w:rPr>
            </w:pPr>
            <w:r>
              <w:rPr>
                <w:rFonts w:hint="eastAsia" w:ascii="宋体" w:hAnsi="宋体" w:eastAsia="宋体" w:cs="宋体"/>
                <w:snapToGrid w:val="0"/>
                <w:kern w:val="0"/>
                <w:sz w:val="21"/>
                <w:szCs w:val="21"/>
                <w14:ligatures w14:val="none"/>
              </w:rPr>
              <w:t>最外</w:t>
            </w:r>
          </w:p>
        </w:tc>
        <w:tc>
          <w:tcPr>
            <w:tcW w:w="981" w:type="pct"/>
            <w:tcBorders>
              <w:top w:val="nil"/>
              <w:left w:val="nil"/>
              <w:bottom w:val="single" w:color="auto" w:sz="4" w:space="0"/>
              <w:right w:val="single" w:color="auto" w:sz="4" w:space="0"/>
            </w:tcBorders>
            <w:noWrap/>
            <w:vAlign w:val="center"/>
          </w:tcPr>
          <w:p w14:paraId="331A6228">
            <w:pPr>
              <w:widowControl w:val="0"/>
              <w:topLinePunct/>
              <w:adjustRightInd w:val="0"/>
              <w:snapToGrid w:val="0"/>
              <w:jc w:val="center"/>
              <w:rPr>
                <w:rFonts w:hint="eastAsia" w:ascii="宋体" w:hAnsi="宋体" w:eastAsia="宋体" w:cs="宋体"/>
                <w:snapToGrid w:val="0"/>
                <w:kern w:val="0"/>
                <w:sz w:val="21"/>
                <w:szCs w:val="21"/>
                <w14:ligatures w14:val="none"/>
              </w:rPr>
            </w:pPr>
            <w:r>
              <w:rPr>
                <w:rFonts w:hint="eastAsia" w:ascii="宋体" w:hAnsi="宋体" w:eastAsia="宋体" w:cs="宋体"/>
                <w:snapToGrid w:val="0"/>
                <w:kern w:val="0"/>
                <w:sz w:val="21"/>
                <w:szCs w:val="21"/>
                <w14:ligatures w14:val="none"/>
              </w:rPr>
              <w:t>最右</w:t>
            </w:r>
          </w:p>
        </w:tc>
      </w:tr>
      <w:tr w14:paraId="313C96FC">
        <w:tblPrEx>
          <w:tblCellMar>
            <w:top w:w="0" w:type="dxa"/>
            <w:left w:w="108" w:type="dxa"/>
            <w:bottom w:w="0" w:type="dxa"/>
            <w:right w:w="108" w:type="dxa"/>
          </w:tblCellMar>
        </w:tblPrEx>
        <w:trPr>
          <w:trHeight w:val="20" w:hRule="atLeast"/>
        </w:trPr>
        <w:tc>
          <w:tcPr>
            <w:tcW w:w="913" w:type="pct"/>
            <w:tcBorders>
              <w:top w:val="nil"/>
              <w:left w:val="single" w:color="auto" w:sz="4" w:space="0"/>
              <w:bottom w:val="single" w:color="auto" w:sz="4" w:space="0"/>
              <w:right w:val="single" w:color="auto" w:sz="4" w:space="0"/>
            </w:tcBorders>
            <w:noWrap/>
            <w:vAlign w:val="center"/>
          </w:tcPr>
          <w:p w14:paraId="71CFFDD1">
            <w:pPr>
              <w:widowControl w:val="0"/>
              <w:topLinePunct/>
              <w:adjustRightInd w:val="0"/>
              <w:snapToGrid w:val="0"/>
              <w:jc w:val="center"/>
              <w:rPr>
                <w:rFonts w:hint="eastAsia" w:ascii="宋体" w:hAnsi="宋体" w:eastAsia="宋体" w:cs="宋体"/>
                <w:snapToGrid w:val="0"/>
                <w:kern w:val="0"/>
                <w:sz w:val="21"/>
                <w:szCs w:val="21"/>
                <w14:ligatures w14:val="none"/>
              </w:rPr>
            </w:pPr>
            <w:r>
              <w:rPr>
                <w:rFonts w:hint="eastAsia" w:ascii="宋体" w:hAnsi="宋体" w:eastAsia="宋体" w:cs="宋体"/>
                <w:snapToGrid w:val="0"/>
                <w:kern w:val="0"/>
                <w:sz w:val="21"/>
                <w:szCs w:val="21"/>
                <w14:ligatures w14:val="none"/>
              </w:rPr>
              <w:t>PE</w:t>
            </w:r>
          </w:p>
        </w:tc>
        <w:tc>
          <w:tcPr>
            <w:tcW w:w="1022" w:type="pct"/>
            <w:tcBorders>
              <w:top w:val="nil"/>
              <w:left w:val="nil"/>
              <w:bottom w:val="single" w:color="auto" w:sz="4" w:space="0"/>
              <w:right w:val="single" w:color="auto" w:sz="4" w:space="0"/>
            </w:tcBorders>
            <w:noWrap/>
            <w:vAlign w:val="center"/>
          </w:tcPr>
          <w:p w14:paraId="53491E48">
            <w:pPr>
              <w:widowControl w:val="0"/>
              <w:topLinePunct/>
              <w:adjustRightInd w:val="0"/>
              <w:snapToGrid w:val="0"/>
              <w:jc w:val="center"/>
              <w:rPr>
                <w:rFonts w:hint="eastAsia" w:ascii="宋体" w:hAnsi="宋体" w:eastAsia="宋体" w:cs="宋体"/>
                <w:snapToGrid w:val="0"/>
                <w:kern w:val="0"/>
                <w:sz w:val="21"/>
                <w:szCs w:val="21"/>
                <w14:ligatures w14:val="none"/>
              </w:rPr>
            </w:pPr>
            <w:r>
              <w:rPr>
                <w:rFonts w:hint="eastAsia" w:ascii="宋体" w:hAnsi="宋体" w:eastAsia="宋体" w:cs="宋体"/>
                <w:snapToGrid w:val="0"/>
                <w:kern w:val="0"/>
                <w:sz w:val="21"/>
                <w:szCs w:val="21"/>
                <w14:ligatures w14:val="none"/>
              </w:rPr>
              <w:t>绿/黄</w:t>
            </w:r>
          </w:p>
        </w:tc>
        <w:tc>
          <w:tcPr>
            <w:tcW w:w="1027" w:type="pct"/>
            <w:tcBorders>
              <w:top w:val="nil"/>
              <w:left w:val="nil"/>
              <w:bottom w:val="single" w:color="auto" w:sz="4" w:space="0"/>
              <w:right w:val="single" w:color="auto" w:sz="4" w:space="0"/>
            </w:tcBorders>
            <w:noWrap/>
            <w:vAlign w:val="center"/>
          </w:tcPr>
          <w:p w14:paraId="371B849A">
            <w:pPr>
              <w:widowControl w:val="0"/>
              <w:topLinePunct/>
              <w:adjustRightInd w:val="0"/>
              <w:snapToGrid w:val="0"/>
              <w:jc w:val="center"/>
              <w:rPr>
                <w:rFonts w:hint="eastAsia" w:ascii="宋体" w:hAnsi="宋体" w:eastAsia="宋体" w:cs="宋体"/>
                <w:snapToGrid w:val="0"/>
                <w:kern w:val="0"/>
                <w:sz w:val="21"/>
                <w:szCs w:val="21"/>
                <w14:ligatures w14:val="none"/>
              </w:rPr>
            </w:pPr>
          </w:p>
        </w:tc>
        <w:tc>
          <w:tcPr>
            <w:tcW w:w="1058" w:type="pct"/>
            <w:tcBorders>
              <w:top w:val="nil"/>
              <w:left w:val="nil"/>
              <w:bottom w:val="single" w:color="auto" w:sz="4" w:space="0"/>
              <w:right w:val="single" w:color="auto" w:sz="4" w:space="0"/>
            </w:tcBorders>
            <w:noWrap/>
            <w:vAlign w:val="center"/>
          </w:tcPr>
          <w:p w14:paraId="35BAD69F">
            <w:pPr>
              <w:widowControl w:val="0"/>
              <w:topLinePunct/>
              <w:adjustRightInd w:val="0"/>
              <w:snapToGrid w:val="0"/>
              <w:jc w:val="center"/>
              <w:rPr>
                <w:rFonts w:hint="eastAsia" w:ascii="宋体" w:hAnsi="宋体" w:eastAsia="宋体" w:cs="宋体"/>
                <w:snapToGrid w:val="0"/>
                <w:kern w:val="0"/>
                <w:sz w:val="21"/>
                <w:szCs w:val="21"/>
                <w14:ligatures w14:val="none"/>
              </w:rPr>
            </w:pPr>
          </w:p>
        </w:tc>
        <w:tc>
          <w:tcPr>
            <w:tcW w:w="981" w:type="pct"/>
            <w:tcBorders>
              <w:top w:val="nil"/>
              <w:left w:val="nil"/>
              <w:bottom w:val="single" w:color="auto" w:sz="4" w:space="0"/>
              <w:right w:val="single" w:color="auto" w:sz="4" w:space="0"/>
            </w:tcBorders>
            <w:noWrap/>
            <w:vAlign w:val="center"/>
          </w:tcPr>
          <w:p w14:paraId="5BC860F6">
            <w:pPr>
              <w:widowControl w:val="0"/>
              <w:topLinePunct/>
              <w:adjustRightInd w:val="0"/>
              <w:snapToGrid w:val="0"/>
              <w:jc w:val="center"/>
              <w:rPr>
                <w:rFonts w:hint="eastAsia" w:ascii="宋体" w:hAnsi="宋体" w:eastAsia="宋体" w:cs="宋体"/>
                <w:snapToGrid w:val="0"/>
                <w:kern w:val="0"/>
                <w:sz w:val="21"/>
                <w:szCs w:val="21"/>
                <w14:ligatures w14:val="none"/>
              </w:rPr>
            </w:pPr>
          </w:p>
        </w:tc>
      </w:tr>
    </w:tbl>
    <w:p w14:paraId="6C53A227">
      <w:pPr>
        <w:pStyle w:val="12"/>
        <w:numPr>
          <w:ilvl w:val="0"/>
          <w:numId w:val="7"/>
        </w:numPr>
        <w:ind w:left="0" w:firstLine="0" w:firstLineChars="0"/>
        <w:rPr>
          <w:rFonts w:hint="eastAsia" w:ascii="宋体" w:hAnsi="宋体" w:eastAsia="宋体" w:cs="宋体"/>
          <w:snapToGrid w:val="0"/>
          <w:lang w:eastAsia="zh"/>
        </w:rPr>
      </w:pPr>
      <w:r>
        <w:rPr>
          <w:rFonts w:hint="eastAsia" w:ascii="宋体" w:hAnsi="宋体" w:eastAsia="宋体" w:cs="宋体"/>
          <w:snapToGrid w:val="0"/>
          <w:lang w:eastAsia="zh"/>
        </w:rPr>
        <w:t>配电箱（柜）有π接回路时，则需配π接铜排，并做好电气防护，依据进线电缆截面，预留足够的接线空间，便于安装。</w:t>
      </w:r>
    </w:p>
    <w:p w14:paraId="5F80A3C2">
      <w:pPr>
        <w:pStyle w:val="12"/>
        <w:numPr>
          <w:ilvl w:val="0"/>
          <w:numId w:val="7"/>
        </w:numPr>
        <w:ind w:left="0" w:firstLine="0" w:firstLineChars="0"/>
        <w:rPr>
          <w:rFonts w:hint="eastAsia" w:ascii="宋体" w:hAnsi="宋体" w:eastAsia="宋体" w:cs="宋体"/>
          <w:snapToGrid w:val="0"/>
          <w:lang w:eastAsia="zh"/>
        </w:rPr>
      </w:pPr>
      <w:r>
        <w:rPr>
          <w:rFonts w:hint="eastAsia" w:ascii="宋体" w:hAnsi="宋体" w:eastAsia="宋体" w:cs="宋体"/>
          <w:snapToGrid w:val="0"/>
          <w:lang w:eastAsia="zh"/>
        </w:rPr>
        <w:t>安装在水泵房、制冷机房、屋面等潮湿和露天场所的配电箱（柜）必须按要求，采取相应的防腐蚀措施；其中水泵房、制冷机房内配电箱（柜）的防护等级要达到IP44，屋面室外配电箱（柜）的防护等级要达到IP54，高压发电机房内配电箱（柜）的防护等级要达到IP51，其余配电箱（柜）的防护等级要达到IP3X。</w:t>
      </w:r>
    </w:p>
    <w:p w14:paraId="65173166">
      <w:pPr>
        <w:pStyle w:val="12"/>
        <w:numPr>
          <w:ilvl w:val="0"/>
          <w:numId w:val="7"/>
        </w:numPr>
        <w:ind w:left="0" w:firstLine="0" w:firstLineChars="0"/>
        <w:rPr>
          <w:rFonts w:hint="eastAsia" w:ascii="宋体" w:hAnsi="宋体" w:eastAsia="宋体" w:cs="宋体"/>
          <w:snapToGrid w:val="0"/>
          <w:lang w:eastAsia="zh"/>
        </w:rPr>
      </w:pPr>
      <w:r>
        <w:rPr>
          <w:rFonts w:hint="eastAsia" w:ascii="宋体" w:hAnsi="宋体" w:eastAsia="宋体" w:cs="宋体"/>
          <w:snapToGrid w:val="0"/>
          <w:lang w:eastAsia="zh"/>
        </w:rPr>
        <w:t>各箱柜的接线端子必须满足系统图上所标线型的安装要求，而不是完全按照电流的大小来选择（前提是必须满足电流的要求）。</w:t>
      </w:r>
    </w:p>
    <w:p w14:paraId="45CF13C9">
      <w:pPr>
        <w:pStyle w:val="12"/>
        <w:numPr>
          <w:ilvl w:val="0"/>
          <w:numId w:val="7"/>
        </w:numPr>
        <w:ind w:left="0" w:firstLine="0" w:firstLineChars="0"/>
        <w:rPr>
          <w:rFonts w:hint="eastAsia" w:ascii="宋体" w:hAnsi="宋体" w:eastAsia="宋体" w:cs="宋体"/>
          <w:snapToGrid w:val="0"/>
          <w:lang w:eastAsia="zh"/>
        </w:rPr>
      </w:pPr>
      <w:r>
        <w:rPr>
          <w:rFonts w:hint="eastAsia" w:ascii="宋体" w:hAnsi="宋体" w:eastAsia="宋体" w:cs="宋体"/>
          <w:snapToGrid w:val="0"/>
          <w:lang w:eastAsia="zh"/>
        </w:rPr>
        <w:t>各箱柜的二次线与一次线应严格分开，不得混在一起，配电箱一次线电气连线与电气元件连接处带电裸露部分不得超过1mm，且电线切口平整，线口处需加分色分相彩色护套，护口齐整，布线平直整齐。一次电线压接要求依照GB751.1-97冷压标准，大于等于10mm2 多股铜芯线要求搪锡。配电箱内电气元件一次接线各压接点只准压接单根线，多根线需配汇流排。配电箱内电气元件控制回路各端子压接点不得超过两根线。二次线应按控制原理图做好标记。</w:t>
      </w:r>
    </w:p>
    <w:p w14:paraId="3436D7EB">
      <w:pPr>
        <w:pStyle w:val="12"/>
        <w:numPr>
          <w:ilvl w:val="0"/>
          <w:numId w:val="7"/>
        </w:numPr>
        <w:ind w:left="0" w:firstLine="0" w:firstLineChars="0"/>
        <w:rPr>
          <w:rFonts w:hint="eastAsia" w:ascii="宋体" w:hAnsi="宋体" w:eastAsia="宋体" w:cs="宋体"/>
          <w:snapToGrid w:val="0"/>
          <w:lang w:eastAsia="zh"/>
        </w:rPr>
      </w:pPr>
      <w:r>
        <w:rPr>
          <w:rFonts w:hint="eastAsia" w:ascii="宋体" w:hAnsi="宋体" w:eastAsia="宋体" w:cs="宋体"/>
          <w:snapToGrid w:val="0"/>
          <w:lang w:eastAsia="zh"/>
        </w:rPr>
        <w:t>消防联动控制箱及纳入楼宇自控的控制箱需预留联动接口，并满足弱电设计的要求。</w:t>
      </w:r>
    </w:p>
    <w:p w14:paraId="37061A4E">
      <w:pPr>
        <w:pStyle w:val="12"/>
        <w:numPr>
          <w:ilvl w:val="0"/>
          <w:numId w:val="7"/>
        </w:numPr>
        <w:ind w:left="0" w:firstLine="0" w:firstLineChars="0"/>
        <w:rPr>
          <w:rFonts w:hint="eastAsia" w:ascii="宋体" w:hAnsi="宋体" w:eastAsia="宋体" w:cs="宋体"/>
          <w:snapToGrid w:val="0"/>
          <w:lang w:eastAsia="zh"/>
        </w:rPr>
      </w:pPr>
      <w:r>
        <w:rPr>
          <w:rFonts w:hint="eastAsia" w:ascii="宋体" w:hAnsi="宋体" w:eastAsia="宋体" w:cs="宋体"/>
          <w:snapToGrid w:val="0"/>
          <w:lang w:eastAsia="zh"/>
        </w:rPr>
        <w:t>配电箱（柜）的二次接线图与设计不一致时，需经设计认可。</w:t>
      </w:r>
    </w:p>
    <w:p w14:paraId="002BE434">
      <w:pPr>
        <w:pStyle w:val="12"/>
        <w:numPr>
          <w:ilvl w:val="0"/>
          <w:numId w:val="7"/>
        </w:numPr>
        <w:ind w:left="0" w:firstLine="0" w:firstLineChars="0"/>
        <w:rPr>
          <w:rFonts w:hint="eastAsia" w:ascii="宋体" w:hAnsi="宋体" w:eastAsia="宋体" w:cs="宋体"/>
          <w:snapToGrid w:val="0"/>
          <w:lang w:eastAsia="zh"/>
        </w:rPr>
      </w:pPr>
      <w:r>
        <w:rPr>
          <w:rFonts w:hint="eastAsia" w:ascii="宋体" w:hAnsi="宋体" w:eastAsia="宋体" w:cs="宋体"/>
          <w:snapToGrid w:val="0"/>
          <w:lang w:eastAsia="zh"/>
        </w:rPr>
        <w:t>箱、柜门配暗锁，配通用钥匙。箱、柜门应开启灵活，开启角度不小于90°。紧固连接应牢固、可靠，所有紧固件均应采用不锈钢材料，紧固连接有防松脱措施。门的开启方向根据现场要求确定。</w:t>
      </w:r>
    </w:p>
    <w:p w14:paraId="2EDE4568">
      <w:pPr>
        <w:pStyle w:val="12"/>
        <w:numPr>
          <w:ilvl w:val="0"/>
          <w:numId w:val="7"/>
        </w:numPr>
        <w:ind w:left="0" w:firstLine="0" w:firstLineChars="0"/>
        <w:rPr>
          <w:rFonts w:hint="eastAsia" w:ascii="宋体" w:hAnsi="宋体" w:eastAsia="宋体" w:cs="宋体"/>
          <w:snapToGrid w:val="0"/>
          <w:lang w:eastAsia="zh"/>
        </w:rPr>
      </w:pPr>
      <w:r>
        <w:rPr>
          <w:rFonts w:hint="eastAsia" w:ascii="宋体" w:hAnsi="宋体" w:eastAsia="宋体" w:cs="宋体"/>
          <w:snapToGrid w:val="0"/>
          <w:lang w:eastAsia="zh"/>
        </w:rPr>
        <w:t>其他具体要求参见相关的国家标准、精品工程、优质工程、行业标准及</w:t>
      </w:r>
      <w:r>
        <w:rPr>
          <w:rFonts w:hint="eastAsia" w:ascii="宋体" w:hAnsi="宋体" w:eastAsia="宋体" w:cs="宋体"/>
          <w:snapToGrid w:val="0"/>
          <w:lang w:eastAsia="zh-CN"/>
        </w:rPr>
        <w:t>淮安</w:t>
      </w:r>
      <w:r>
        <w:rPr>
          <w:rFonts w:hint="eastAsia" w:ascii="宋体" w:hAnsi="宋体" w:eastAsia="宋体" w:cs="宋体"/>
          <w:snapToGrid w:val="0"/>
          <w:lang w:eastAsia="zh"/>
        </w:rPr>
        <w:t>市的地方规范。</w:t>
      </w:r>
    </w:p>
    <w:p w14:paraId="20196833">
      <w:pPr>
        <w:pStyle w:val="12"/>
        <w:numPr>
          <w:ilvl w:val="0"/>
          <w:numId w:val="7"/>
        </w:numPr>
        <w:ind w:left="0" w:firstLine="0" w:firstLineChars="0"/>
        <w:rPr>
          <w:rFonts w:hint="eastAsia" w:ascii="宋体" w:hAnsi="宋体" w:eastAsia="宋体" w:cs="宋体"/>
          <w:snapToGrid w:val="0"/>
          <w:lang w:eastAsia="zh"/>
        </w:rPr>
      </w:pPr>
      <w:r>
        <w:rPr>
          <w:rFonts w:hint="eastAsia" w:ascii="宋体" w:hAnsi="宋体" w:eastAsia="宋体" w:cs="宋体"/>
          <w:snapToGrid w:val="0"/>
          <w:lang w:eastAsia="zh"/>
        </w:rPr>
        <w:t>配电箱（柜）内需要根据系统图要求预留漏电火灾报警系统探测器及电能管理记量仪表的安装空间。</w:t>
      </w:r>
    </w:p>
    <w:p w14:paraId="03EDFB88">
      <w:pPr>
        <w:pStyle w:val="4"/>
        <w:rPr>
          <w:rFonts w:hint="eastAsia" w:ascii="宋体" w:hAnsi="宋体" w:eastAsia="宋体" w:cs="宋体"/>
        </w:rPr>
      </w:pPr>
      <w:bookmarkStart w:id="17" w:name="_Toc25797"/>
      <w:r>
        <w:rPr>
          <w:rFonts w:hint="eastAsia" w:ascii="宋体" w:hAnsi="宋体" w:eastAsia="宋体" w:cs="宋体"/>
        </w:rPr>
        <w:t>照明灯具技术要求</w:t>
      </w:r>
      <w:bookmarkEnd w:id="17"/>
    </w:p>
    <w:p w14:paraId="5BD73F9C">
      <w:pPr>
        <w:pStyle w:val="5"/>
        <w:rPr>
          <w:rFonts w:hint="eastAsia" w:ascii="宋体" w:hAnsi="宋体" w:eastAsia="宋体" w:cs="宋体"/>
        </w:rPr>
      </w:pPr>
      <w:r>
        <w:rPr>
          <w:rFonts w:hint="eastAsia" w:ascii="宋体" w:hAnsi="宋体" w:eastAsia="宋体" w:cs="宋体"/>
        </w:rPr>
        <w:t>一般规定</w:t>
      </w:r>
    </w:p>
    <w:p w14:paraId="6BB02E25">
      <w:pPr>
        <w:pStyle w:val="12"/>
        <w:ind w:firstLine="420"/>
        <w:rPr>
          <w:rFonts w:hint="eastAsia" w:ascii="宋体" w:hAnsi="宋体" w:eastAsia="宋体" w:cs="宋体"/>
        </w:rPr>
      </w:pPr>
      <w:r>
        <w:rPr>
          <w:rFonts w:hint="eastAsia" w:ascii="宋体" w:hAnsi="宋体" w:eastAsia="宋体" w:cs="宋体"/>
        </w:rPr>
        <w:t>灯具选型应符合设计要求。灯具的生产、制造、安装应符合相应国家或国际标准中的有关规定。灯具应符合3C认证，符合ISO9000标准及下述基本要求。</w:t>
      </w:r>
    </w:p>
    <w:p w14:paraId="60E71F8D">
      <w:pPr>
        <w:pStyle w:val="12"/>
        <w:ind w:firstLine="420"/>
        <w:rPr>
          <w:rFonts w:hint="eastAsia" w:ascii="宋体" w:hAnsi="宋体" w:eastAsia="宋体" w:cs="宋体"/>
        </w:rPr>
      </w:pPr>
      <w:r>
        <w:rPr>
          <w:rFonts w:hint="eastAsia" w:ascii="宋体" w:hAnsi="宋体" w:eastAsia="宋体" w:cs="宋体"/>
        </w:rPr>
        <w:t>GB7000.1-2015  灯具一般安全要求与试验</w:t>
      </w:r>
    </w:p>
    <w:p w14:paraId="1DB24375">
      <w:pPr>
        <w:pStyle w:val="12"/>
        <w:ind w:firstLine="420"/>
        <w:rPr>
          <w:rFonts w:hint="eastAsia" w:ascii="宋体" w:hAnsi="宋体" w:eastAsia="宋体" w:cs="宋体"/>
        </w:rPr>
      </w:pPr>
      <w:r>
        <w:rPr>
          <w:rFonts w:hint="eastAsia" w:ascii="宋体" w:hAnsi="宋体" w:eastAsia="宋体" w:cs="宋体"/>
        </w:rPr>
        <w:t>GB/T 34446-2017  固定式通用LED灯具性能要求</w:t>
      </w:r>
    </w:p>
    <w:p w14:paraId="5AD2B42C">
      <w:pPr>
        <w:pStyle w:val="12"/>
        <w:ind w:firstLine="420"/>
        <w:rPr>
          <w:rFonts w:hint="eastAsia" w:ascii="宋体" w:hAnsi="宋体" w:eastAsia="宋体" w:cs="宋体"/>
        </w:rPr>
      </w:pPr>
      <w:r>
        <w:rPr>
          <w:rFonts w:hint="eastAsia" w:ascii="宋体" w:hAnsi="宋体" w:eastAsia="宋体" w:cs="宋体"/>
        </w:rPr>
        <w:t>GB 17896-2022  普通照明用气体放电灯用镇流器能效限定值及能效等级</w:t>
      </w:r>
    </w:p>
    <w:p w14:paraId="6056DF90">
      <w:pPr>
        <w:pStyle w:val="12"/>
        <w:ind w:firstLine="420"/>
        <w:rPr>
          <w:rFonts w:hint="eastAsia" w:ascii="宋体" w:hAnsi="宋体" w:eastAsia="宋体" w:cs="宋体"/>
        </w:rPr>
      </w:pPr>
      <w:r>
        <w:rPr>
          <w:rFonts w:hint="eastAsia" w:ascii="宋体" w:hAnsi="宋体" w:eastAsia="宋体" w:cs="宋体"/>
        </w:rPr>
        <w:t>GB/T 2828.1-2012  计数抽样检验程序 第1部分：按接收质量限(AQL)检索的逐批检验抽样计划</w:t>
      </w:r>
    </w:p>
    <w:p w14:paraId="7FCB8082">
      <w:pPr>
        <w:pStyle w:val="12"/>
        <w:ind w:firstLine="420"/>
        <w:rPr>
          <w:rFonts w:hint="eastAsia" w:ascii="宋体" w:hAnsi="宋体" w:eastAsia="宋体" w:cs="宋体"/>
        </w:rPr>
      </w:pPr>
      <w:r>
        <w:rPr>
          <w:rFonts w:hint="eastAsia" w:ascii="宋体" w:hAnsi="宋体" w:eastAsia="宋体" w:cs="宋体"/>
        </w:rPr>
        <w:t>GB/T29293-2012 LED筒灯性能测量方法</w:t>
      </w:r>
    </w:p>
    <w:p w14:paraId="3D0DFC54">
      <w:pPr>
        <w:pStyle w:val="12"/>
        <w:ind w:firstLine="420"/>
        <w:rPr>
          <w:rFonts w:hint="eastAsia" w:ascii="宋体" w:hAnsi="宋体" w:eastAsia="宋体" w:cs="宋体"/>
        </w:rPr>
      </w:pPr>
      <w:r>
        <w:rPr>
          <w:rFonts w:hint="eastAsia" w:ascii="宋体" w:hAnsi="宋体" w:eastAsia="宋体" w:cs="宋体"/>
        </w:rPr>
        <w:t>GB/T29294-2012 LED筒灯性能要求</w:t>
      </w:r>
    </w:p>
    <w:p w14:paraId="5C95FB28">
      <w:pPr>
        <w:pStyle w:val="12"/>
        <w:ind w:firstLine="420"/>
        <w:rPr>
          <w:rFonts w:hint="eastAsia" w:ascii="宋体" w:hAnsi="宋体" w:eastAsia="宋体" w:cs="宋体"/>
        </w:rPr>
      </w:pPr>
      <w:r>
        <w:rPr>
          <w:rFonts w:hint="eastAsia" w:ascii="宋体" w:hAnsi="宋体" w:eastAsia="宋体" w:cs="宋体"/>
        </w:rPr>
        <w:t>GB30255-2019室内照明用LED产品能效限定值及能效等级</w:t>
      </w:r>
    </w:p>
    <w:p w14:paraId="00D102CE">
      <w:pPr>
        <w:pStyle w:val="12"/>
        <w:ind w:firstLine="420"/>
        <w:rPr>
          <w:rFonts w:hint="eastAsia" w:ascii="宋体" w:hAnsi="宋体" w:eastAsia="宋体" w:cs="宋体"/>
        </w:rPr>
      </w:pPr>
      <w:r>
        <w:rPr>
          <w:rFonts w:hint="eastAsia" w:ascii="宋体" w:hAnsi="宋体" w:eastAsia="宋体" w:cs="宋体"/>
        </w:rPr>
        <w:t>GBT 20145-2006灯和灯系统的光生物安全性</w:t>
      </w:r>
    </w:p>
    <w:p w14:paraId="6D654112">
      <w:pPr>
        <w:pStyle w:val="12"/>
        <w:ind w:firstLine="420"/>
        <w:rPr>
          <w:rFonts w:hint="eastAsia" w:ascii="宋体" w:hAnsi="宋体" w:eastAsia="宋体" w:cs="宋体"/>
        </w:rPr>
      </w:pPr>
      <w:r>
        <w:rPr>
          <w:rFonts w:hint="eastAsia" w:ascii="宋体" w:hAnsi="宋体" w:eastAsia="宋体" w:cs="宋体"/>
        </w:rPr>
        <w:t>其他国家或国际标准中的有关规定</w:t>
      </w:r>
    </w:p>
    <w:p w14:paraId="607E3E22">
      <w:pPr>
        <w:pStyle w:val="12"/>
        <w:ind w:firstLine="420"/>
        <w:rPr>
          <w:rFonts w:hint="eastAsia" w:ascii="宋体" w:hAnsi="宋体" w:eastAsia="宋体" w:cs="宋体"/>
        </w:rPr>
      </w:pPr>
      <w:r>
        <w:rPr>
          <w:rFonts w:hint="eastAsia" w:ascii="宋体" w:hAnsi="宋体" w:eastAsia="宋体" w:cs="宋体"/>
        </w:rPr>
        <w:t>本工程所有灯具采用I类灯具。</w:t>
      </w:r>
    </w:p>
    <w:p w14:paraId="662287A0">
      <w:pPr>
        <w:pStyle w:val="5"/>
        <w:rPr>
          <w:rFonts w:hint="eastAsia" w:ascii="宋体" w:hAnsi="宋体" w:eastAsia="宋体" w:cs="宋体"/>
        </w:rPr>
      </w:pPr>
      <w:r>
        <w:rPr>
          <w:rFonts w:hint="eastAsia" w:ascii="宋体" w:hAnsi="宋体" w:eastAsia="宋体" w:cs="宋体"/>
        </w:rPr>
        <w:t xml:space="preserve">技术指标参数 </w:t>
      </w:r>
    </w:p>
    <w:p w14:paraId="55B9E6D5">
      <w:pPr>
        <w:pStyle w:val="12"/>
        <w:ind w:firstLine="420"/>
        <w:rPr>
          <w:rFonts w:hint="eastAsia" w:ascii="宋体" w:hAnsi="宋体" w:eastAsia="宋体" w:cs="宋体"/>
        </w:rPr>
      </w:pPr>
      <w:r>
        <w:rPr>
          <w:rFonts w:hint="eastAsia" w:ascii="宋体" w:hAnsi="宋体" w:eastAsia="宋体" w:cs="宋体"/>
        </w:rPr>
        <w:t>额定电压：AC220~240V；</w:t>
      </w:r>
    </w:p>
    <w:p w14:paraId="57D94DD2">
      <w:pPr>
        <w:pStyle w:val="12"/>
        <w:ind w:firstLine="420"/>
        <w:rPr>
          <w:rFonts w:hint="eastAsia" w:ascii="宋体" w:hAnsi="宋体" w:eastAsia="宋体" w:cs="宋体"/>
        </w:rPr>
      </w:pPr>
      <w:r>
        <w:rPr>
          <w:rFonts w:hint="eastAsia" w:ascii="宋体" w:hAnsi="宋体" w:eastAsia="宋体" w:cs="宋体"/>
        </w:rPr>
        <w:t>频率：50/60HZ；</w:t>
      </w:r>
    </w:p>
    <w:p w14:paraId="468B6654">
      <w:pPr>
        <w:pStyle w:val="12"/>
        <w:ind w:firstLine="420"/>
        <w:rPr>
          <w:rFonts w:hint="eastAsia" w:ascii="宋体" w:hAnsi="宋体" w:eastAsia="宋体" w:cs="宋体"/>
        </w:rPr>
      </w:pPr>
      <w:r>
        <w:rPr>
          <w:rFonts w:hint="eastAsia" w:ascii="宋体" w:hAnsi="宋体" w:eastAsia="宋体" w:cs="宋体"/>
        </w:rPr>
        <w:t>光束角：15°24°38°具体以设计文件及物料表要求为准；</w:t>
      </w:r>
    </w:p>
    <w:p w14:paraId="6CE173B6">
      <w:pPr>
        <w:pStyle w:val="12"/>
        <w:ind w:firstLine="420"/>
        <w:rPr>
          <w:rFonts w:hint="eastAsia" w:ascii="宋体" w:hAnsi="宋体" w:eastAsia="宋体" w:cs="宋体"/>
        </w:rPr>
      </w:pPr>
      <w:r>
        <w:rPr>
          <w:rFonts w:hint="eastAsia" w:ascii="宋体" w:hAnsi="宋体" w:eastAsia="宋体" w:cs="宋体"/>
        </w:rPr>
        <w:t>常用色温：3000K~6000K；</w:t>
      </w:r>
    </w:p>
    <w:p w14:paraId="20210D19">
      <w:pPr>
        <w:pStyle w:val="12"/>
        <w:ind w:firstLine="420"/>
        <w:rPr>
          <w:rFonts w:hint="eastAsia" w:ascii="宋体" w:hAnsi="宋体" w:eastAsia="宋体" w:cs="宋体"/>
        </w:rPr>
      </w:pPr>
      <w:r>
        <w:rPr>
          <w:rFonts w:hint="eastAsia" w:ascii="宋体" w:hAnsi="宋体" w:eastAsia="宋体" w:cs="宋体"/>
        </w:rPr>
        <w:t>色容差：SDCM≤7；</w:t>
      </w:r>
    </w:p>
    <w:p w14:paraId="2F0034DA">
      <w:pPr>
        <w:pStyle w:val="12"/>
        <w:ind w:firstLine="420"/>
        <w:rPr>
          <w:rFonts w:hint="eastAsia" w:ascii="宋体" w:hAnsi="宋体" w:eastAsia="宋体" w:cs="宋体"/>
        </w:rPr>
      </w:pPr>
      <w:r>
        <w:rPr>
          <w:rFonts w:hint="eastAsia" w:ascii="宋体" w:hAnsi="宋体" w:eastAsia="宋体" w:cs="宋体"/>
        </w:rPr>
        <w:t>眩光值：UGR＜22；</w:t>
      </w:r>
    </w:p>
    <w:p w14:paraId="35F84E96">
      <w:pPr>
        <w:pStyle w:val="12"/>
        <w:ind w:firstLine="420"/>
        <w:rPr>
          <w:rFonts w:hint="eastAsia" w:ascii="宋体" w:hAnsi="宋体" w:eastAsia="宋体" w:cs="宋体"/>
        </w:rPr>
      </w:pPr>
      <w:r>
        <w:rPr>
          <w:rFonts w:hint="eastAsia" w:ascii="宋体" w:hAnsi="宋体" w:eastAsia="宋体" w:cs="宋体"/>
        </w:rPr>
        <w:t>以上仅为主要灯具技术要求，其它未明确的灯具要求参见以下要求执行。</w:t>
      </w:r>
    </w:p>
    <w:p w14:paraId="11EB9D99">
      <w:pPr>
        <w:pStyle w:val="12"/>
        <w:numPr>
          <w:ilvl w:val="2"/>
          <w:numId w:val="9"/>
        </w:numPr>
        <w:ind w:left="0" w:firstLine="0" w:firstLineChars="0"/>
        <w:rPr>
          <w:rFonts w:hint="eastAsia" w:ascii="宋体" w:hAnsi="宋体" w:eastAsia="宋体" w:cs="宋体"/>
        </w:rPr>
      </w:pPr>
      <w:r>
        <w:rPr>
          <w:rFonts w:hint="eastAsia" w:ascii="宋体" w:hAnsi="宋体" w:eastAsia="宋体" w:cs="宋体"/>
        </w:rPr>
        <w:t>总体要求</w:t>
      </w:r>
    </w:p>
    <w:p w14:paraId="1709A68A">
      <w:pPr>
        <w:pStyle w:val="12"/>
        <w:numPr>
          <w:ilvl w:val="0"/>
          <w:numId w:val="10"/>
        </w:numPr>
        <w:ind w:left="0" w:firstLine="0" w:firstLineChars="0"/>
        <w:rPr>
          <w:rFonts w:hint="eastAsia" w:ascii="宋体" w:hAnsi="宋体" w:eastAsia="宋体" w:cs="宋体"/>
        </w:rPr>
      </w:pPr>
      <w:r>
        <w:rPr>
          <w:rFonts w:hint="eastAsia" w:ascii="宋体" w:hAnsi="宋体" w:eastAsia="宋体" w:cs="宋体"/>
        </w:rPr>
        <w:t>所有灯具采用的光源必须按照设计院图纸要求执行；同时根据应用场景，满足不低于国家及地方规范的要求。</w:t>
      </w:r>
    </w:p>
    <w:p w14:paraId="6846B932">
      <w:pPr>
        <w:pStyle w:val="12"/>
        <w:numPr>
          <w:ilvl w:val="0"/>
          <w:numId w:val="10"/>
        </w:numPr>
        <w:ind w:left="0" w:firstLine="0" w:firstLineChars="0"/>
        <w:rPr>
          <w:rFonts w:hint="eastAsia" w:ascii="宋体" w:hAnsi="宋体" w:eastAsia="宋体" w:cs="宋体"/>
        </w:rPr>
      </w:pPr>
      <w:r>
        <w:rPr>
          <w:rFonts w:hint="eastAsia" w:ascii="宋体" w:hAnsi="宋体" w:eastAsia="宋体" w:cs="宋体"/>
        </w:rPr>
        <w:t>除设计文件中有特殊要求外：同一空间灯具应尽量选择同一色温的灯具；灯框色应与相临材料同色。</w:t>
      </w:r>
    </w:p>
    <w:p w14:paraId="7C3BB4C9">
      <w:pPr>
        <w:pStyle w:val="12"/>
        <w:numPr>
          <w:ilvl w:val="0"/>
          <w:numId w:val="10"/>
        </w:numPr>
        <w:ind w:left="0" w:firstLine="0" w:firstLineChars="0"/>
        <w:rPr>
          <w:rFonts w:hint="eastAsia" w:ascii="宋体" w:hAnsi="宋体" w:eastAsia="宋体" w:cs="宋体"/>
        </w:rPr>
      </w:pPr>
      <w:r>
        <w:rPr>
          <w:rFonts w:hint="eastAsia" w:ascii="宋体" w:hAnsi="宋体" w:eastAsia="宋体" w:cs="宋体"/>
        </w:rPr>
        <w:t>灯具数量应根据设计院施工图图纸由中标人负责清点。</w:t>
      </w:r>
    </w:p>
    <w:p w14:paraId="19938C5E">
      <w:pPr>
        <w:pStyle w:val="12"/>
        <w:numPr>
          <w:ilvl w:val="2"/>
          <w:numId w:val="9"/>
        </w:numPr>
        <w:ind w:left="0" w:firstLine="0" w:firstLineChars="0"/>
        <w:rPr>
          <w:rFonts w:hint="eastAsia" w:ascii="宋体" w:hAnsi="宋体" w:eastAsia="宋体" w:cs="宋体"/>
        </w:rPr>
      </w:pPr>
      <w:r>
        <w:rPr>
          <w:rFonts w:hint="eastAsia" w:ascii="宋体" w:hAnsi="宋体" w:eastAsia="宋体" w:cs="宋体"/>
        </w:rPr>
        <w:t>LED灯具技术要求</w:t>
      </w:r>
    </w:p>
    <w:p w14:paraId="4C7CA3AD">
      <w:pPr>
        <w:pStyle w:val="12"/>
        <w:numPr>
          <w:ilvl w:val="0"/>
          <w:numId w:val="11"/>
        </w:numPr>
        <w:ind w:left="0" w:firstLine="0" w:firstLineChars="0"/>
        <w:rPr>
          <w:rFonts w:hint="eastAsia" w:ascii="宋体" w:hAnsi="宋体" w:eastAsia="宋体" w:cs="宋体"/>
        </w:rPr>
      </w:pPr>
      <w:r>
        <w:rPr>
          <w:rFonts w:hint="eastAsia" w:ascii="宋体" w:hAnsi="宋体" w:eastAsia="宋体" w:cs="宋体"/>
        </w:rPr>
        <w:t>LED灯具环境条件</w:t>
      </w:r>
    </w:p>
    <w:p w14:paraId="64A00028">
      <w:pPr>
        <w:pStyle w:val="12"/>
        <w:ind w:firstLine="420"/>
        <w:rPr>
          <w:rFonts w:hint="eastAsia" w:ascii="宋体" w:hAnsi="宋体" w:eastAsia="宋体" w:cs="宋体"/>
        </w:rPr>
      </w:pPr>
      <w:r>
        <w:rPr>
          <w:rFonts w:hint="eastAsia" w:ascii="宋体" w:hAnsi="宋体" w:eastAsia="宋体" w:cs="宋体"/>
        </w:rPr>
        <w:t>1）产品在温度-10℃~40℃范围内能可靠的工作。</w:t>
      </w:r>
    </w:p>
    <w:p w14:paraId="6932F657">
      <w:pPr>
        <w:pStyle w:val="12"/>
        <w:ind w:firstLine="420"/>
        <w:rPr>
          <w:rFonts w:hint="eastAsia" w:ascii="宋体" w:hAnsi="宋体" w:eastAsia="宋体" w:cs="宋体"/>
        </w:rPr>
      </w:pPr>
      <w:r>
        <w:rPr>
          <w:rFonts w:hint="eastAsia" w:ascii="宋体" w:hAnsi="宋体" w:eastAsia="宋体" w:cs="宋体"/>
        </w:rPr>
        <w:t>2）产品在温度-40℃~80℃范围内能可靠存储。</w:t>
      </w:r>
    </w:p>
    <w:p w14:paraId="63215274">
      <w:pPr>
        <w:pStyle w:val="12"/>
        <w:ind w:firstLine="420"/>
        <w:rPr>
          <w:rFonts w:hint="eastAsia" w:ascii="宋体" w:hAnsi="宋体" w:eastAsia="宋体" w:cs="宋体"/>
        </w:rPr>
      </w:pPr>
      <w:r>
        <w:rPr>
          <w:rFonts w:hint="eastAsia" w:ascii="宋体" w:hAnsi="宋体" w:eastAsia="宋体" w:cs="宋体"/>
        </w:rPr>
        <w:t>3）产品在相对湿度≤85%RH能可靠工作。</w:t>
      </w:r>
    </w:p>
    <w:p w14:paraId="106506BB">
      <w:pPr>
        <w:pStyle w:val="12"/>
        <w:ind w:firstLine="420"/>
        <w:rPr>
          <w:rFonts w:hint="eastAsia" w:ascii="宋体" w:hAnsi="宋体" w:eastAsia="宋体" w:cs="宋体"/>
        </w:rPr>
      </w:pPr>
      <w:r>
        <w:rPr>
          <w:rFonts w:hint="eastAsia" w:ascii="宋体" w:hAnsi="宋体" w:eastAsia="宋体" w:cs="宋体"/>
        </w:rPr>
        <w:t>4）产品间歇暴露在震动条件下不会危害到产品的正常工作。</w:t>
      </w:r>
    </w:p>
    <w:p w14:paraId="0EBFFE91">
      <w:pPr>
        <w:pStyle w:val="12"/>
        <w:ind w:firstLine="420"/>
        <w:rPr>
          <w:rFonts w:hint="eastAsia" w:ascii="宋体" w:hAnsi="宋体" w:eastAsia="宋体" w:cs="宋体"/>
        </w:rPr>
      </w:pPr>
      <w:r>
        <w:rPr>
          <w:rFonts w:hint="eastAsia" w:ascii="宋体" w:hAnsi="宋体" w:eastAsia="宋体" w:cs="宋体"/>
        </w:rPr>
        <w:t>5）产品在搬运期间遭受的自由跌落不会危害到产品的正常工作。</w:t>
      </w:r>
    </w:p>
    <w:p w14:paraId="7695B0DA">
      <w:pPr>
        <w:pStyle w:val="12"/>
        <w:ind w:firstLine="420"/>
        <w:rPr>
          <w:rFonts w:hint="eastAsia" w:ascii="宋体" w:hAnsi="宋体" w:eastAsia="宋体" w:cs="宋体"/>
        </w:rPr>
      </w:pPr>
      <w:r>
        <w:rPr>
          <w:rFonts w:hint="eastAsia" w:ascii="宋体" w:hAnsi="宋体" w:eastAsia="宋体" w:cs="宋体"/>
        </w:rPr>
        <w:t>6）产品在大气压力86-106KPA范围内能可靠工作。</w:t>
      </w:r>
    </w:p>
    <w:p w14:paraId="67AE9387">
      <w:pPr>
        <w:pStyle w:val="12"/>
        <w:numPr>
          <w:ilvl w:val="0"/>
          <w:numId w:val="11"/>
        </w:numPr>
        <w:ind w:left="0" w:firstLine="0" w:firstLineChars="0"/>
        <w:rPr>
          <w:rFonts w:hint="eastAsia" w:ascii="宋体" w:hAnsi="宋体" w:eastAsia="宋体" w:cs="宋体"/>
        </w:rPr>
      </w:pPr>
      <w:r>
        <w:rPr>
          <w:rFonts w:hint="eastAsia" w:ascii="宋体" w:hAnsi="宋体" w:eastAsia="宋体" w:cs="宋体"/>
        </w:rPr>
        <w:t>LED灯具光源芯片要求</w:t>
      </w:r>
    </w:p>
    <w:p w14:paraId="2F5E9775">
      <w:pPr>
        <w:pStyle w:val="12"/>
        <w:ind w:firstLine="420"/>
        <w:rPr>
          <w:rFonts w:hint="eastAsia" w:ascii="宋体" w:hAnsi="宋体" w:eastAsia="宋体" w:cs="宋体"/>
        </w:rPr>
      </w:pPr>
      <w:r>
        <w:rPr>
          <w:rFonts w:hint="eastAsia" w:ascii="宋体" w:hAnsi="宋体" w:eastAsia="宋体" w:cs="宋体"/>
        </w:rPr>
        <w:t>灯具光源/芯片相关要求：</w:t>
      </w:r>
    </w:p>
    <w:p w14:paraId="5AE52F2E">
      <w:pPr>
        <w:pStyle w:val="12"/>
        <w:ind w:firstLine="420"/>
        <w:rPr>
          <w:rFonts w:hint="eastAsia" w:ascii="宋体" w:hAnsi="宋体" w:eastAsia="宋体" w:cs="宋体"/>
        </w:rPr>
      </w:pPr>
      <w:r>
        <w:rPr>
          <w:rFonts w:hint="eastAsia" w:ascii="宋体" w:hAnsi="宋体" w:eastAsia="宋体" w:cs="宋体"/>
        </w:rPr>
        <w:t>芯片采用国际或国内知名品牌芯片;以上均需原厂芯片，原厂封装。</w:t>
      </w:r>
    </w:p>
    <w:p w14:paraId="254FE316">
      <w:pPr>
        <w:pStyle w:val="12"/>
        <w:numPr>
          <w:ilvl w:val="0"/>
          <w:numId w:val="11"/>
        </w:numPr>
        <w:ind w:left="0" w:firstLine="0" w:firstLineChars="0"/>
        <w:rPr>
          <w:rFonts w:hint="eastAsia" w:ascii="宋体" w:hAnsi="宋体" w:eastAsia="宋体" w:cs="宋体"/>
        </w:rPr>
      </w:pPr>
      <w:r>
        <w:rPr>
          <w:rFonts w:hint="eastAsia" w:ascii="宋体" w:hAnsi="宋体" w:eastAsia="宋体" w:cs="宋体"/>
        </w:rPr>
        <w:t>LED灯具、光源具体要求</w:t>
      </w:r>
    </w:p>
    <w:p w14:paraId="04C781A3">
      <w:pPr>
        <w:pStyle w:val="12"/>
        <w:ind w:firstLine="420"/>
        <w:rPr>
          <w:rFonts w:hint="eastAsia" w:ascii="宋体" w:hAnsi="宋体" w:eastAsia="宋体" w:cs="宋体"/>
        </w:rPr>
      </w:pPr>
      <w:r>
        <w:rPr>
          <w:rFonts w:hint="eastAsia" w:ascii="宋体" w:hAnsi="宋体" w:eastAsia="宋体" w:cs="宋体"/>
        </w:rPr>
        <w:t>1）LED灯及灯具应符合GB7000、GB4208系列国家标准及具有3C认证，具备产品型式试验报告，或者委托试验报告。灯带驱动器应为照明类3C认证产品。</w:t>
      </w:r>
    </w:p>
    <w:p w14:paraId="74C4F7FE">
      <w:pPr>
        <w:pStyle w:val="12"/>
        <w:ind w:firstLine="420"/>
        <w:rPr>
          <w:rFonts w:hint="eastAsia" w:ascii="宋体" w:hAnsi="宋体" w:eastAsia="宋体" w:cs="宋体"/>
        </w:rPr>
      </w:pPr>
      <w:r>
        <w:rPr>
          <w:rFonts w:hint="eastAsia" w:ascii="宋体" w:hAnsi="宋体" w:eastAsia="宋体" w:cs="宋体"/>
        </w:rPr>
        <w:t>2）灯具基本参数</w:t>
      </w:r>
    </w:p>
    <w:p w14:paraId="436ACACD">
      <w:pPr>
        <w:pStyle w:val="12"/>
        <w:ind w:firstLine="420"/>
        <w:rPr>
          <w:rFonts w:hint="eastAsia" w:ascii="宋体" w:hAnsi="宋体" w:eastAsia="宋体" w:cs="宋体"/>
        </w:rPr>
      </w:pPr>
      <w:r>
        <w:rPr>
          <w:rFonts w:hint="eastAsia" w:ascii="宋体" w:hAnsi="宋体" w:eastAsia="宋体" w:cs="宋体"/>
        </w:rPr>
        <w:t>（1）额定电压：AC220~240V；</w:t>
      </w:r>
    </w:p>
    <w:p w14:paraId="72F2FA4E">
      <w:pPr>
        <w:pStyle w:val="12"/>
        <w:ind w:firstLine="420"/>
        <w:rPr>
          <w:rFonts w:hint="eastAsia" w:ascii="宋体" w:hAnsi="宋体" w:eastAsia="宋体" w:cs="宋体"/>
        </w:rPr>
      </w:pPr>
      <w:r>
        <w:rPr>
          <w:rFonts w:hint="eastAsia" w:ascii="宋体" w:hAnsi="宋体" w:eastAsia="宋体" w:cs="宋体"/>
        </w:rPr>
        <w:t>（2）频率：50/60HZ；</w:t>
      </w:r>
    </w:p>
    <w:p w14:paraId="6E796863">
      <w:pPr>
        <w:pStyle w:val="12"/>
        <w:ind w:firstLine="420"/>
        <w:rPr>
          <w:rFonts w:hint="eastAsia" w:ascii="宋体" w:hAnsi="宋体" w:eastAsia="宋体" w:cs="宋体"/>
        </w:rPr>
      </w:pPr>
      <w:r>
        <w:rPr>
          <w:rFonts w:hint="eastAsia" w:ascii="宋体" w:hAnsi="宋体" w:eastAsia="宋体" w:cs="宋体"/>
        </w:rPr>
        <w:t>（3）光束角：15°24°38°具体以设计文件及物料表要求为准；</w:t>
      </w:r>
    </w:p>
    <w:p w14:paraId="42A68717">
      <w:pPr>
        <w:pStyle w:val="12"/>
        <w:ind w:firstLine="420"/>
        <w:rPr>
          <w:rFonts w:hint="eastAsia" w:ascii="宋体" w:hAnsi="宋体" w:eastAsia="宋体" w:cs="宋体"/>
        </w:rPr>
      </w:pPr>
      <w:r>
        <w:rPr>
          <w:rFonts w:hint="eastAsia" w:ascii="宋体" w:hAnsi="宋体" w:eastAsia="宋体" w:cs="宋体"/>
        </w:rPr>
        <w:t>（4）常用色温：3000K~6000K；</w:t>
      </w:r>
    </w:p>
    <w:p w14:paraId="09995134">
      <w:pPr>
        <w:pStyle w:val="12"/>
        <w:ind w:firstLine="420"/>
        <w:rPr>
          <w:rFonts w:hint="eastAsia" w:ascii="宋体" w:hAnsi="宋体" w:eastAsia="宋体" w:cs="宋体"/>
        </w:rPr>
      </w:pPr>
      <w:r>
        <w:rPr>
          <w:rFonts w:hint="eastAsia" w:ascii="宋体" w:hAnsi="宋体" w:eastAsia="宋体" w:cs="宋体"/>
        </w:rPr>
        <w:t>（5）色容差：SDCM≤7；</w:t>
      </w:r>
    </w:p>
    <w:p w14:paraId="59CCF52E">
      <w:pPr>
        <w:pStyle w:val="12"/>
        <w:ind w:firstLine="420"/>
        <w:rPr>
          <w:rFonts w:hint="eastAsia" w:ascii="宋体" w:hAnsi="宋体" w:eastAsia="宋体" w:cs="宋体"/>
        </w:rPr>
      </w:pPr>
      <w:r>
        <w:rPr>
          <w:rFonts w:hint="eastAsia" w:ascii="宋体" w:hAnsi="宋体" w:eastAsia="宋体" w:cs="宋体"/>
        </w:rPr>
        <w:t>（6）眩光值：UGR＜22；</w:t>
      </w:r>
    </w:p>
    <w:p w14:paraId="26E6D5E1">
      <w:pPr>
        <w:pStyle w:val="12"/>
        <w:ind w:firstLine="420"/>
        <w:rPr>
          <w:rFonts w:hint="eastAsia" w:ascii="宋体" w:hAnsi="宋体" w:eastAsia="宋体" w:cs="宋体"/>
        </w:rPr>
      </w:pPr>
      <w:r>
        <w:rPr>
          <w:rFonts w:hint="eastAsia" w:ascii="宋体" w:hAnsi="宋体" w:eastAsia="宋体" w:cs="宋体"/>
        </w:rPr>
        <w:t>（7）显色性：Ra&gt;80；</w:t>
      </w:r>
    </w:p>
    <w:p w14:paraId="00A7EF5C">
      <w:pPr>
        <w:pStyle w:val="12"/>
        <w:ind w:firstLine="420"/>
        <w:rPr>
          <w:rFonts w:hint="eastAsia" w:ascii="宋体" w:hAnsi="宋体" w:eastAsia="宋体" w:cs="宋体"/>
        </w:rPr>
      </w:pPr>
      <w:r>
        <w:rPr>
          <w:rFonts w:hint="eastAsia" w:ascii="宋体" w:hAnsi="宋体" w:eastAsia="宋体" w:cs="宋体"/>
        </w:rPr>
        <w:t>（8）额定光衰：小于10% within 10,000 小时（hrs）；</w:t>
      </w:r>
    </w:p>
    <w:p w14:paraId="45964F00">
      <w:pPr>
        <w:pStyle w:val="12"/>
        <w:ind w:firstLine="420"/>
        <w:rPr>
          <w:rFonts w:hint="eastAsia" w:ascii="宋体" w:hAnsi="宋体" w:eastAsia="宋体" w:cs="宋体"/>
        </w:rPr>
      </w:pPr>
      <w:r>
        <w:rPr>
          <w:rFonts w:hint="eastAsia" w:ascii="宋体" w:hAnsi="宋体" w:eastAsia="宋体" w:cs="宋体"/>
        </w:rPr>
        <w:t>（9）光效：大于70lm/w（特殊情况可做说明）。</w:t>
      </w:r>
    </w:p>
    <w:p w14:paraId="32617DC8">
      <w:pPr>
        <w:pStyle w:val="12"/>
        <w:ind w:firstLine="420"/>
        <w:rPr>
          <w:rFonts w:hint="eastAsia" w:ascii="宋体" w:hAnsi="宋体" w:eastAsia="宋体" w:cs="宋体"/>
        </w:rPr>
      </w:pPr>
      <w:r>
        <w:rPr>
          <w:rFonts w:hint="eastAsia" w:ascii="宋体" w:hAnsi="宋体" w:eastAsia="宋体" w:cs="宋体"/>
        </w:rPr>
        <w:t>3）灯具壳体采用铝合金、压铸铝或钢制，表面电镀处理，反射器采用纳米防尘技术。</w:t>
      </w:r>
    </w:p>
    <w:p w14:paraId="61232B3C">
      <w:pPr>
        <w:pStyle w:val="12"/>
        <w:ind w:firstLine="420"/>
        <w:rPr>
          <w:rFonts w:hint="eastAsia" w:ascii="宋体" w:hAnsi="宋体" w:eastAsia="宋体" w:cs="宋体"/>
        </w:rPr>
      </w:pPr>
      <w:r>
        <w:rPr>
          <w:rFonts w:hint="eastAsia" w:ascii="宋体" w:hAnsi="宋体" w:eastAsia="宋体" w:cs="宋体"/>
        </w:rPr>
        <w:t>4）灯具需涂漆色泽均匀，无气孔，无裂缝，无杂质，涂层必须紧紧的粘附在基础材料上。产品各部件表面应光洁，平整，不应有划伤，裂缝，变形等缺陷。</w:t>
      </w:r>
    </w:p>
    <w:p w14:paraId="1D3E84E0">
      <w:pPr>
        <w:pStyle w:val="12"/>
        <w:ind w:firstLine="420"/>
        <w:rPr>
          <w:rFonts w:hint="eastAsia" w:ascii="宋体" w:hAnsi="宋体" w:eastAsia="宋体" w:cs="宋体"/>
        </w:rPr>
      </w:pPr>
      <w:r>
        <w:rPr>
          <w:rFonts w:hint="eastAsia" w:ascii="宋体" w:hAnsi="宋体" w:eastAsia="宋体" w:cs="宋体"/>
        </w:rPr>
        <w:t>5）灯体颜色在 6 年内经久不变黄，不褪色，不脱落，油漆完成面平整、光滑，不应有堆漆、麻点、气泡、漏涂、桔皮以及流淌等现象。</w:t>
      </w:r>
    </w:p>
    <w:p w14:paraId="027C4452">
      <w:pPr>
        <w:pStyle w:val="12"/>
        <w:ind w:firstLine="420"/>
        <w:rPr>
          <w:rFonts w:hint="eastAsia" w:ascii="宋体" w:hAnsi="宋体" w:eastAsia="宋体" w:cs="宋体"/>
        </w:rPr>
      </w:pPr>
      <w:r>
        <w:rPr>
          <w:rFonts w:hint="eastAsia" w:ascii="宋体" w:hAnsi="宋体" w:eastAsia="宋体" w:cs="宋体"/>
        </w:rPr>
        <w:t>6）灯具表面各紧固螺钉应拧紧，边缘应无毛刺和锐边，各链接应牢固无松动，必要时产品要牢固以及密封，符合《GB7000.1-2015》国家标准。</w:t>
      </w:r>
    </w:p>
    <w:p w14:paraId="7455A114">
      <w:pPr>
        <w:pStyle w:val="12"/>
        <w:ind w:firstLine="420"/>
        <w:rPr>
          <w:rFonts w:hint="eastAsia" w:ascii="宋体" w:hAnsi="宋体" w:eastAsia="宋体" w:cs="宋体"/>
        </w:rPr>
      </w:pPr>
      <w:r>
        <w:rPr>
          <w:rFonts w:hint="eastAsia" w:ascii="宋体" w:hAnsi="宋体" w:eastAsia="宋体" w:cs="宋体"/>
        </w:rPr>
        <w:t>7）灯具光圈范围内颜色均匀、没有明显副光斑、没有杂散光、光斑退晕自然等。</w:t>
      </w:r>
    </w:p>
    <w:p w14:paraId="14116B51">
      <w:pPr>
        <w:pStyle w:val="12"/>
        <w:ind w:firstLine="420"/>
        <w:rPr>
          <w:rFonts w:hint="eastAsia" w:ascii="宋体" w:hAnsi="宋体" w:eastAsia="宋体" w:cs="宋体"/>
        </w:rPr>
      </w:pPr>
      <w:r>
        <w:rPr>
          <w:rFonts w:hint="eastAsia" w:ascii="宋体" w:hAnsi="宋体" w:eastAsia="宋体" w:cs="宋体"/>
        </w:rPr>
        <w:t>8）产品在正常环境工作时，铝基电板温度不得超过65℃，COB TC温度不超过85℃，并有过温，过流保护功能。</w:t>
      </w:r>
    </w:p>
    <w:p w14:paraId="7B4EADF5">
      <w:pPr>
        <w:pStyle w:val="12"/>
        <w:ind w:firstLine="420"/>
        <w:rPr>
          <w:rFonts w:hint="eastAsia" w:ascii="宋体" w:hAnsi="宋体" w:eastAsia="宋体" w:cs="宋体"/>
        </w:rPr>
      </w:pPr>
      <w:r>
        <w:rPr>
          <w:rFonts w:hint="eastAsia" w:ascii="宋体" w:hAnsi="宋体" w:eastAsia="宋体" w:cs="宋体"/>
        </w:rPr>
        <w:t>9）产品应具有抗LED异常工作能力，即LED灯具中，每个LED串联组由独立的恒流电力驱动，该恒流电路应保证有LED击穿异常情况下能安全运行，并且电流稳定。</w:t>
      </w:r>
    </w:p>
    <w:p w14:paraId="14747E4D">
      <w:pPr>
        <w:pStyle w:val="12"/>
        <w:ind w:firstLine="420"/>
        <w:rPr>
          <w:rFonts w:hint="eastAsia" w:ascii="宋体" w:hAnsi="宋体" w:eastAsia="宋体" w:cs="宋体"/>
        </w:rPr>
      </w:pPr>
      <w:r>
        <w:rPr>
          <w:rFonts w:hint="eastAsia" w:ascii="宋体" w:hAnsi="宋体" w:eastAsia="宋体" w:cs="宋体"/>
        </w:rPr>
        <w:t>10）灯具防护等级应满足《GB4208-2017》要求。</w:t>
      </w:r>
    </w:p>
    <w:p w14:paraId="541E11D5">
      <w:pPr>
        <w:pStyle w:val="12"/>
        <w:ind w:firstLine="420"/>
        <w:rPr>
          <w:rFonts w:hint="eastAsia" w:ascii="宋体" w:hAnsi="宋体" w:eastAsia="宋体" w:cs="宋体"/>
        </w:rPr>
      </w:pPr>
      <w:r>
        <w:rPr>
          <w:rFonts w:hint="eastAsia" w:ascii="宋体" w:hAnsi="宋体" w:eastAsia="宋体" w:cs="宋体"/>
        </w:rPr>
        <w:t>11）LED光源的芯片采用功率型LED芯片封装技术，选用低热阻、散热良好、耐高温、抗高压的封装及高折射率、抗劣化封装材料，提高出光效率和降低热阻，保证功率型LED工作的稳定性、可靠性、及高效性。</w:t>
      </w:r>
    </w:p>
    <w:p w14:paraId="209F0B9F">
      <w:pPr>
        <w:pStyle w:val="12"/>
        <w:ind w:firstLine="420"/>
        <w:rPr>
          <w:rFonts w:hint="eastAsia" w:ascii="宋体" w:hAnsi="宋体" w:eastAsia="宋体" w:cs="宋体"/>
        </w:rPr>
      </w:pPr>
      <w:r>
        <w:rPr>
          <w:rFonts w:hint="eastAsia" w:ascii="宋体" w:hAnsi="宋体" w:eastAsia="宋体" w:cs="宋体"/>
        </w:rPr>
        <w:t>12）LED光源及驱动电源寿命：在正常条件下的平均寿命不小于40000小时。</w:t>
      </w:r>
    </w:p>
    <w:p w14:paraId="108D942D">
      <w:pPr>
        <w:pStyle w:val="12"/>
        <w:ind w:firstLine="420"/>
        <w:rPr>
          <w:rFonts w:hint="eastAsia" w:ascii="宋体" w:hAnsi="宋体" w:eastAsia="宋体" w:cs="宋体"/>
        </w:rPr>
      </w:pPr>
      <w:r>
        <w:rPr>
          <w:rFonts w:hint="eastAsia" w:ascii="宋体" w:hAnsi="宋体" w:eastAsia="宋体" w:cs="宋体"/>
        </w:rPr>
        <w:t>13）LED 驱动电源根据具体灯具配置内置或外置驱动电源，电子恒压电源集中供电。该电源必须为灯具标配，不得随意更换。驱动电源必须符合国家相关标准。骚扰电压符合《GB17743-2017》要求。</w:t>
      </w:r>
    </w:p>
    <w:p w14:paraId="227A4BC8">
      <w:pPr>
        <w:pStyle w:val="12"/>
        <w:ind w:firstLine="420"/>
        <w:rPr>
          <w:rFonts w:hint="eastAsia" w:ascii="宋体" w:hAnsi="宋体" w:eastAsia="宋体" w:cs="宋体"/>
        </w:rPr>
      </w:pPr>
      <w:r>
        <w:rPr>
          <w:rFonts w:hint="eastAsia" w:ascii="宋体" w:hAnsi="宋体" w:eastAsia="宋体" w:cs="宋体"/>
        </w:rPr>
        <w:t>a输入电压范围：198V~264V交流 （220V~240V+-10%）；</w:t>
      </w:r>
    </w:p>
    <w:p w14:paraId="48B9EB6E">
      <w:pPr>
        <w:pStyle w:val="12"/>
        <w:ind w:firstLine="420"/>
        <w:rPr>
          <w:rFonts w:hint="eastAsia" w:ascii="宋体" w:hAnsi="宋体" w:eastAsia="宋体" w:cs="宋体"/>
        </w:rPr>
      </w:pPr>
      <w:r>
        <w:rPr>
          <w:rFonts w:hint="eastAsia" w:ascii="宋体" w:hAnsi="宋体" w:eastAsia="宋体" w:cs="宋体"/>
        </w:rPr>
        <w:t>b总谐波THD&lt;=24%；功率因素&gt;0.9; 能效转化率&gt;=85%；</w:t>
      </w:r>
    </w:p>
    <w:p w14:paraId="1F89C882">
      <w:pPr>
        <w:pStyle w:val="12"/>
        <w:ind w:firstLine="420"/>
        <w:rPr>
          <w:rFonts w:hint="eastAsia" w:ascii="宋体" w:hAnsi="宋体" w:eastAsia="宋体" w:cs="宋体"/>
        </w:rPr>
      </w:pPr>
      <w:r>
        <w:rPr>
          <w:rFonts w:hint="eastAsia" w:ascii="宋体" w:hAnsi="宋体" w:eastAsia="宋体" w:cs="宋体"/>
        </w:rPr>
        <w:t>c输出电压精度：≤±1%；</w:t>
      </w:r>
    </w:p>
    <w:p w14:paraId="03DDEC23">
      <w:pPr>
        <w:pStyle w:val="12"/>
        <w:ind w:firstLine="420"/>
        <w:rPr>
          <w:rFonts w:hint="eastAsia" w:ascii="宋体" w:hAnsi="宋体" w:eastAsia="宋体" w:cs="宋体"/>
        </w:rPr>
      </w:pPr>
      <w:r>
        <w:rPr>
          <w:rFonts w:hint="eastAsia" w:ascii="宋体" w:hAnsi="宋体" w:eastAsia="宋体" w:cs="宋体"/>
        </w:rPr>
        <w:t>d纹波峰峰值：≤1%；</w:t>
      </w:r>
    </w:p>
    <w:p w14:paraId="73B8A413">
      <w:pPr>
        <w:pStyle w:val="12"/>
        <w:ind w:firstLine="420"/>
        <w:rPr>
          <w:rFonts w:hint="eastAsia" w:ascii="宋体" w:hAnsi="宋体" w:eastAsia="宋体" w:cs="宋体"/>
        </w:rPr>
      </w:pPr>
      <w:r>
        <w:rPr>
          <w:rFonts w:hint="eastAsia" w:ascii="宋体" w:hAnsi="宋体" w:eastAsia="宋体" w:cs="宋体"/>
        </w:rPr>
        <w:t>e通道输出工作电流：≥350mA并与芯片最大工作电流匹配；</w:t>
      </w:r>
    </w:p>
    <w:p w14:paraId="0D7B50EF">
      <w:pPr>
        <w:pStyle w:val="12"/>
        <w:ind w:firstLine="420"/>
        <w:rPr>
          <w:rFonts w:hint="eastAsia" w:ascii="宋体" w:hAnsi="宋体" w:eastAsia="宋体" w:cs="宋体"/>
        </w:rPr>
      </w:pPr>
      <w:r>
        <w:rPr>
          <w:rFonts w:hint="eastAsia" w:ascii="宋体" w:hAnsi="宋体" w:eastAsia="宋体" w:cs="宋体"/>
        </w:rPr>
        <w:t>f芯片间电流差：≤±6%；</w:t>
      </w:r>
    </w:p>
    <w:p w14:paraId="4EDCA72E">
      <w:pPr>
        <w:pStyle w:val="12"/>
        <w:ind w:firstLine="420"/>
        <w:rPr>
          <w:rFonts w:hint="eastAsia" w:ascii="宋体" w:hAnsi="宋体" w:eastAsia="宋体" w:cs="宋体"/>
        </w:rPr>
      </w:pPr>
      <w:r>
        <w:rPr>
          <w:rFonts w:hint="eastAsia" w:ascii="宋体" w:hAnsi="宋体" w:eastAsia="宋体" w:cs="宋体"/>
        </w:rPr>
        <w:t>g通道间电流差：≤±3%；</w:t>
      </w:r>
    </w:p>
    <w:p w14:paraId="02067F0F">
      <w:pPr>
        <w:pStyle w:val="12"/>
        <w:ind w:firstLine="420"/>
        <w:rPr>
          <w:rFonts w:hint="eastAsia" w:ascii="宋体" w:hAnsi="宋体" w:eastAsia="宋体" w:cs="宋体"/>
        </w:rPr>
      </w:pPr>
      <w:r>
        <w:rPr>
          <w:rFonts w:hint="eastAsia" w:ascii="宋体" w:hAnsi="宋体" w:eastAsia="宋体" w:cs="宋体"/>
        </w:rPr>
        <w:t>h具有输入过电压保护，输出开路等保护。</w:t>
      </w:r>
    </w:p>
    <w:p w14:paraId="4E4512C7">
      <w:pPr>
        <w:pStyle w:val="12"/>
        <w:ind w:firstLine="420"/>
        <w:rPr>
          <w:rFonts w:hint="eastAsia" w:ascii="宋体" w:hAnsi="宋体" w:eastAsia="宋体" w:cs="宋体"/>
        </w:rPr>
      </w:pPr>
      <w:r>
        <w:rPr>
          <w:rFonts w:hint="eastAsia" w:ascii="宋体" w:hAnsi="宋体" w:eastAsia="宋体" w:cs="宋体"/>
        </w:rPr>
        <w:t>14）LED灯具外壳温度满载负荷两小时后，温度升高不大于50℃。</w:t>
      </w:r>
    </w:p>
    <w:p w14:paraId="4AEE3C34">
      <w:pPr>
        <w:pStyle w:val="12"/>
        <w:ind w:firstLine="420"/>
        <w:rPr>
          <w:rFonts w:hint="eastAsia" w:ascii="宋体" w:hAnsi="宋体" w:eastAsia="宋体" w:cs="宋体"/>
        </w:rPr>
      </w:pPr>
      <w:r>
        <w:rPr>
          <w:rFonts w:hint="eastAsia" w:ascii="宋体" w:hAnsi="宋体" w:eastAsia="宋体" w:cs="宋体"/>
        </w:rPr>
        <w:t>15）灯具在其额定电压下工作时，其光输出波形的波动深度应不大于以下限值：</w:t>
      </w:r>
    </w:p>
    <w:p w14:paraId="3088748D">
      <w:pPr>
        <w:pStyle w:val="12"/>
        <w:ind w:firstLine="420"/>
        <w:rPr>
          <w:rFonts w:hint="eastAsia" w:ascii="宋体" w:hAnsi="宋体" w:eastAsia="宋体" w:cs="宋体"/>
        </w:rPr>
      </w:pPr>
      <w:r>
        <w:rPr>
          <w:rFonts w:hint="eastAsia" w:ascii="宋体" w:hAnsi="宋体" w:eastAsia="宋体" w:cs="宋体"/>
        </w:rPr>
        <w:t>a当光输出波形频率f≤10Hz 时，波动深度限值: 0.1 %；</w:t>
      </w:r>
    </w:p>
    <w:p w14:paraId="7DEC2102">
      <w:pPr>
        <w:pStyle w:val="12"/>
        <w:ind w:firstLine="420"/>
        <w:rPr>
          <w:rFonts w:hint="eastAsia" w:ascii="宋体" w:hAnsi="宋体" w:eastAsia="宋体" w:cs="宋体"/>
        </w:rPr>
      </w:pPr>
      <w:r>
        <w:rPr>
          <w:rFonts w:hint="eastAsia" w:ascii="宋体" w:hAnsi="宋体" w:eastAsia="宋体" w:cs="宋体"/>
        </w:rPr>
        <w:t>b当光输出波形频率10Hz＜f≤90Hz时，波动深度限值:（f×0.01）%；</w:t>
      </w:r>
    </w:p>
    <w:p w14:paraId="66BB371F">
      <w:pPr>
        <w:pStyle w:val="12"/>
        <w:ind w:firstLine="420"/>
        <w:rPr>
          <w:rFonts w:hint="eastAsia" w:ascii="宋体" w:hAnsi="宋体" w:eastAsia="宋体" w:cs="宋体"/>
        </w:rPr>
      </w:pPr>
      <w:r>
        <w:rPr>
          <w:rFonts w:hint="eastAsia" w:ascii="宋体" w:hAnsi="宋体" w:eastAsia="宋体" w:cs="宋体"/>
        </w:rPr>
        <w:t>c当光输出波形频率90Hz＜f≤3125Hz时，波动深度限值:（f×0.08/2.5）%；</w:t>
      </w:r>
    </w:p>
    <w:p w14:paraId="373E8198">
      <w:pPr>
        <w:pStyle w:val="12"/>
        <w:ind w:firstLine="420"/>
        <w:rPr>
          <w:rFonts w:hint="eastAsia" w:ascii="宋体" w:hAnsi="宋体" w:eastAsia="宋体" w:cs="宋体"/>
        </w:rPr>
      </w:pPr>
      <w:r>
        <w:rPr>
          <w:rFonts w:hint="eastAsia" w:ascii="宋体" w:hAnsi="宋体" w:eastAsia="宋体" w:cs="宋体"/>
        </w:rPr>
        <w:t>d当光输出波形频率3125Hz＜f时，波动深度限值: 免除考核。</w:t>
      </w:r>
    </w:p>
    <w:p w14:paraId="73FE7C2F">
      <w:pPr>
        <w:pStyle w:val="12"/>
        <w:ind w:firstLine="420"/>
        <w:rPr>
          <w:rFonts w:hint="eastAsia" w:ascii="宋体" w:hAnsi="宋体" w:eastAsia="宋体" w:cs="宋体"/>
        </w:rPr>
      </w:pPr>
      <w:r>
        <w:rPr>
          <w:rFonts w:hint="eastAsia" w:ascii="宋体" w:hAnsi="宋体" w:eastAsia="宋体" w:cs="宋体"/>
        </w:rPr>
        <w:t>16）所有灯具达到《GBT 20145-2006》中“无危险”级别。</w:t>
      </w:r>
    </w:p>
    <w:p w14:paraId="04EEFA5C">
      <w:pPr>
        <w:pStyle w:val="12"/>
        <w:ind w:firstLine="420"/>
        <w:rPr>
          <w:rFonts w:hint="eastAsia" w:ascii="宋体" w:hAnsi="宋体" w:eastAsia="宋体" w:cs="宋体"/>
        </w:rPr>
      </w:pPr>
      <w:r>
        <w:rPr>
          <w:rFonts w:hint="eastAsia" w:ascii="宋体" w:hAnsi="宋体" w:eastAsia="宋体" w:cs="宋体"/>
        </w:rPr>
        <w:t>17）灯具内部连接导线均应采用不小于0.5 平方毫米的阻燃耐温（105℃）导线连接。</w:t>
      </w:r>
    </w:p>
    <w:p w14:paraId="5F074275">
      <w:pPr>
        <w:pStyle w:val="4"/>
        <w:rPr>
          <w:rFonts w:hint="eastAsia" w:ascii="宋体" w:hAnsi="宋体" w:eastAsia="宋体" w:cs="宋体"/>
        </w:rPr>
      </w:pPr>
      <w:bookmarkStart w:id="18" w:name="_Toc15355"/>
      <w:r>
        <w:rPr>
          <w:rFonts w:hint="eastAsia" w:ascii="宋体" w:hAnsi="宋体" w:eastAsia="宋体" w:cs="宋体"/>
        </w:rPr>
        <w:t>埋地式电力电缆用氯化聚氯乙烯（PVC-C）套管</w:t>
      </w:r>
      <w:bookmarkEnd w:id="18"/>
    </w:p>
    <w:p w14:paraId="348D74B2">
      <w:pPr>
        <w:pStyle w:val="5"/>
        <w:rPr>
          <w:rFonts w:hint="eastAsia" w:ascii="宋体" w:hAnsi="宋体" w:eastAsia="宋体" w:cs="宋体"/>
        </w:rPr>
      </w:pPr>
      <w:r>
        <w:rPr>
          <w:rFonts w:hint="eastAsia" w:ascii="宋体" w:hAnsi="宋体" w:eastAsia="宋体" w:cs="宋体"/>
        </w:rPr>
        <w:t>总体要求</w:t>
      </w:r>
    </w:p>
    <w:p w14:paraId="31C2A39C">
      <w:pPr>
        <w:pStyle w:val="12"/>
        <w:ind w:firstLine="420"/>
        <w:rPr>
          <w:rFonts w:hint="eastAsia" w:ascii="宋体" w:hAnsi="宋体" w:eastAsia="宋体" w:cs="宋体"/>
        </w:rPr>
      </w:pPr>
      <w:r>
        <w:rPr>
          <w:rFonts w:hint="eastAsia" w:ascii="宋体" w:hAnsi="宋体" w:eastAsia="宋体" w:cs="宋体"/>
        </w:rPr>
        <w:t>应符合的国家及行业标准（国家、地方或行业规范、规程、标准，如在招投标或现场使用中存在相互重叠或矛盾的内容，按较高质量标准执行；当有国家新标准时，按新标准执行）</w:t>
      </w:r>
    </w:p>
    <w:p w14:paraId="397E9B38">
      <w:pPr>
        <w:pStyle w:val="12"/>
        <w:ind w:firstLine="420"/>
        <w:rPr>
          <w:rFonts w:hint="eastAsia" w:ascii="宋体" w:hAnsi="宋体" w:eastAsia="宋体" w:cs="宋体"/>
        </w:rPr>
      </w:pPr>
      <w:r>
        <w:rPr>
          <w:rFonts w:hint="eastAsia" w:ascii="宋体" w:hAnsi="宋体" w:eastAsia="宋体" w:cs="宋体"/>
        </w:rPr>
        <w:t>应遵循的主要现行标准</w:t>
      </w:r>
    </w:p>
    <w:p w14:paraId="49158577">
      <w:pPr>
        <w:pStyle w:val="12"/>
        <w:ind w:firstLine="420"/>
        <w:rPr>
          <w:rFonts w:hint="eastAsia" w:ascii="宋体" w:hAnsi="宋体" w:eastAsia="宋体" w:cs="宋体"/>
        </w:rPr>
      </w:pPr>
      <w:r>
        <w:rPr>
          <w:rFonts w:hint="eastAsia" w:ascii="宋体" w:hAnsi="宋体" w:eastAsia="宋体" w:cs="宋体"/>
        </w:rPr>
        <w:t>DL/T 802.1-2007电力电缆用导管技术条件第1部分:总则</w:t>
      </w:r>
    </w:p>
    <w:p w14:paraId="59AE0311">
      <w:pPr>
        <w:pStyle w:val="12"/>
        <w:ind w:firstLine="420"/>
        <w:rPr>
          <w:rFonts w:hint="eastAsia" w:ascii="宋体" w:hAnsi="宋体" w:eastAsia="宋体" w:cs="宋体"/>
        </w:rPr>
      </w:pPr>
      <w:r>
        <w:rPr>
          <w:rFonts w:hint="eastAsia" w:ascii="宋体" w:hAnsi="宋体" w:eastAsia="宋体" w:cs="宋体"/>
        </w:rPr>
        <w:t>DL/T 802.3-2007电力电缆用导管技术条件第3部分:氯化聚氯乙烯及硬聚氯乙烯</w:t>
      </w:r>
    </w:p>
    <w:p w14:paraId="03B87F0B">
      <w:pPr>
        <w:pStyle w:val="12"/>
        <w:ind w:firstLine="420"/>
        <w:rPr>
          <w:rFonts w:hint="eastAsia" w:ascii="宋体" w:hAnsi="宋体" w:eastAsia="宋体" w:cs="宋体"/>
        </w:rPr>
      </w:pPr>
      <w:r>
        <w:rPr>
          <w:rFonts w:hint="eastAsia" w:ascii="宋体" w:hAnsi="宋体" w:eastAsia="宋体" w:cs="宋体"/>
        </w:rPr>
        <w:t>GB/T 2828.1-2003计数抽样检验程序-第1部分:按接收质量限(AQL)检索的逐批检验抽样计划</w:t>
      </w:r>
    </w:p>
    <w:p w14:paraId="57EE70A2">
      <w:pPr>
        <w:pStyle w:val="12"/>
        <w:ind w:firstLine="420"/>
        <w:rPr>
          <w:rFonts w:hint="eastAsia" w:ascii="宋体" w:hAnsi="宋体" w:eastAsia="宋体" w:cs="宋体"/>
        </w:rPr>
      </w:pPr>
      <w:r>
        <w:rPr>
          <w:rFonts w:hint="eastAsia" w:ascii="宋体" w:hAnsi="宋体" w:eastAsia="宋体" w:cs="宋体"/>
        </w:rPr>
        <w:t>GB/T 2829-2002周期检验计数抽样程序及表(适用于对过程稳定性的检验)</w:t>
      </w:r>
    </w:p>
    <w:p w14:paraId="7163D40F">
      <w:pPr>
        <w:pStyle w:val="12"/>
        <w:ind w:firstLine="420"/>
        <w:rPr>
          <w:rFonts w:hint="eastAsia" w:ascii="宋体" w:hAnsi="宋体" w:eastAsia="宋体" w:cs="宋体"/>
        </w:rPr>
      </w:pPr>
      <w:r>
        <w:rPr>
          <w:rFonts w:hint="eastAsia" w:ascii="宋体" w:hAnsi="宋体" w:eastAsia="宋体" w:cs="宋体"/>
        </w:rPr>
        <w:t>GB/T2918-1998 塑料试样状态调节和试验的标准环境</w:t>
      </w:r>
    </w:p>
    <w:p w14:paraId="1DCB4228">
      <w:pPr>
        <w:pStyle w:val="12"/>
        <w:ind w:firstLine="420"/>
        <w:rPr>
          <w:rFonts w:hint="eastAsia" w:ascii="宋体" w:hAnsi="宋体" w:eastAsia="宋体" w:cs="宋体"/>
        </w:rPr>
      </w:pPr>
      <w:r>
        <w:rPr>
          <w:rFonts w:hint="eastAsia" w:ascii="宋体" w:hAnsi="宋体" w:eastAsia="宋体" w:cs="宋体"/>
        </w:rPr>
        <w:t>GB/T 6671-2001 热塑性塑料管材纵向回缩率的测定</w:t>
      </w:r>
    </w:p>
    <w:p w14:paraId="19B5B201">
      <w:pPr>
        <w:pStyle w:val="12"/>
        <w:ind w:firstLine="420"/>
        <w:rPr>
          <w:rFonts w:hint="eastAsia" w:ascii="宋体" w:hAnsi="宋体" w:eastAsia="宋体" w:cs="宋体"/>
        </w:rPr>
      </w:pPr>
      <w:r>
        <w:rPr>
          <w:rFonts w:hint="eastAsia" w:ascii="宋体" w:hAnsi="宋体" w:eastAsia="宋体" w:cs="宋体"/>
        </w:rPr>
        <w:t>GB/T 8802-2001 热塑性塑料管材、管件维卡软化温度的测定</w:t>
      </w:r>
    </w:p>
    <w:p w14:paraId="6A7A900D">
      <w:pPr>
        <w:pStyle w:val="12"/>
        <w:ind w:firstLine="420"/>
        <w:rPr>
          <w:rFonts w:hint="eastAsia" w:ascii="宋体" w:hAnsi="宋体" w:eastAsia="宋体" w:cs="宋体"/>
        </w:rPr>
      </w:pPr>
      <w:r>
        <w:rPr>
          <w:rFonts w:hint="eastAsia" w:ascii="宋体" w:hAnsi="宋体" w:eastAsia="宋体" w:cs="宋体"/>
        </w:rPr>
        <w:t>GB/T 9647-2003 热塑性塑料管材环刚度的测定</w:t>
      </w:r>
    </w:p>
    <w:p w14:paraId="7AF52BB2">
      <w:pPr>
        <w:pStyle w:val="12"/>
        <w:ind w:firstLine="420"/>
        <w:rPr>
          <w:rFonts w:hint="eastAsia" w:ascii="宋体" w:hAnsi="宋体" w:eastAsia="宋体" w:cs="宋体"/>
        </w:rPr>
      </w:pPr>
      <w:r>
        <w:rPr>
          <w:rFonts w:hint="eastAsia" w:ascii="宋体" w:hAnsi="宋体" w:eastAsia="宋体" w:cs="宋体"/>
        </w:rPr>
        <w:t>GB/T 1033-2008 塑料非泡沫塑料密度的测定</w:t>
      </w:r>
    </w:p>
    <w:p w14:paraId="2A9A37DD">
      <w:pPr>
        <w:pStyle w:val="12"/>
        <w:ind w:firstLine="420"/>
        <w:rPr>
          <w:rFonts w:hint="eastAsia" w:ascii="宋体" w:hAnsi="宋体" w:eastAsia="宋体" w:cs="宋体"/>
        </w:rPr>
      </w:pPr>
      <w:r>
        <w:rPr>
          <w:rFonts w:hint="eastAsia" w:ascii="宋体" w:hAnsi="宋体" w:eastAsia="宋体" w:cs="宋体"/>
        </w:rPr>
        <w:t>HG/T 3091-2000 橡胶密封件给、排水管及污水管道用接口密封圈材料规范</w:t>
      </w:r>
    </w:p>
    <w:p w14:paraId="532EA4D5">
      <w:pPr>
        <w:pStyle w:val="5"/>
        <w:rPr>
          <w:rFonts w:hint="eastAsia" w:ascii="宋体" w:hAnsi="宋体" w:eastAsia="宋体" w:cs="宋体"/>
        </w:rPr>
      </w:pPr>
      <w:r>
        <w:rPr>
          <w:rFonts w:hint="eastAsia" w:ascii="宋体" w:hAnsi="宋体" w:eastAsia="宋体" w:cs="宋体"/>
        </w:rPr>
        <w:t>环境条件</w:t>
      </w:r>
    </w:p>
    <w:p w14:paraId="5F181ABC">
      <w:pPr>
        <w:rPr>
          <w:rFonts w:hint="eastAsia" w:ascii="宋体" w:hAnsi="宋体" w:eastAsia="宋体" w:cs="宋体"/>
        </w:rPr>
      </w:pPr>
      <w:r>
        <w:rPr>
          <w:rFonts w:hint="eastAsia" w:ascii="宋体" w:hAnsi="宋体" w:eastAsia="宋体" w:cs="宋体"/>
        </w:rPr>
        <w:drawing>
          <wp:inline distT="0" distB="0" distL="114300" distR="114300">
            <wp:extent cx="4605655" cy="2648585"/>
            <wp:effectExtent l="0" t="0" r="4445" b="18415"/>
            <wp:docPr id="1" name="图片 1" descr="fb656d242521b9769b4a7495984106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b656d242521b9769b4a7495984106ad"/>
                    <pic:cNvPicPr>
                      <a:picLocks noChangeAspect="1"/>
                    </pic:cNvPicPr>
                  </pic:nvPicPr>
                  <pic:blipFill>
                    <a:blip r:embed="rId13"/>
                    <a:stretch>
                      <a:fillRect/>
                    </a:stretch>
                  </pic:blipFill>
                  <pic:spPr>
                    <a:xfrm>
                      <a:off x="0" y="0"/>
                      <a:ext cx="4605655" cy="2648585"/>
                    </a:xfrm>
                    <a:prstGeom prst="rect">
                      <a:avLst/>
                    </a:prstGeom>
                  </pic:spPr>
                </pic:pic>
              </a:graphicData>
            </a:graphic>
          </wp:inline>
        </w:drawing>
      </w:r>
    </w:p>
    <w:p w14:paraId="3D51A819">
      <w:pPr>
        <w:pStyle w:val="5"/>
        <w:rPr>
          <w:rFonts w:hint="eastAsia" w:ascii="宋体" w:hAnsi="宋体" w:eastAsia="宋体" w:cs="宋体"/>
        </w:rPr>
      </w:pPr>
      <w:r>
        <w:rPr>
          <w:rFonts w:hint="eastAsia" w:ascii="宋体" w:hAnsi="宋体" w:eastAsia="宋体" w:cs="宋体"/>
        </w:rPr>
        <w:t>型号规格和标记</w:t>
      </w:r>
    </w:p>
    <w:p w14:paraId="00AAA053">
      <w:pPr>
        <w:pStyle w:val="12"/>
        <w:numPr>
          <w:ilvl w:val="0"/>
          <w:numId w:val="12"/>
        </w:numPr>
        <w:ind w:firstLineChars="0"/>
        <w:rPr>
          <w:rFonts w:hint="eastAsia" w:ascii="宋体" w:hAnsi="宋体" w:eastAsia="宋体" w:cs="宋体"/>
        </w:rPr>
      </w:pPr>
      <w:r>
        <w:rPr>
          <w:rFonts w:hint="eastAsia" w:ascii="宋体" w:hAnsi="宋体" w:eastAsia="宋体" w:cs="宋体"/>
        </w:rPr>
        <w:t>规格</w:t>
      </w:r>
    </w:p>
    <w:p w14:paraId="2CD55071">
      <w:pPr>
        <w:pStyle w:val="12"/>
        <w:numPr>
          <w:ilvl w:val="1"/>
          <w:numId w:val="13"/>
        </w:numPr>
        <w:ind w:firstLineChars="0"/>
        <w:rPr>
          <w:rFonts w:hint="eastAsia" w:ascii="宋体" w:hAnsi="宋体" w:eastAsia="宋体" w:cs="宋体"/>
        </w:rPr>
      </w:pPr>
      <w:r>
        <w:rPr>
          <w:rFonts w:hint="eastAsia" w:ascii="宋体" w:hAnsi="宋体" w:eastAsia="宋体" w:cs="宋体"/>
        </w:rPr>
        <w:t>管材规格表示如下</w:t>
      </w:r>
    </w:p>
    <w:p w14:paraId="0E7BD30D">
      <w:pPr>
        <w:pStyle w:val="12"/>
        <w:ind w:left="1300" w:firstLine="0" w:firstLineChars="0"/>
        <w:rPr>
          <w:rFonts w:hint="eastAsia" w:ascii="宋体" w:hAnsi="宋体" w:eastAsia="宋体" w:cs="宋体"/>
        </w:rPr>
      </w:pPr>
      <w:r>
        <w:rPr>
          <w:rFonts w:hint="eastAsia" w:ascii="宋体" w:hAnsi="宋体" w:eastAsia="宋体" w:cs="宋体"/>
        </w:rPr>
        <w:t>Ф(公称内径)X(壁厚)X(长度)</w:t>
      </w:r>
    </w:p>
    <w:p w14:paraId="3F5C4A17">
      <w:pPr>
        <w:pStyle w:val="12"/>
        <w:numPr>
          <w:ilvl w:val="1"/>
          <w:numId w:val="13"/>
        </w:numPr>
        <w:ind w:firstLineChars="0"/>
        <w:rPr>
          <w:rFonts w:hint="eastAsia" w:ascii="宋体" w:hAnsi="宋体" w:eastAsia="宋体" w:cs="宋体"/>
        </w:rPr>
      </w:pPr>
      <w:r>
        <w:rPr>
          <w:rFonts w:hint="eastAsia" w:ascii="宋体" w:hAnsi="宋体" w:eastAsia="宋体" w:cs="宋体"/>
        </w:rPr>
        <w:t>公称内径:与内径相关的公称尺寸，单位为mm。</w:t>
      </w:r>
    </w:p>
    <w:p w14:paraId="52932491">
      <w:pPr>
        <w:pStyle w:val="12"/>
        <w:numPr>
          <w:ilvl w:val="1"/>
          <w:numId w:val="13"/>
        </w:numPr>
        <w:ind w:firstLineChars="0"/>
        <w:rPr>
          <w:rFonts w:hint="eastAsia" w:ascii="宋体" w:hAnsi="宋体" w:eastAsia="宋体" w:cs="宋体"/>
        </w:rPr>
      </w:pPr>
      <w:r>
        <w:rPr>
          <w:rFonts w:hint="eastAsia" w:ascii="宋体" w:hAnsi="宋体" w:eastAsia="宋体" w:cs="宋体"/>
        </w:rPr>
        <w:t>壁厚:导管任一点的壁厚，单位为mm。</w:t>
      </w:r>
    </w:p>
    <w:p w14:paraId="71EEA67D">
      <w:pPr>
        <w:pStyle w:val="12"/>
        <w:numPr>
          <w:ilvl w:val="0"/>
          <w:numId w:val="12"/>
        </w:numPr>
        <w:ind w:firstLineChars="0"/>
        <w:rPr>
          <w:rFonts w:hint="eastAsia" w:ascii="宋体" w:hAnsi="宋体" w:eastAsia="宋体" w:cs="宋体"/>
        </w:rPr>
      </w:pPr>
      <w:r>
        <w:rPr>
          <w:rFonts w:hint="eastAsia" w:ascii="宋体" w:hAnsi="宋体" w:eastAsia="宋体" w:cs="宋体"/>
        </w:rPr>
        <w:t>导管的型号、标记应符合 DL/T 802.3的规定。导管的规格见下表。</w:t>
      </w:r>
    </w:p>
    <w:p w14:paraId="273D11AC">
      <w:pPr>
        <w:pStyle w:val="12"/>
        <w:ind w:firstLine="420"/>
        <w:rPr>
          <w:rFonts w:hint="eastAsia" w:ascii="宋体" w:hAnsi="宋体" w:eastAsia="宋体" w:cs="宋体"/>
        </w:rPr>
      </w:pPr>
      <w:r>
        <w:rPr>
          <w:rFonts w:hint="eastAsia" w:ascii="宋体" w:hAnsi="宋体" w:eastAsia="宋体" w:cs="宋体"/>
        </w:rPr>
        <w:drawing>
          <wp:inline distT="0" distB="0" distL="114300" distR="114300">
            <wp:extent cx="5363845" cy="2418715"/>
            <wp:effectExtent l="0" t="0" r="8255" b="635"/>
            <wp:docPr id="3" name="图片 3" descr="c2e8651bb900670005a32b801b7e2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2e8651bb900670005a32b801b7e2321"/>
                    <pic:cNvPicPr>
                      <a:picLocks noChangeAspect="1"/>
                    </pic:cNvPicPr>
                  </pic:nvPicPr>
                  <pic:blipFill>
                    <a:blip r:embed="rId14"/>
                    <a:stretch>
                      <a:fillRect/>
                    </a:stretch>
                  </pic:blipFill>
                  <pic:spPr>
                    <a:xfrm>
                      <a:off x="0" y="0"/>
                      <a:ext cx="5363845" cy="2418715"/>
                    </a:xfrm>
                    <a:prstGeom prst="rect">
                      <a:avLst/>
                    </a:prstGeom>
                  </pic:spPr>
                </pic:pic>
              </a:graphicData>
            </a:graphic>
          </wp:inline>
        </w:drawing>
      </w:r>
    </w:p>
    <w:p w14:paraId="29AF258B">
      <w:pPr>
        <w:pStyle w:val="5"/>
        <w:rPr>
          <w:rFonts w:hint="eastAsia" w:ascii="宋体" w:hAnsi="宋体" w:eastAsia="宋体" w:cs="宋体"/>
        </w:rPr>
      </w:pPr>
      <w:r>
        <w:rPr>
          <w:rFonts w:hint="eastAsia" w:ascii="宋体" w:hAnsi="宋体" w:eastAsia="宋体" w:cs="宋体"/>
        </w:rPr>
        <w:t>技术要求</w:t>
      </w:r>
    </w:p>
    <w:p w14:paraId="3F4010A6">
      <w:pPr>
        <w:pStyle w:val="12"/>
        <w:numPr>
          <w:ilvl w:val="0"/>
          <w:numId w:val="14"/>
        </w:numPr>
        <w:ind w:left="0" w:firstLine="0" w:firstLineChars="0"/>
        <w:rPr>
          <w:rFonts w:hint="eastAsia" w:ascii="宋体" w:hAnsi="宋体" w:eastAsia="宋体" w:cs="宋体"/>
        </w:rPr>
      </w:pPr>
      <w:r>
        <w:rPr>
          <w:rFonts w:hint="eastAsia" w:ascii="宋体" w:hAnsi="宋体" w:eastAsia="宋体" w:cs="宋体"/>
        </w:rPr>
        <w:t>原材料要求：</w:t>
      </w:r>
    </w:p>
    <w:p w14:paraId="17CB9144">
      <w:pPr>
        <w:pStyle w:val="12"/>
        <w:ind w:firstLine="420"/>
        <w:rPr>
          <w:rFonts w:hint="eastAsia" w:ascii="宋体" w:hAnsi="宋体" w:eastAsia="宋体" w:cs="宋体"/>
        </w:rPr>
      </w:pPr>
      <w:r>
        <w:rPr>
          <w:rFonts w:hint="eastAsia" w:ascii="宋体" w:hAnsi="宋体" w:eastAsia="宋体" w:cs="宋体"/>
        </w:rPr>
        <w:t>氯化聚氯乙烯塑料电缆导管所用材料应以氯化聚氯乙稀树脂和聚氯乙烯树脂为主，加入有利于提高导管力学及加工性能的添加剂，添加剂应分散均匀，混合料中不允许加入增塑剂。其中氯化聚氯乙烯树脂中的氯含量应不低于67%（质量百分比），允许掺加不大于5%的清洁回收料，使用的原材料应提供材质报告书或原材料检测报告。。</w:t>
      </w:r>
    </w:p>
    <w:p w14:paraId="779092D3">
      <w:pPr>
        <w:pStyle w:val="12"/>
        <w:numPr>
          <w:ilvl w:val="0"/>
          <w:numId w:val="14"/>
        </w:numPr>
        <w:ind w:left="0" w:firstLine="0" w:firstLineChars="0"/>
        <w:rPr>
          <w:rFonts w:hint="eastAsia" w:ascii="宋体" w:hAnsi="宋体" w:eastAsia="宋体" w:cs="宋体"/>
        </w:rPr>
      </w:pPr>
      <w:r>
        <w:rPr>
          <w:rFonts w:hint="eastAsia" w:ascii="宋体" w:hAnsi="宋体" w:eastAsia="宋体" w:cs="宋体"/>
        </w:rPr>
        <w:t>外观、尺寸</w:t>
      </w:r>
    </w:p>
    <w:p w14:paraId="005DA08B">
      <w:pPr>
        <w:pStyle w:val="12"/>
        <w:numPr>
          <w:ilvl w:val="1"/>
          <w:numId w:val="15"/>
        </w:numPr>
        <w:ind w:left="0" w:firstLine="0" w:firstLineChars="0"/>
        <w:rPr>
          <w:rFonts w:hint="eastAsia" w:ascii="宋体" w:hAnsi="宋体" w:eastAsia="宋体" w:cs="宋体"/>
        </w:rPr>
      </w:pPr>
      <w:r>
        <w:rPr>
          <w:rFonts w:hint="eastAsia" w:ascii="宋体" w:hAnsi="宋体" w:eastAsia="宋体" w:cs="宋体"/>
        </w:rPr>
        <w:t>颜色：导管颜色为橘红色（公称内径50mm及以下的管道颜色为白色），导管颜色应均匀一致。</w:t>
      </w:r>
    </w:p>
    <w:p w14:paraId="22E49996">
      <w:pPr>
        <w:pStyle w:val="12"/>
        <w:numPr>
          <w:ilvl w:val="1"/>
          <w:numId w:val="15"/>
        </w:numPr>
        <w:ind w:left="0" w:firstLine="0" w:firstLineChars="0"/>
        <w:rPr>
          <w:rFonts w:hint="eastAsia" w:ascii="宋体" w:hAnsi="宋体" w:eastAsia="宋体" w:cs="宋体"/>
        </w:rPr>
      </w:pPr>
      <w:r>
        <w:rPr>
          <w:rFonts w:hint="eastAsia" w:ascii="宋体" w:hAnsi="宋体" w:eastAsia="宋体" w:cs="宋体"/>
        </w:rPr>
        <w:t>外观质量:导管内外壁不允许有气泡、裂口和明显的裂纹、凹陷、杂质、分解变色以及颜色不均等缺陷；导管内壁应光滑、平整；导管端面应切割平整并与轴线垂直；插口端外壁加工时应有倒角;承口端加工时允许有不大于1的脱模斜度，且不得有挠曲现象。</w:t>
      </w:r>
    </w:p>
    <w:p w14:paraId="36E4E5F6">
      <w:pPr>
        <w:pStyle w:val="12"/>
        <w:numPr>
          <w:ilvl w:val="1"/>
          <w:numId w:val="15"/>
        </w:numPr>
        <w:ind w:left="0" w:firstLine="0" w:firstLineChars="0"/>
        <w:rPr>
          <w:rFonts w:hint="eastAsia" w:ascii="宋体" w:hAnsi="宋体" w:eastAsia="宋体" w:cs="宋体"/>
        </w:rPr>
      </w:pPr>
      <w:r>
        <w:rPr>
          <w:rFonts w:hint="eastAsia" w:ascii="宋体" w:hAnsi="宋体" w:eastAsia="宋体" w:cs="宋体"/>
        </w:rPr>
        <w:t>尺寸要求:导管的公称长度以有效长度表示，为插口端部到承口底部的距离公称长度偏差为有效长度的(0~+0.5%)。导管的公称内径、承口内径允许偏差与承口最小深度详见表2，公称壁厚允许偏差详见表3。</w:t>
      </w:r>
    </w:p>
    <w:p w14:paraId="012AE68B">
      <w:pPr>
        <w:pStyle w:val="12"/>
        <w:ind w:firstLine="0" w:firstLineChars="0"/>
        <w:rPr>
          <w:rFonts w:hint="eastAsia" w:ascii="宋体" w:hAnsi="宋体" w:eastAsia="宋体" w:cs="宋体"/>
        </w:rPr>
      </w:pPr>
    </w:p>
    <w:p w14:paraId="1E5D205C">
      <w:pPr>
        <w:pStyle w:val="12"/>
        <w:ind w:firstLine="0" w:firstLineChars="0"/>
        <w:rPr>
          <w:rFonts w:hint="eastAsia" w:ascii="宋体" w:hAnsi="宋体" w:eastAsia="宋体" w:cs="宋体"/>
        </w:rPr>
      </w:pPr>
    </w:p>
    <w:p w14:paraId="5D332FDA">
      <w:pPr>
        <w:pStyle w:val="12"/>
        <w:ind w:firstLine="0" w:firstLineChars="0"/>
        <w:rPr>
          <w:rFonts w:hint="eastAsia" w:ascii="宋体" w:hAnsi="宋体" w:eastAsia="宋体" w:cs="宋体"/>
        </w:rPr>
      </w:pPr>
      <w:r>
        <w:rPr>
          <w:rFonts w:hint="eastAsia" w:ascii="宋体" w:hAnsi="宋体" w:eastAsia="宋体" w:cs="宋体"/>
        </w:rPr>
        <w:drawing>
          <wp:inline distT="0" distB="0" distL="114300" distR="114300">
            <wp:extent cx="3446145" cy="4150360"/>
            <wp:effectExtent l="0" t="0" r="1905" b="254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5"/>
                    <a:stretch>
                      <a:fillRect/>
                    </a:stretch>
                  </pic:blipFill>
                  <pic:spPr>
                    <a:xfrm>
                      <a:off x="0" y="0"/>
                      <a:ext cx="3446145" cy="4150360"/>
                    </a:xfrm>
                    <a:prstGeom prst="rect">
                      <a:avLst/>
                    </a:prstGeom>
                    <a:noFill/>
                    <a:ln>
                      <a:noFill/>
                    </a:ln>
                  </pic:spPr>
                </pic:pic>
              </a:graphicData>
            </a:graphic>
          </wp:inline>
        </w:drawing>
      </w:r>
      <w:r>
        <w:rPr>
          <w:rFonts w:hint="eastAsia" w:ascii="宋体" w:hAnsi="宋体" w:eastAsia="宋体" w:cs="宋体"/>
        </w:rPr>
        <w:drawing>
          <wp:inline distT="0" distB="0" distL="114300" distR="114300">
            <wp:extent cx="3778885" cy="1019175"/>
            <wp:effectExtent l="0" t="0" r="12065" b="952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6"/>
                    <a:stretch>
                      <a:fillRect/>
                    </a:stretch>
                  </pic:blipFill>
                  <pic:spPr>
                    <a:xfrm>
                      <a:off x="0" y="0"/>
                      <a:ext cx="3778885" cy="1019175"/>
                    </a:xfrm>
                    <a:prstGeom prst="rect">
                      <a:avLst/>
                    </a:prstGeom>
                    <a:noFill/>
                    <a:ln>
                      <a:noFill/>
                    </a:ln>
                  </pic:spPr>
                </pic:pic>
              </a:graphicData>
            </a:graphic>
          </wp:inline>
        </w:drawing>
      </w:r>
    </w:p>
    <w:p w14:paraId="2C648425">
      <w:pPr>
        <w:pStyle w:val="12"/>
        <w:numPr>
          <w:ilvl w:val="1"/>
          <w:numId w:val="15"/>
        </w:numPr>
        <w:ind w:left="0" w:firstLine="0" w:firstLineChars="0"/>
        <w:rPr>
          <w:rFonts w:hint="eastAsia" w:ascii="宋体" w:hAnsi="宋体" w:eastAsia="宋体" w:cs="宋体"/>
        </w:rPr>
      </w:pPr>
      <w:r>
        <w:rPr>
          <w:rFonts w:hint="eastAsia" w:ascii="宋体" w:hAnsi="宋体" w:eastAsia="宋体" w:cs="宋体"/>
        </w:rPr>
        <w:t>导管的弯曲度(按导管有效长度):公称内径d≤150mm时，弯曲度应不大于有效长度的1.0%;d&gt;150mm时，弯曲度应不大于有效长度的0.5%。</w:t>
      </w:r>
    </w:p>
    <w:p w14:paraId="272E4B6C">
      <w:pPr>
        <w:pStyle w:val="12"/>
        <w:numPr>
          <w:ilvl w:val="0"/>
          <w:numId w:val="14"/>
        </w:numPr>
        <w:ind w:left="0" w:firstLine="0" w:firstLineChars="0"/>
        <w:rPr>
          <w:rFonts w:hint="eastAsia" w:ascii="宋体" w:hAnsi="宋体" w:eastAsia="宋体" w:cs="宋体"/>
        </w:rPr>
      </w:pPr>
      <w:r>
        <w:rPr>
          <w:rFonts w:hint="eastAsia" w:ascii="宋体" w:hAnsi="宋体" w:eastAsia="宋体" w:cs="宋体"/>
        </w:rPr>
        <w:t>导管的连接方式</w:t>
      </w:r>
    </w:p>
    <w:p w14:paraId="361028C1">
      <w:pPr>
        <w:pStyle w:val="12"/>
        <w:ind w:firstLine="420"/>
        <w:rPr>
          <w:rFonts w:hint="eastAsia" w:ascii="宋体" w:hAnsi="宋体" w:eastAsia="宋体" w:cs="宋体"/>
        </w:rPr>
      </w:pPr>
      <w:r>
        <w:rPr>
          <w:rFonts w:hint="eastAsia" w:ascii="宋体" w:hAnsi="宋体" w:eastAsia="宋体" w:cs="宋体"/>
        </w:rPr>
        <w:t>氯化聚氯乙烯塑料电缆导管采用承插式或套管连接的导管，其接头均应用橡胶弹性密封圈连接，橡胶弹性密封圈的性能应符合HG/T 3091的要求。3.3.4 结构、材料性能</w:t>
      </w:r>
    </w:p>
    <w:p w14:paraId="0306A559">
      <w:pPr>
        <w:pStyle w:val="12"/>
        <w:numPr>
          <w:ilvl w:val="0"/>
          <w:numId w:val="16"/>
        </w:numPr>
        <w:ind w:left="0" w:firstLine="0" w:firstLineChars="0"/>
        <w:rPr>
          <w:rFonts w:hint="eastAsia" w:ascii="宋体" w:hAnsi="宋体" w:eastAsia="宋体" w:cs="宋体"/>
        </w:rPr>
      </w:pPr>
      <w:r>
        <w:rPr>
          <w:rFonts w:hint="eastAsia" w:ascii="宋体" w:hAnsi="宋体" w:eastAsia="宋体" w:cs="宋体"/>
        </w:rPr>
        <w:t>环刚度:适用于氯化聚氯乙烯塑料电缆导管，其环刚度等级见表4。</w:t>
      </w:r>
    </w:p>
    <w:p w14:paraId="485FC506">
      <w:pPr>
        <w:pStyle w:val="12"/>
        <w:ind w:firstLine="0" w:firstLineChars="0"/>
        <w:rPr>
          <w:rFonts w:hint="eastAsia" w:ascii="宋体" w:hAnsi="宋体" w:eastAsia="宋体" w:cs="宋体"/>
        </w:rPr>
      </w:pPr>
      <w:r>
        <w:rPr>
          <w:rFonts w:hint="eastAsia" w:ascii="宋体" w:hAnsi="宋体" w:eastAsia="宋体" w:cs="宋体"/>
        </w:rPr>
        <w:drawing>
          <wp:inline distT="0" distB="0" distL="114300" distR="114300">
            <wp:extent cx="4319270" cy="1149350"/>
            <wp:effectExtent l="0" t="0" r="5080" b="1270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7"/>
                    <a:stretch>
                      <a:fillRect/>
                    </a:stretch>
                  </pic:blipFill>
                  <pic:spPr>
                    <a:xfrm>
                      <a:off x="0" y="0"/>
                      <a:ext cx="4319270" cy="1149350"/>
                    </a:xfrm>
                    <a:prstGeom prst="rect">
                      <a:avLst/>
                    </a:prstGeom>
                    <a:noFill/>
                    <a:ln>
                      <a:noFill/>
                    </a:ln>
                  </pic:spPr>
                </pic:pic>
              </a:graphicData>
            </a:graphic>
          </wp:inline>
        </w:drawing>
      </w:r>
    </w:p>
    <w:p w14:paraId="05DB8738">
      <w:pPr>
        <w:pStyle w:val="12"/>
        <w:numPr>
          <w:ilvl w:val="0"/>
          <w:numId w:val="16"/>
        </w:numPr>
        <w:ind w:left="0" w:firstLine="0" w:firstLineChars="0"/>
        <w:rPr>
          <w:rFonts w:hint="eastAsia" w:ascii="宋体" w:hAnsi="宋体" w:eastAsia="宋体" w:cs="宋体"/>
        </w:rPr>
      </w:pPr>
      <w:r>
        <w:rPr>
          <w:rFonts w:hint="eastAsia" w:ascii="宋体" w:hAnsi="宋体" w:eastAsia="宋体" w:cs="宋体"/>
        </w:rPr>
        <w:t>压扁试验:加荷至试样垂直方向变形量为原内径30%时，试样不应出现裂纹或破裂。</w:t>
      </w:r>
    </w:p>
    <w:p w14:paraId="58B5D4CE">
      <w:pPr>
        <w:pStyle w:val="12"/>
        <w:numPr>
          <w:ilvl w:val="0"/>
          <w:numId w:val="16"/>
        </w:numPr>
        <w:ind w:left="0" w:firstLine="0" w:firstLineChars="0"/>
        <w:rPr>
          <w:rFonts w:hint="eastAsia" w:ascii="宋体" w:hAnsi="宋体" w:eastAsia="宋体" w:cs="宋体"/>
        </w:rPr>
      </w:pPr>
      <w:r>
        <w:rPr>
          <w:rFonts w:hint="eastAsia" w:ascii="宋体" w:hAnsi="宋体" w:eastAsia="宋体" w:cs="宋体"/>
        </w:rPr>
        <w:t>接头密封性能:将两根导管组装好，在0.10MPa水压下保持15min，接头处不应渗水、漏水。</w:t>
      </w:r>
    </w:p>
    <w:p w14:paraId="51DF22F8">
      <w:pPr>
        <w:pStyle w:val="12"/>
        <w:numPr>
          <w:ilvl w:val="0"/>
          <w:numId w:val="16"/>
        </w:numPr>
        <w:ind w:left="0" w:firstLine="0" w:firstLineChars="0"/>
        <w:rPr>
          <w:rFonts w:hint="eastAsia" w:ascii="宋体" w:hAnsi="宋体" w:eastAsia="宋体" w:cs="宋体"/>
        </w:rPr>
      </w:pPr>
      <w:r>
        <w:rPr>
          <w:rFonts w:hint="eastAsia" w:ascii="宋体" w:hAnsi="宋体" w:eastAsia="宋体" w:cs="宋体"/>
        </w:rPr>
        <w:t>落锤冲击:按表5的试验，试样不应出现裂缝或破裂。冲击锤头要求:锤头球面曲率半径为50mm，冲头柱直径为90mm。</w:t>
      </w:r>
    </w:p>
    <w:p w14:paraId="32F2A215">
      <w:pPr>
        <w:pStyle w:val="12"/>
        <w:ind w:firstLine="0" w:firstLineChars="0"/>
        <w:rPr>
          <w:rFonts w:hint="eastAsia" w:ascii="宋体" w:hAnsi="宋体" w:eastAsia="宋体" w:cs="宋体"/>
        </w:rPr>
      </w:pPr>
      <w:r>
        <w:rPr>
          <w:rFonts w:hint="eastAsia" w:ascii="宋体" w:hAnsi="宋体" w:eastAsia="宋体" w:cs="宋体"/>
        </w:rPr>
        <w:drawing>
          <wp:inline distT="0" distB="0" distL="114300" distR="114300">
            <wp:extent cx="3948430" cy="2285365"/>
            <wp:effectExtent l="0" t="0" r="13970" b="635"/>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8"/>
                    <a:stretch>
                      <a:fillRect/>
                    </a:stretch>
                  </pic:blipFill>
                  <pic:spPr>
                    <a:xfrm>
                      <a:off x="0" y="0"/>
                      <a:ext cx="3948430" cy="2285365"/>
                    </a:xfrm>
                    <a:prstGeom prst="rect">
                      <a:avLst/>
                    </a:prstGeom>
                    <a:noFill/>
                    <a:ln>
                      <a:noFill/>
                    </a:ln>
                  </pic:spPr>
                </pic:pic>
              </a:graphicData>
            </a:graphic>
          </wp:inline>
        </w:drawing>
      </w:r>
    </w:p>
    <w:p w14:paraId="784D63B3">
      <w:pPr>
        <w:pStyle w:val="12"/>
        <w:numPr>
          <w:ilvl w:val="0"/>
          <w:numId w:val="16"/>
        </w:numPr>
        <w:ind w:left="0" w:firstLine="0" w:firstLineChars="0"/>
        <w:rPr>
          <w:rFonts w:hint="eastAsia" w:ascii="宋体" w:hAnsi="宋体" w:eastAsia="宋体" w:cs="宋体"/>
        </w:rPr>
      </w:pPr>
      <w:r>
        <w:rPr>
          <w:rFonts w:hint="eastAsia" w:ascii="宋体" w:hAnsi="宋体" w:eastAsia="宋体" w:cs="宋体"/>
        </w:rPr>
        <w:t>氯化聚氯乙烯塑料电缆导管的其它技术性能应符合表6要求</w:t>
      </w:r>
    </w:p>
    <w:p w14:paraId="4BF6C18A">
      <w:pPr>
        <w:pStyle w:val="12"/>
        <w:ind w:firstLine="0" w:firstLineChars="0"/>
        <w:rPr>
          <w:rFonts w:hint="eastAsia" w:ascii="宋体" w:hAnsi="宋体" w:eastAsia="宋体" w:cs="宋体"/>
        </w:rPr>
      </w:pPr>
      <w:r>
        <w:rPr>
          <w:rFonts w:hint="eastAsia" w:ascii="宋体" w:hAnsi="宋体" w:eastAsia="宋体" w:cs="宋体"/>
        </w:rPr>
        <w:drawing>
          <wp:inline distT="0" distB="0" distL="114300" distR="114300">
            <wp:extent cx="4678045" cy="2239010"/>
            <wp:effectExtent l="0" t="0" r="8255" b="8890"/>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19"/>
                    <a:stretch>
                      <a:fillRect/>
                    </a:stretch>
                  </pic:blipFill>
                  <pic:spPr>
                    <a:xfrm>
                      <a:off x="0" y="0"/>
                      <a:ext cx="4678045" cy="2239010"/>
                    </a:xfrm>
                    <a:prstGeom prst="rect">
                      <a:avLst/>
                    </a:prstGeom>
                    <a:noFill/>
                    <a:ln>
                      <a:noFill/>
                    </a:ln>
                  </pic:spPr>
                </pic:pic>
              </a:graphicData>
            </a:graphic>
          </wp:inline>
        </w:drawing>
      </w:r>
    </w:p>
    <w:p w14:paraId="546B9A2E">
      <w:pPr>
        <w:pStyle w:val="3"/>
        <w:rPr>
          <w:rFonts w:hint="eastAsia" w:ascii="宋体" w:hAnsi="宋体" w:eastAsia="宋体" w:cs="宋体"/>
        </w:rPr>
      </w:pPr>
      <w:bookmarkStart w:id="19" w:name="_Toc4059"/>
      <w:r>
        <w:rPr>
          <w:rFonts w:hint="eastAsia" w:ascii="宋体" w:hAnsi="宋体" w:eastAsia="宋体" w:cs="宋体"/>
        </w:rPr>
        <w:t>弱电部分技术要求</w:t>
      </w:r>
      <w:bookmarkEnd w:id="19"/>
    </w:p>
    <w:p w14:paraId="3F06C8C1">
      <w:pPr>
        <w:pStyle w:val="4"/>
        <w:rPr>
          <w:rFonts w:hint="eastAsia" w:ascii="宋体" w:hAnsi="宋体" w:eastAsia="宋体" w:cs="宋体"/>
        </w:rPr>
      </w:pPr>
      <w:bookmarkStart w:id="20" w:name="_Toc25441"/>
      <w:r>
        <w:rPr>
          <w:rFonts w:hint="eastAsia" w:ascii="宋体" w:hAnsi="宋体" w:eastAsia="宋体" w:cs="宋体"/>
        </w:rPr>
        <w:t>总技术要求</w:t>
      </w:r>
      <w:bookmarkEnd w:id="20"/>
    </w:p>
    <w:p w14:paraId="02505920">
      <w:pPr>
        <w:pStyle w:val="12"/>
        <w:ind w:firstLine="420"/>
        <w:rPr>
          <w:rFonts w:hint="eastAsia" w:ascii="宋体" w:hAnsi="宋体" w:eastAsia="宋体" w:cs="宋体"/>
        </w:rPr>
      </w:pPr>
      <w:r>
        <w:rPr>
          <w:rFonts w:hint="eastAsia" w:ascii="宋体" w:hAnsi="宋体" w:eastAsia="宋体" w:cs="宋体"/>
        </w:rPr>
        <w:t>投标人提供的设备必须是完整齐全的、确保设备安装后能保证安全运行的全套产品，且全部产品均含在投标报价中。如果投标人所提供的设备具有下述招标人所要求之外的装置或功能，须加以注明。设备材料应按本技术要求及国家、地方和相关行业规定的标准和规范进行设计和制造。所有标准、规范应以最新修订版本为准。</w:t>
      </w:r>
    </w:p>
    <w:p w14:paraId="5F77DF43">
      <w:pPr>
        <w:pStyle w:val="12"/>
        <w:ind w:firstLine="420"/>
        <w:rPr>
          <w:rFonts w:hint="eastAsia" w:ascii="宋体" w:hAnsi="宋体" w:eastAsia="宋体" w:cs="宋体"/>
        </w:rPr>
      </w:pPr>
      <w:r>
        <w:rPr>
          <w:rFonts w:hint="eastAsia" w:ascii="宋体" w:hAnsi="宋体" w:eastAsia="宋体" w:cs="宋体"/>
        </w:rPr>
        <w:t>本技术要求未尽事宜应参照施工图设计说明及图纸要求或与招标人及设计协商并确认。</w:t>
      </w:r>
    </w:p>
    <w:p w14:paraId="14BD07DA">
      <w:pPr>
        <w:pStyle w:val="12"/>
        <w:ind w:firstLine="420"/>
        <w:rPr>
          <w:rFonts w:hint="eastAsia" w:ascii="宋体" w:hAnsi="宋体" w:eastAsia="宋体" w:cs="宋体"/>
        </w:rPr>
      </w:pPr>
      <w:r>
        <w:rPr>
          <w:rFonts w:hint="eastAsia" w:ascii="宋体" w:hAnsi="宋体" w:eastAsia="宋体" w:cs="宋体"/>
        </w:rPr>
        <w:t>投标人应承诺本工程新建系统与招标人原监控平台可兼容接入，如无法接入一切系统改造费用由投标人承担。</w:t>
      </w:r>
    </w:p>
    <w:p w14:paraId="32E30000">
      <w:pPr>
        <w:pStyle w:val="4"/>
        <w:rPr>
          <w:rFonts w:hint="eastAsia" w:ascii="宋体" w:hAnsi="宋体" w:eastAsia="宋体" w:cs="宋体"/>
        </w:rPr>
      </w:pPr>
      <w:bookmarkStart w:id="21" w:name="_Toc10316"/>
      <w:r>
        <w:rPr>
          <w:rFonts w:hint="eastAsia" w:ascii="宋体" w:hAnsi="宋体" w:eastAsia="宋体" w:cs="宋体"/>
        </w:rPr>
        <w:t>电子围栏系统</w:t>
      </w:r>
      <w:bookmarkEnd w:id="21"/>
    </w:p>
    <w:p w14:paraId="4983D69E">
      <w:pPr>
        <w:pStyle w:val="5"/>
        <w:rPr>
          <w:rFonts w:hint="eastAsia" w:ascii="宋体" w:hAnsi="宋体" w:eastAsia="宋体" w:cs="宋体"/>
        </w:rPr>
      </w:pPr>
      <w:r>
        <w:rPr>
          <w:rFonts w:hint="eastAsia" w:ascii="宋体" w:hAnsi="宋体" w:eastAsia="宋体" w:cs="宋体"/>
        </w:rPr>
        <w:t>总体设计</w:t>
      </w:r>
    </w:p>
    <w:p w14:paraId="61CD4456">
      <w:pPr>
        <w:pStyle w:val="12"/>
        <w:numPr>
          <w:ilvl w:val="2"/>
          <w:numId w:val="17"/>
        </w:numPr>
        <w:ind w:left="0" w:firstLine="0" w:firstLineChars="0"/>
        <w:rPr>
          <w:rFonts w:hint="eastAsia" w:ascii="宋体" w:hAnsi="宋体" w:eastAsia="宋体" w:cs="宋体"/>
        </w:rPr>
      </w:pPr>
      <w:r>
        <w:rPr>
          <w:rFonts w:hint="eastAsia" w:ascii="宋体" w:hAnsi="宋体" w:eastAsia="宋体" w:cs="宋体"/>
        </w:rPr>
        <w:t>设计依据</w:t>
      </w:r>
    </w:p>
    <w:p w14:paraId="1AC38863">
      <w:pPr>
        <w:pStyle w:val="12"/>
        <w:numPr>
          <w:ilvl w:val="1"/>
          <w:numId w:val="18"/>
        </w:numPr>
        <w:ind w:left="420" w:firstLine="0" w:firstLineChars="0"/>
        <w:rPr>
          <w:rFonts w:hint="eastAsia" w:ascii="宋体" w:hAnsi="宋体" w:eastAsia="宋体" w:cs="宋体"/>
        </w:rPr>
      </w:pPr>
      <w:r>
        <w:rPr>
          <w:rFonts w:hint="eastAsia" w:ascii="宋体" w:hAnsi="宋体" w:eastAsia="宋体" w:cs="宋体"/>
        </w:rPr>
        <w:t>GA/T75-1994  《安全防范工程程序与要求》</w:t>
      </w:r>
    </w:p>
    <w:p w14:paraId="5A53FC14">
      <w:pPr>
        <w:pStyle w:val="12"/>
        <w:numPr>
          <w:ilvl w:val="1"/>
          <w:numId w:val="18"/>
        </w:numPr>
        <w:ind w:left="420" w:firstLine="0" w:firstLineChars="0"/>
        <w:rPr>
          <w:rFonts w:hint="eastAsia" w:ascii="宋体" w:hAnsi="宋体" w:eastAsia="宋体" w:cs="宋体"/>
        </w:rPr>
      </w:pPr>
      <w:r>
        <w:rPr>
          <w:rFonts w:hint="eastAsia" w:ascii="宋体" w:hAnsi="宋体" w:eastAsia="宋体" w:cs="宋体"/>
        </w:rPr>
        <w:t>GA/T74-2000  《安全防范系统通用图形符号》</w:t>
      </w:r>
    </w:p>
    <w:p w14:paraId="62FA7B5B">
      <w:pPr>
        <w:pStyle w:val="12"/>
        <w:numPr>
          <w:ilvl w:val="1"/>
          <w:numId w:val="18"/>
        </w:numPr>
        <w:ind w:left="420" w:firstLine="0" w:firstLineChars="0"/>
        <w:rPr>
          <w:rFonts w:hint="eastAsia" w:ascii="宋体" w:hAnsi="宋体" w:eastAsia="宋体" w:cs="宋体"/>
        </w:rPr>
      </w:pPr>
      <w:r>
        <w:rPr>
          <w:rFonts w:hint="eastAsia" w:ascii="宋体" w:hAnsi="宋体" w:eastAsia="宋体" w:cs="宋体"/>
        </w:rPr>
        <w:t>GB50348-2004 《安全防范工程技术规范》</w:t>
      </w:r>
    </w:p>
    <w:p w14:paraId="3E5B4812">
      <w:pPr>
        <w:pStyle w:val="12"/>
        <w:numPr>
          <w:ilvl w:val="1"/>
          <w:numId w:val="18"/>
        </w:numPr>
        <w:ind w:left="420" w:firstLine="0" w:firstLineChars="0"/>
        <w:rPr>
          <w:rFonts w:hint="eastAsia" w:ascii="宋体" w:hAnsi="宋体" w:eastAsia="宋体" w:cs="宋体"/>
        </w:rPr>
      </w:pPr>
      <w:r>
        <w:rPr>
          <w:rFonts w:hint="eastAsia" w:ascii="宋体" w:hAnsi="宋体" w:eastAsia="宋体" w:cs="宋体"/>
        </w:rPr>
        <w:t>中华人民共和国国家标准 GB/T 7946-2008 脉冲电子围栏及其安装和安全运行</w:t>
      </w:r>
    </w:p>
    <w:p w14:paraId="4EE8B799">
      <w:pPr>
        <w:pStyle w:val="12"/>
        <w:numPr>
          <w:ilvl w:val="1"/>
          <w:numId w:val="18"/>
        </w:numPr>
        <w:ind w:left="420" w:firstLine="0" w:firstLineChars="0"/>
        <w:rPr>
          <w:rFonts w:hint="eastAsia" w:ascii="宋体" w:hAnsi="宋体" w:eastAsia="宋体" w:cs="宋体"/>
        </w:rPr>
      </w:pPr>
      <w:r>
        <w:rPr>
          <w:rFonts w:hint="eastAsia" w:ascii="宋体" w:hAnsi="宋体" w:eastAsia="宋体" w:cs="宋体"/>
        </w:rPr>
        <w:t>项目电子围栏施工图和现场勘察情况</w:t>
      </w:r>
    </w:p>
    <w:p w14:paraId="50D85959">
      <w:pPr>
        <w:pStyle w:val="12"/>
        <w:ind w:firstLine="420"/>
        <w:rPr>
          <w:rFonts w:hint="eastAsia" w:ascii="宋体" w:hAnsi="宋体" w:eastAsia="宋体" w:cs="宋体"/>
        </w:rPr>
      </w:pPr>
      <w:r>
        <w:rPr>
          <w:rFonts w:hint="eastAsia" w:ascii="宋体" w:hAnsi="宋体" w:eastAsia="宋体" w:cs="宋体"/>
        </w:rPr>
        <w:t>以及以上未列出的与本工程有关的国家和上海市的规定、规范和标准。</w:t>
      </w:r>
    </w:p>
    <w:p w14:paraId="16E89356">
      <w:pPr>
        <w:pStyle w:val="12"/>
        <w:numPr>
          <w:ilvl w:val="2"/>
          <w:numId w:val="17"/>
        </w:numPr>
        <w:ind w:left="0" w:firstLine="0" w:firstLineChars="0"/>
        <w:rPr>
          <w:rFonts w:hint="eastAsia" w:ascii="宋体" w:hAnsi="宋体" w:eastAsia="宋体" w:cs="宋体"/>
        </w:rPr>
      </w:pPr>
      <w:r>
        <w:rPr>
          <w:rFonts w:hint="eastAsia" w:ascii="宋体" w:hAnsi="宋体" w:eastAsia="宋体" w:cs="宋体"/>
        </w:rPr>
        <w:t>电子围栏总体结构和组成</w:t>
      </w:r>
    </w:p>
    <w:p w14:paraId="73690236">
      <w:pPr>
        <w:pStyle w:val="12"/>
        <w:numPr>
          <w:ilvl w:val="0"/>
          <w:numId w:val="19"/>
        </w:numPr>
        <w:ind w:left="420" w:firstLine="0" w:firstLineChars="0"/>
        <w:rPr>
          <w:rFonts w:hint="eastAsia" w:ascii="宋体" w:hAnsi="宋体" w:eastAsia="宋体" w:cs="宋体"/>
        </w:rPr>
      </w:pPr>
      <w:r>
        <w:rPr>
          <w:rFonts w:hint="eastAsia" w:ascii="宋体" w:hAnsi="宋体" w:eastAsia="宋体" w:cs="宋体"/>
        </w:rPr>
        <w:t>功能</w:t>
      </w:r>
    </w:p>
    <w:p w14:paraId="1E86C5C2">
      <w:pPr>
        <w:pStyle w:val="12"/>
        <w:ind w:firstLine="420"/>
        <w:rPr>
          <w:rFonts w:hint="eastAsia" w:ascii="宋体" w:hAnsi="宋体" w:eastAsia="宋体" w:cs="宋体"/>
        </w:rPr>
      </w:pPr>
      <w:r>
        <w:rPr>
          <w:rFonts w:hint="eastAsia" w:ascii="宋体" w:hAnsi="宋体" w:eastAsia="宋体" w:cs="宋体"/>
        </w:rPr>
        <w:t>项目周界围墙实现全封闭，经综合考虑在周界围墙上安装脉冲电子围栏作为周界安防报警系统。该系统是目前世界上流行的周界防盗报警设备，它引进了世界上最新的报警理念“阻挡为主，报警为辅”。围栏带有非致命的高压脉冲电，它具有威慑（降低作案欲望）、阻挡（制造入侵障碍）、报警（声、光报警并可与其它安防系统联动）三重功能。</w:t>
      </w:r>
    </w:p>
    <w:p w14:paraId="335D6BEF">
      <w:pPr>
        <w:pStyle w:val="12"/>
        <w:numPr>
          <w:ilvl w:val="0"/>
          <w:numId w:val="19"/>
        </w:numPr>
        <w:ind w:left="420" w:firstLine="0" w:firstLineChars="0"/>
        <w:rPr>
          <w:rFonts w:hint="eastAsia" w:ascii="宋体" w:hAnsi="宋体" w:eastAsia="宋体" w:cs="宋体"/>
        </w:rPr>
      </w:pPr>
      <w:r>
        <w:rPr>
          <w:rFonts w:hint="eastAsia" w:ascii="宋体" w:hAnsi="宋体" w:eastAsia="宋体" w:cs="宋体"/>
        </w:rPr>
        <w:t>总体结构</w:t>
      </w:r>
    </w:p>
    <w:p w14:paraId="22027C1A">
      <w:pPr>
        <w:pStyle w:val="12"/>
        <w:ind w:firstLine="420"/>
        <w:rPr>
          <w:rFonts w:hint="eastAsia" w:ascii="宋体" w:hAnsi="宋体" w:eastAsia="宋体" w:cs="宋体"/>
        </w:rPr>
      </w:pPr>
      <w:r>
        <w:rPr>
          <w:rFonts w:hint="eastAsia" w:ascii="宋体" w:hAnsi="宋体" w:eastAsia="宋体" w:cs="宋体"/>
        </w:rPr>
        <w:t xml:space="preserve">电子围栏周界报警系统是一种主动防范的报警系统，电子围栏沿围墙架设受力杆、支撑杆、围栏合金线、警示牌等前端件构成不同的防区。通过高压电子脉冲主机将高压脉冲电输到前端围栏合金线，使围栏合金线上带电。若触及电子围栏的高电压电网，会有强烈的触电感觉迫使其离开，让入侵者知难而退，有效地将入侵者阻挡在周界之外。一旦强行翻越，前端六线中任一线对地或对另外一根线短路，电子围栏的合金线会短路或断路。这时，高压电子脉冲主机会发出报警信号。同时现场发出声光报警，并通过总线将警情发至指定接警中心。在接警中心的电脑显示屏和电子地图上指明相应的位置，还在中心发出警声提醒值班的安保人员接警处理。将警情信息存储到电脑。充分体现“一威慑，二阻挡，三报警”的多重防范效果。 </w:t>
      </w:r>
    </w:p>
    <w:p w14:paraId="545FC7D6">
      <w:pPr>
        <w:pStyle w:val="12"/>
        <w:ind w:firstLine="420"/>
        <w:rPr>
          <w:rFonts w:hint="eastAsia" w:ascii="宋体" w:hAnsi="宋体" w:eastAsia="宋体" w:cs="宋体"/>
        </w:rPr>
      </w:pPr>
      <w:r>
        <w:rPr>
          <w:rFonts w:hint="eastAsia" w:ascii="宋体" w:hAnsi="宋体" w:eastAsia="宋体" w:cs="宋体"/>
        </w:rPr>
        <w:t>在安保管理中心配置接警主机和报警管理系统，组成接警台，具有防区报警显示功能，因此系统就具有双重显示能力。一旦发生周界逾越报警，管理中心和门卫保安可以相互呼应和配合，及时就近处警。在管理中心室内墙面设置大屏幕报警显示板（电子地图）。各周界部位防区位置与之采用专用接口板联动，一旦发生非法越界为更清晰、直观地显示警情位置，发生警情时，处警点直接显示在平面图上。</w:t>
      </w:r>
    </w:p>
    <w:p w14:paraId="79824723">
      <w:pPr>
        <w:pStyle w:val="5"/>
        <w:rPr>
          <w:rFonts w:hint="eastAsia" w:ascii="宋体" w:hAnsi="宋体" w:eastAsia="宋体" w:cs="宋体"/>
        </w:rPr>
      </w:pPr>
      <w:r>
        <w:rPr>
          <w:rFonts w:hint="eastAsia" w:ascii="宋体" w:hAnsi="宋体" w:eastAsia="宋体" w:cs="宋体"/>
        </w:rPr>
        <w:t>周界入侵报警系统</w:t>
      </w:r>
    </w:p>
    <w:p w14:paraId="15F00739">
      <w:pPr>
        <w:pStyle w:val="12"/>
        <w:numPr>
          <w:ilvl w:val="0"/>
          <w:numId w:val="20"/>
        </w:numPr>
        <w:ind w:left="0" w:firstLine="0" w:firstLineChars="0"/>
        <w:rPr>
          <w:rFonts w:hint="eastAsia" w:ascii="宋体" w:hAnsi="宋体" w:eastAsia="宋体" w:cs="宋体"/>
        </w:rPr>
      </w:pPr>
      <w:r>
        <w:rPr>
          <w:rFonts w:hint="eastAsia" w:ascii="宋体" w:hAnsi="宋体" w:eastAsia="宋体" w:cs="宋体"/>
        </w:rPr>
        <w:t>系统组成与技术指标</w:t>
      </w:r>
    </w:p>
    <w:p w14:paraId="3451D2C6">
      <w:pPr>
        <w:pStyle w:val="12"/>
        <w:ind w:firstLine="420"/>
        <w:rPr>
          <w:rFonts w:hint="eastAsia" w:ascii="宋体" w:hAnsi="宋体" w:eastAsia="宋体" w:cs="宋体"/>
        </w:rPr>
      </w:pPr>
      <w:r>
        <w:rPr>
          <w:rFonts w:hint="eastAsia" w:ascii="宋体" w:hAnsi="宋体" w:eastAsia="宋体" w:cs="宋体"/>
        </w:rPr>
        <w:t>本周界入侵报警系统将按照《本市安防工程用高压电子脉冲式探测器基本技术要求》和围栏建筑实际状况进行设计和配置，本系统主要由电子围栏前端设备、高压电子脉冲式主机、通信管理设备与接警电脑、报警联动和防区显示设备等组成。</w:t>
      </w:r>
    </w:p>
    <w:p w14:paraId="420FD131">
      <w:pPr>
        <w:pStyle w:val="12"/>
        <w:ind w:firstLine="420"/>
        <w:rPr>
          <w:rFonts w:hint="eastAsia" w:ascii="宋体" w:hAnsi="宋体" w:eastAsia="宋体" w:cs="宋体"/>
        </w:rPr>
      </w:pPr>
      <w:r>
        <w:rPr>
          <w:rFonts w:hint="eastAsia" w:ascii="宋体" w:hAnsi="宋体" w:eastAsia="宋体" w:cs="宋体"/>
        </w:rPr>
        <w:t>系统将满足如下主要技术指标：</w:t>
      </w:r>
    </w:p>
    <w:p w14:paraId="73D927C7">
      <w:pPr>
        <w:pStyle w:val="12"/>
        <w:numPr>
          <w:ilvl w:val="1"/>
          <w:numId w:val="21"/>
        </w:numPr>
        <w:ind w:firstLineChars="0"/>
        <w:rPr>
          <w:rFonts w:hint="eastAsia" w:ascii="宋体" w:hAnsi="宋体" w:eastAsia="宋体" w:cs="宋体"/>
        </w:rPr>
      </w:pPr>
      <w:r>
        <w:rPr>
          <w:rFonts w:hint="eastAsia" w:ascii="宋体" w:hAnsi="宋体" w:eastAsia="宋体" w:cs="宋体"/>
        </w:rPr>
        <w:t>报警响应时间：小于2秒</w:t>
      </w:r>
    </w:p>
    <w:p w14:paraId="6CD7FB78">
      <w:pPr>
        <w:pStyle w:val="12"/>
        <w:numPr>
          <w:ilvl w:val="1"/>
          <w:numId w:val="21"/>
        </w:numPr>
        <w:ind w:firstLineChars="0"/>
        <w:rPr>
          <w:rFonts w:hint="eastAsia" w:ascii="宋体" w:hAnsi="宋体" w:eastAsia="宋体" w:cs="宋体"/>
        </w:rPr>
      </w:pPr>
      <w:r>
        <w:rPr>
          <w:rFonts w:hint="eastAsia" w:ascii="宋体" w:hAnsi="宋体" w:eastAsia="宋体" w:cs="宋体"/>
        </w:rPr>
        <w:t>探测器报警持续时间：大于2秒</w:t>
      </w:r>
    </w:p>
    <w:p w14:paraId="34D7264D">
      <w:pPr>
        <w:pStyle w:val="12"/>
        <w:numPr>
          <w:ilvl w:val="1"/>
          <w:numId w:val="21"/>
        </w:numPr>
        <w:ind w:firstLineChars="0"/>
        <w:rPr>
          <w:rFonts w:hint="eastAsia" w:ascii="宋体" w:hAnsi="宋体" w:eastAsia="宋体" w:cs="宋体"/>
        </w:rPr>
      </w:pPr>
      <w:r>
        <w:rPr>
          <w:rFonts w:hint="eastAsia" w:ascii="宋体" w:hAnsi="宋体" w:eastAsia="宋体" w:cs="宋体"/>
        </w:rPr>
        <w:t>报警存储时间：大于30天</w:t>
      </w:r>
    </w:p>
    <w:p w14:paraId="3CE52D9E">
      <w:pPr>
        <w:pStyle w:val="12"/>
        <w:numPr>
          <w:ilvl w:val="1"/>
          <w:numId w:val="21"/>
        </w:numPr>
        <w:ind w:firstLineChars="0"/>
        <w:rPr>
          <w:rFonts w:hint="eastAsia" w:ascii="宋体" w:hAnsi="宋体" w:eastAsia="宋体" w:cs="宋体"/>
        </w:rPr>
      </w:pPr>
      <w:r>
        <w:rPr>
          <w:rFonts w:hint="eastAsia" w:ascii="宋体" w:hAnsi="宋体" w:eastAsia="宋体" w:cs="宋体"/>
        </w:rPr>
        <w:t>最大脉冲电压：大于5000V，且小于10000V</w:t>
      </w:r>
    </w:p>
    <w:p w14:paraId="3F13D17A">
      <w:pPr>
        <w:pStyle w:val="12"/>
        <w:numPr>
          <w:ilvl w:val="1"/>
          <w:numId w:val="21"/>
        </w:numPr>
        <w:ind w:firstLineChars="0"/>
        <w:rPr>
          <w:rFonts w:hint="eastAsia" w:ascii="宋体" w:hAnsi="宋体" w:eastAsia="宋体" w:cs="宋体"/>
        </w:rPr>
      </w:pPr>
      <w:r>
        <w:rPr>
          <w:rFonts w:hint="eastAsia" w:ascii="宋体" w:hAnsi="宋体" w:eastAsia="宋体" w:cs="宋体"/>
        </w:rPr>
        <w:t>脉冲持续时间：≤ 0.1S</w:t>
      </w:r>
    </w:p>
    <w:p w14:paraId="76580F4E">
      <w:pPr>
        <w:pStyle w:val="12"/>
        <w:numPr>
          <w:ilvl w:val="1"/>
          <w:numId w:val="21"/>
        </w:numPr>
        <w:ind w:firstLineChars="0"/>
        <w:rPr>
          <w:rFonts w:hint="eastAsia" w:ascii="宋体" w:hAnsi="宋体" w:eastAsia="宋体" w:cs="宋体"/>
        </w:rPr>
      </w:pPr>
      <w:r>
        <w:rPr>
          <w:rFonts w:hint="eastAsia" w:ascii="宋体" w:hAnsi="宋体" w:eastAsia="宋体" w:cs="宋体"/>
        </w:rPr>
        <w:t>脉冲电流峰值：≤ 10A（0.3MS以上时&lt; 300mA）</w:t>
      </w:r>
    </w:p>
    <w:p w14:paraId="2B50294F">
      <w:pPr>
        <w:pStyle w:val="12"/>
        <w:numPr>
          <w:ilvl w:val="1"/>
          <w:numId w:val="21"/>
        </w:numPr>
        <w:ind w:firstLineChars="0"/>
        <w:rPr>
          <w:rFonts w:hint="eastAsia" w:ascii="宋体" w:hAnsi="宋体" w:eastAsia="宋体" w:cs="宋体"/>
        </w:rPr>
      </w:pPr>
      <w:r>
        <w:rPr>
          <w:rFonts w:hint="eastAsia" w:ascii="宋体" w:hAnsi="宋体" w:eastAsia="宋体" w:cs="宋体"/>
        </w:rPr>
        <w:t>脉冲间隔时间：≥ 1S</w:t>
      </w:r>
    </w:p>
    <w:p w14:paraId="3D4D8CD9">
      <w:pPr>
        <w:pStyle w:val="12"/>
        <w:numPr>
          <w:ilvl w:val="1"/>
          <w:numId w:val="21"/>
        </w:numPr>
        <w:ind w:firstLineChars="0"/>
        <w:rPr>
          <w:rFonts w:hint="eastAsia" w:ascii="宋体" w:hAnsi="宋体" w:eastAsia="宋体" w:cs="宋体"/>
        </w:rPr>
      </w:pPr>
      <w:r>
        <w:rPr>
          <w:rFonts w:hint="eastAsia" w:ascii="宋体" w:hAnsi="宋体" w:eastAsia="宋体" w:cs="宋体"/>
        </w:rPr>
        <w:t>每个脉冲最大电量：≤ 2.5mC</w:t>
      </w:r>
    </w:p>
    <w:p w14:paraId="63212FCE">
      <w:pPr>
        <w:pStyle w:val="12"/>
        <w:numPr>
          <w:ilvl w:val="1"/>
          <w:numId w:val="21"/>
        </w:numPr>
        <w:ind w:firstLineChars="0"/>
        <w:rPr>
          <w:rFonts w:hint="eastAsia" w:ascii="宋体" w:hAnsi="宋体" w:eastAsia="宋体" w:cs="宋体"/>
        </w:rPr>
      </w:pPr>
      <w:r>
        <w:rPr>
          <w:rFonts w:hint="eastAsia" w:ascii="宋体" w:hAnsi="宋体" w:eastAsia="宋体" w:cs="宋体"/>
        </w:rPr>
        <w:t>每个脉冲最大能量：≤ 5.0J</w:t>
      </w:r>
    </w:p>
    <w:p w14:paraId="0B33DCE9">
      <w:pPr>
        <w:pStyle w:val="12"/>
        <w:numPr>
          <w:ilvl w:val="1"/>
          <w:numId w:val="21"/>
        </w:numPr>
        <w:ind w:firstLineChars="0"/>
        <w:rPr>
          <w:rFonts w:hint="eastAsia" w:ascii="宋体" w:hAnsi="宋体" w:eastAsia="宋体" w:cs="宋体"/>
        </w:rPr>
      </w:pPr>
      <w:r>
        <w:rPr>
          <w:rFonts w:hint="eastAsia" w:ascii="宋体" w:hAnsi="宋体" w:eastAsia="宋体" w:cs="宋体"/>
        </w:rPr>
        <w:t>前端围栏合金线数: 大于或等于6 道,底部3道相邻间隔为120±10mm其它相邻间隔为150±10mm。</w:t>
      </w:r>
    </w:p>
    <w:p w14:paraId="5FAE9FC6">
      <w:pPr>
        <w:pStyle w:val="12"/>
        <w:numPr>
          <w:ilvl w:val="1"/>
          <w:numId w:val="21"/>
        </w:numPr>
        <w:ind w:firstLineChars="0"/>
        <w:rPr>
          <w:rFonts w:hint="eastAsia" w:ascii="宋体" w:hAnsi="宋体" w:eastAsia="宋体" w:cs="宋体"/>
        </w:rPr>
      </w:pPr>
      <w:r>
        <w:rPr>
          <w:rFonts w:hint="eastAsia" w:ascii="宋体" w:hAnsi="宋体" w:eastAsia="宋体" w:cs="宋体"/>
        </w:rPr>
        <w:t>每防区探测长度不大于100米</w:t>
      </w:r>
    </w:p>
    <w:p w14:paraId="4934538F">
      <w:pPr>
        <w:pStyle w:val="12"/>
        <w:numPr>
          <w:ilvl w:val="0"/>
          <w:numId w:val="20"/>
        </w:numPr>
        <w:ind w:left="0" w:firstLine="0" w:firstLineChars="0"/>
        <w:rPr>
          <w:rFonts w:hint="eastAsia" w:ascii="宋体" w:hAnsi="宋体" w:eastAsia="宋体" w:cs="宋体"/>
        </w:rPr>
      </w:pPr>
      <w:r>
        <w:rPr>
          <w:rFonts w:hint="eastAsia" w:ascii="宋体" w:hAnsi="宋体" w:eastAsia="宋体" w:cs="宋体"/>
        </w:rPr>
        <w:t>前端设备及布置</w:t>
      </w:r>
    </w:p>
    <w:p w14:paraId="77766C9D">
      <w:pPr>
        <w:pStyle w:val="12"/>
        <w:numPr>
          <w:ilvl w:val="0"/>
          <w:numId w:val="22"/>
        </w:numPr>
        <w:ind w:firstLineChars="0"/>
        <w:rPr>
          <w:rFonts w:hint="eastAsia" w:ascii="宋体" w:hAnsi="宋体" w:eastAsia="宋体" w:cs="宋体"/>
        </w:rPr>
      </w:pPr>
      <w:r>
        <w:rPr>
          <w:rFonts w:hint="eastAsia" w:ascii="宋体" w:hAnsi="宋体" w:eastAsia="宋体" w:cs="宋体"/>
        </w:rPr>
        <w:t>防区设置</w:t>
      </w:r>
    </w:p>
    <w:p w14:paraId="1531B0CF">
      <w:pPr>
        <w:pStyle w:val="12"/>
        <w:ind w:firstLine="420"/>
        <w:rPr>
          <w:rFonts w:hint="eastAsia" w:ascii="宋体" w:hAnsi="宋体" w:eastAsia="宋体" w:cs="宋体"/>
        </w:rPr>
      </w:pPr>
      <w:r>
        <w:rPr>
          <w:rFonts w:hint="eastAsia" w:ascii="宋体" w:hAnsi="宋体" w:eastAsia="宋体" w:cs="宋体"/>
        </w:rPr>
        <w:t>每个防区的警戒距离设计一般为70米(即     个间隔混凝土立柱)。</w:t>
      </w:r>
    </w:p>
    <w:p w14:paraId="2E58ACB9">
      <w:pPr>
        <w:pStyle w:val="12"/>
        <w:numPr>
          <w:ilvl w:val="0"/>
          <w:numId w:val="22"/>
        </w:numPr>
        <w:ind w:firstLineChars="0"/>
        <w:rPr>
          <w:rFonts w:hint="eastAsia" w:ascii="宋体" w:hAnsi="宋体" w:eastAsia="宋体" w:cs="宋体"/>
        </w:rPr>
      </w:pPr>
      <w:r>
        <w:rPr>
          <w:rFonts w:hint="eastAsia" w:ascii="宋体" w:hAnsi="宋体" w:eastAsia="宋体" w:cs="宋体"/>
        </w:rPr>
        <w:t>受力杆结构及配置</w:t>
      </w:r>
    </w:p>
    <w:p w14:paraId="1AE6FF8A">
      <w:pPr>
        <w:pStyle w:val="12"/>
        <w:ind w:firstLine="420"/>
        <w:rPr>
          <w:rFonts w:hint="eastAsia" w:ascii="宋体" w:hAnsi="宋体" w:eastAsia="宋体" w:cs="宋体"/>
        </w:rPr>
      </w:pPr>
      <w:r>
        <w:rPr>
          <w:rFonts w:hint="eastAsia" w:ascii="宋体" w:hAnsi="宋体" w:eastAsia="宋体" w:cs="宋体"/>
        </w:rPr>
        <w:t xml:space="preserve">   采用Ф30mm，壁厚3mm的圆形钢管，总长为850mm，安装在混凝土立柱上，与栅栏处于同一垂直面。区间受力杆每6个立柱间隔（约20米）安装。</w:t>
      </w:r>
    </w:p>
    <w:p w14:paraId="2AE60BCE">
      <w:pPr>
        <w:pStyle w:val="12"/>
        <w:numPr>
          <w:ilvl w:val="0"/>
          <w:numId w:val="22"/>
        </w:numPr>
        <w:ind w:firstLineChars="0"/>
        <w:rPr>
          <w:rFonts w:hint="eastAsia" w:ascii="宋体" w:hAnsi="宋体" w:eastAsia="宋体" w:cs="宋体"/>
        </w:rPr>
      </w:pPr>
      <w:r>
        <w:rPr>
          <w:rFonts w:hint="eastAsia" w:ascii="宋体" w:hAnsi="宋体" w:eastAsia="宋体" w:cs="宋体"/>
        </w:rPr>
        <w:t>支撑杆结构及配置</w:t>
      </w:r>
    </w:p>
    <w:p w14:paraId="565F99ED">
      <w:pPr>
        <w:pStyle w:val="12"/>
        <w:ind w:firstLine="420"/>
        <w:rPr>
          <w:rFonts w:hint="eastAsia" w:ascii="宋体" w:hAnsi="宋体" w:eastAsia="宋体" w:cs="宋体"/>
        </w:rPr>
      </w:pPr>
      <w:r>
        <w:rPr>
          <w:rFonts w:hint="eastAsia" w:ascii="宋体" w:hAnsi="宋体" w:eastAsia="宋体" w:cs="宋体"/>
        </w:rPr>
        <w:t>采用Ф9.5mm的高分子杆, 总长为850mm，支撑杆安装在其余围墙立柱上，用于支撑合金线，保持合金线之间的标准间距。支撑杆间距小于4米。</w:t>
      </w:r>
    </w:p>
    <w:p w14:paraId="2CA10CDD">
      <w:pPr>
        <w:pStyle w:val="12"/>
        <w:numPr>
          <w:ilvl w:val="0"/>
          <w:numId w:val="22"/>
        </w:numPr>
        <w:ind w:firstLineChars="0"/>
        <w:rPr>
          <w:rFonts w:hint="eastAsia" w:ascii="宋体" w:hAnsi="宋体" w:eastAsia="宋体" w:cs="宋体"/>
        </w:rPr>
      </w:pPr>
      <w:r>
        <w:rPr>
          <w:rFonts w:hint="eastAsia" w:ascii="宋体" w:hAnsi="宋体" w:eastAsia="宋体" w:cs="宋体"/>
        </w:rPr>
        <w:t>电子围栏合金线及配置</w:t>
      </w:r>
    </w:p>
    <w:p w14:paraId="3977461D">
      <w:pPr>
        <w:pStyle w:val="12"/>
        <w:ind w:firstLine="420"/>
        <w:rPr>
          <w:rFonts w:hint="eastAsia" w:ascii="宋体" w:hAnsi="宋体" w:eastAsia="宋体" w:cs="宋体"/>
        </w:rPr>
      </w:pPr>
      <w:r>
        <w:rPr>
          <w:rFonts w:hint="eastAsia" w:ascii="宋体" w:hAnsi="宋体" w:eastAsia="宋体" w:cs="宋体"/>
        </w:rPr>
        <w:t>电子围栏金属导线采用线径2.0mm的铝镁合金线,在400—500N拉力下应当断裂、且电阻率小于2.5Ω/百米。</w:t>
      </w:r>
    </w:p>
    <w:p w14:paraId="2FC9997B">
      <w:pPr>
        <w:pStyle w:val="12"/>
        <w:ind w:firstLine="420"/>
        <w:rPr>
          <w:rFonts w:hint="eastAsia" w:ascii="宋体" w:hAnsi="宋体" w:eastAsia="宋体" w:cs="宋体"/>
        </w:rPr>
      </w:pPr>
      <w:r>
        <w:rPr>
          <w:rFonts w:hint="eastAsia" w:ascii="宋体" w:hAnsi="宋体" w:eastAsia="宋体" w:cs="宋体"/>
        </w:rPr>
        <w:t>合金线在上述受力杆、支撑杆上固定4道，围栏共有四道合金线。下端合金线与围墙栅栏间距离保持120±10mm，以此向上120±10mm间隔设置第2根和第3根，第4根合金电子线下方保持150±10mm的间距。使用绝缘子、紧线器将上述合金电子线固定牢靠、平直，并间隔连接组成两路高压回路。</w:t>
      </w:r>
    </w:p>
    <w:p w14:paraId="6411E071">
      <w:pPr>
        <w:pStyle w:val="12"/>
        <w:numPr>
          <w:ilvl w:val="0"/>
          <w:numId w:val="22"/>
        </w:numPr>
        <w:ind w:firstLineChars="0"/>
        <w:rPr>
          <w:rFonts w:hint="eastAsia" w:ascii="宋体" w:hAnsi="宋体" w:eastAsia="宋体" w:cs="宋体"/>
        </w:rPr>
      </w:pPr>
      <w:r>
        <w:rPr>
          <w:rFonts w:hint="eastAsia" w:ascii="宋体" w:hAnsi="宋体" w:eastAsia="宋体" w:cs="宋体"/>
        </w:rPr>
        <w:t>高压绝缘线</w:t>
      </w:r>
    </w:p>
    <w:p w14:paraId="1CDC4A4F">
      <w:pPr>
        <w:pStyle w:val="12"/>
        <w:ind w:firstLine="420"/>
        <w:rPr>
          <w:rFonts w:hint="eastAsia" w:ascii="宋体" w:hAnsi="宋体" w:eastAsia="宋体" w:cs="宋体"/>
        </w:rPr>
      </w:pPr>
      <w:r>
        <w:rPr>
          <w:rFonts w:hint="eastAsia" w:ascii="宋体" w:hAnsi="宋体" w:eastAsia="宋体" w:cs="宋体"/>
        </w:rPr>
        <w:t>高压电子脉冲主机与前端电子围栏合金线采用高压绝缘导线连接，也是每段合金线的连接线。该导线芯线部分与前端电子围栏合金线材质相同，其绝缘层抗脉冲电压大于15KV。</w:t>
      </w:r>
    </w:p>
    <w:p w14:paraId="4A1B8AD2">
      <w:pPr>
        <w:pStyle w:val="12"/>
        <w:numPr>
          <w:ilvl w:val="0"/>
          <w:numId w:val="22"/>
        </w:numPr>
        <w:ind w:firstLineChars="0"/>
        <w:rPr>
          <w:rFonts w:hint="eastAsia" w:ascii="宋体" w:hAnsi="宋体" w:eastAsia="宋体" w:cs="宋体"/>
        </w:rPr>
      </w:pPr>
      <w:r>
        <w:rPr>
          <w:rFonts w:hint="eastAsia" w:ascii="宋体" w:hAnsi="宋体" w:eastAsia="宋体" w:cs="宋体"/>
        </w:rPr>
        <w:t>警示牌配置及警灯警号配置</w:t>
      </w:r>
    </w:p>
    <w:p w14:paraId="1DA97721">
      <w:pPr>
        <w:pStyle w:val="12"/>
        <w:ind w:firstLine="420"/>
        <w:rPr>
          <w:rFonts w:hint="eastAsia" w:ascii="宋体" w:hAnsi="宋体" w:eastAsia="宋体" w:cs="宋体"/>
        </w:rPr>
      </w:pPr>
      <w:r>
        <w:rPr>
          <w:rFonts w:hint="eastAsia" w:ascii="宋体" w:hAnsi="宋体" w:eastAsia="宋体" w:cs="宋体"/>
        </w:rPr>
        <w:t>为了加强电子围栏的震慑功能，每隔3个围墙立柱间隔约（10米）悬挂一块夜光型警示牌。且当某个防区报警时，立即在相应的位置有警灯警号联动报警，采用专用12V室外全封闭报警器，直接连在TK-EF02防区常开输出触点。报警声为80分贝。</w:t>
      </w:r>
    </w:p>
    <w:p w14:paraId="094BE27E">
      <w:pPr>
        <w:pStyle w:val="12"/>
        <w:numPr>
          <w:ilvl w:val="0"/>
          <w:numId w:val="20"/>
        </w:numPr>
        <w:ind w:left="0" w:firstLine="0" w:firstLineChars="0"/>
        <w:rPr>
          <w:rFonts w:hint="eastAsia" w:ascii="宋体" w:hAnsi="宋体" w:eastAsia="宋体" w:cs="宋体"/>
        </w:rPr>
      </w:pPr>
      <w:r>
        <w:rPr>
          <w:rFonts w:hint="eastAsia" w:ascii="宋体" w:hAnsi="宋体" w:eastAsia="宋体" w:cs="宋体"/>
        </w:rPr>
        <w:t>系统组成及主要设备</w:t>
      </w:r>
    </w:p>
    <w:p w14:paraId="3F3CA369">
      <w:pPr>
        <w:pStyle w:val="12"/>
        <w:ind w:firstLine="420"/>
        <w:rPr>
          <w:rFonts w:hint="eastAsia" w:ascii="宋体" w:hAnsi="宋体" w:eastAsia="宋体" w:cs="宋体"/>
        </w:rPr>
      </w:pPr>
      <w:r>
        <w:rPr>
          <w:rFonts w:hint="eastAsia" w:ascii="宋体" w:hAnsi="宋体" w:eastAsia="宋体" w:cs="宋体"/>
        </w:rPr>
        <w:t>根据国家标准《脉冲电子围栏及其安装和安全运行》的通知，周界人侵报警系统主要由前端设备、中间设备和中央管理设备三部分构成。从先进性、可靠性、稳定性，以及数字化程度，可操作程度等方面综合考虑。本项目的电子围栏周界报警系统设备和高压电子脉冲式探测器选用了上海泰金电子科技有限公司生产的产品。该联网报警系统设备是在深入研究并吸取众多同类产品优点的基础上，通过多次实践，完全结合本国建筑智能化系统的需要开发研制而成。其优点在于：</w:t>
      </w:r>
    </w:p>
    <w:p w14:paraId="1455D05C">
      <w:pPr>
        <w:pStyle w:val="12"/>
        <w:ind w:firstLine="420"/>
        <w:rPr>
          <w:rFonts w:hint="eastAsia" w:ascii="宋体" w:hAnsi="宋体" w:eastAsia="宋体" w:cs="宋体"/>
        </w:rPr>
      </w:pPr>
      <w:r>
        <w:rPr>
          <w:rFonts w:hint="eastAsia" w:ascii="宋体" w:hAnsi="宋体" w:eastAsia="宋体" w:cs="宋体"/>
        </w:rPr>
        <w:t>围栏主机自带总线传输模块，无需另外增加成本，即可完成总线传输功能；</w:t>
      </w:r>
    </w:p>
    <w:p w14:paraId="3B270B66">
      <w:pPr>
        <w:pStyle w:val="12"/>
        <w:ind w:firstLine="420"/>
        <w:rPr>
          <w:rFonts w:hint="eastAsia" w:ascii="宋体" w:hAnsi="宋体" w:eastAsia="宋体" w:cs="宋体"/>
        </w:rPr>
      </w:pPr>
      <w:r>
        <w:rPr>
          <w:rFonts w:hint="eastAsia" w:ascii="宋体" w:hAnsi="宋体" w:eastAsia="宋体" w:cs="宋体"/>
        </w:rPr>
        <w:t xml:space="preserve">围栏主机采取安全低压供电方式，通讯线缆和信号传输线缆同管共线敷设，节约工程成本，方便后期维护；   </w:t>
      </w:r>
    </w:p>
    <w:p w14:paraId="63ED27D0">
      <w:pPr>
        <w:pStyle w:val="12"/>
        <w:ind w:firstLine="420"/>
        <w:rPr>
          <w:rFonts w:hint="eastAsia" w:ascii="宋体" w:hAnsi="宋体" w:eastAsia="宋体" w:cs="宋体"/>
        </w:rPr>
      </w:pPr>
      <w:r>
        <w:rPr>
          <w:rFonts w:hint="eastAsia" w:ascii="宋体" w:hAnsi="宋体" w:eastAsia="宋体" w:cs="宋体"/>
        </w:rPr>
        <w:t>围栏主机特有现场联动模块，可方便前端联动灯光、图像联动；中心可总线控制任意联动点；</w:t>
      </w:r>
    </w:p>
    <w:p w14:paraId="1C1D35A6">
      <w:pPr>
        <w:pStyle w:val="12"/>
        <w:ind w:firstLine="420"/>
        <w:rPr>
          <w:rFonts w:hint="eastAsia" w:ascii="宋体" w:hAnsi="宋体" w:eastAsia="宋体" w:cs="宋体"/>
        </w:rPr>
      </w:pPr>
      <w:r>
        <w:rPr>
          <w:rFonts w:hint="eastAsia" w:ascii="宋体" w:hAnsi="宋体" w:eastAsia="宋体" w:cs="宋体"/>
        </w:rPr>
        <w:t>产品的接口协议完全公开，与建筑工程计算机物业管理信息平台具有良好接口，能够充分体现智能化工程对于产品集成的要求，同时也避免了遇到故障时维护和修理的麻烦；</w:t>
      </w:r>
    </w:p>
    <w:p w14:paraId="279FE80A">
      <w:pPr>
        <w:pStyle w:val="12"/>
        <w:ind w:firstLine="420"/>
        <w:rPr>
          <w:rFonts w:hint="eastAsia" w:ascii="宋体" w:hAnsi="宋体" w:eastAsia="宋体" w:cs="宋体"/>
        </w:rPr>
      </w:pPr>
      <w:r>
        <w:rPr>
          <w:rFonts w:hint="eastAsia" w:ascii="宋体" w:hAnsi="宋体" w:eastAsia="宋体" w:cs="宋体"/>
        </w:rPr>
        <w:t>该系列对于报警信息具有多重显示功能，能够很好地符合各级防范报警的需要，给接警、处警带来最大的方便性；</w:t>
      </w:r>
    </w:p>
    <w:p w14:paraId="3C958D18">
      <w:pPr>
        <w:pStyle w:val="12"/>
        <w:ind w:firstLine="420"/>
        <w:rPr>
          <w:rFonts w:hint="eastAsia" w:ascii="宋体" w:hAnsi="宋体" w:eastAsia="宋体" w:cs="宋体"/>
        </w:rPr>
      </w:pPr>
      <w:r>
        <w:rPr>
          <w:rFonts w:hint="eastAsia" w:ascii="宋体" w:hAnsi="宋体" w:eastAsia="宋体" w:cs="宋体"/>
        </w:rPr>
        <w:t>产品业已通过公安部门检测认证和生产鉴定，并已经在多个项目中成功地、长时间地应用，证明其性能稳定可靠。</w:t>
      </w:r>
    </w:p>
    <w:p w14:paraId="505293CE">
      <w:pPr>
        <w:pStyle w:val="12"/>
        <w:ind w:firstLine="420"/>
        <w:rPr>
          <w:rFonts w:hint="eastAsia" w:ascii="宋体" w:hAnsi="宋体" w:eastAsia="宋体" w:cs="宋体"/>
        </w:rPr>
      </w:pPr>
      <w:r>
        <w:rPr>
          <w:rFonts w:hint="eastAsia" w:ascii="宋体" w:hAnsi="宋体" w:eastAsia="宋体" w:cs="宋体"/>
        </w:rPr>
        <w:t>本系列产品的防雷效果好。</w:t>
      </w:r>
    </w:p>
    <w:p w14:paraId="0AFD279F">
      <w:pPr>
        <w:pStyle w:val="12"/>
        <w:ind w:firstLine="420"/>
        <w:rPr>
          <w:rFonts w:hint="eastAsia" w:ascii="宋体" w:hAnsi="宋体" w:eastAsia="宋体" w:cs="宋体"/>
        </w:rPr>
      </w:pPr>
      <w:r>
        <w:rPr>
          <w:rFonts w:hint="eastAsia" w:ascii="宋体" w:hAnsi="宋体" w:eastAsia="宋体" w:cs="宋体"/>
        </w:rPr>
        <w:t>系统不受气候影响，误报率低；</w:t>
      </w:r>
    </w:p>
    <w:p w14:paraId="2CE5B3D0">
      <w:pPr>
        <w:pStyle w:val="12"/>
        <w:ind w:firstLine="420"/>
        <w:rPr>
          <w:rFonts w:hint="eastAsia" w:ascii="宋体" w:hAnsi="宋体" w:eastAsia="宋体" w:cs="宋体"/>
        </w:rPr>
      </w:pPr>
      <w:r>
        <w:rPr>
          <w:rFonts w:hint="eastAsia" w:ascii="宋体" w:hAnsi="宋体" w:eastAsia="宋体" w:cs="宋体"/>
        </w:rPr>
        <w:t>系统安装简便， 电子线的数量、两根电子线间的距离、防区长度，以及围栏的结构均可据不同场所来设计。电子围栏可独立式安装、在现有的围栏或围墙上安装及与其它物理屏障结合使用。</w:t>
      </w:r>
    </w:p>
    <w:p w14:paraId="032FFD1F">
      <w:pPr>
        <w:pStyle w:val="12"/>
        <w:ind w:firstLine="420"/>
        <w:rPr>
          <w:rFonts w:hint="eastAsia" w:ascii="宋体" w:hAnsi="宋体" w:eastAsia="宋体" w:cs="宋体"/>
        </w:rPr>
      </w:pPr>
      <w:r>
        <w:rPr>
          <w:rFonts w:hint="eastAsia" w:ascii="宋体" w:hAnsi="宋体" w:eastAsia="宋体" w:cs="宋体"/>
        </w:rPr>
        <w:t>不受周界地势高低及弯度影响，电子围栏可垂直或倾斜安装，提供更宽阔的物理屏障，防止入侵者以攀爬和挖掘的方法侵入。</w:t>
      </w:r>
    </w:p>
    <w:p w14:paraId="630E3778">
      <w:pPr>
        <w:pStyle w:val="12"/>
        <w:ind w:firstLine="420"/>
        <w:rPr>
          <w:rFonts w:hint="eastAsia" w:ascii="宋体" w:hAnsi="宋体" w:eastAsia="宋体" w:cs="宋体"/>
        </w:rPr>
      </w:pPr>
      <w:r>
        <w:rPr>
          <w:rFonts w:hint="eastAsia" w:ascii="宋体" w:hAnsi="宋体" w:eastAsia="宋体" w:cs="宋体"/>
        </w:rPr>
        <w:t>对入侵威慑、阻挡功能，触碰围栏时会触电的感觉，主机在电子围栏上产生约5500伏低能量脉冲电压，该电压能有效击退并威慑入侵者；由于其脉冲间隔大于1秒，能量低（小于5J）且作用时间短（小于0.1秒）,对人体不会构成伤害。入侵者强行突破时，主机会感知并产生报警信号。</w:t>
      </w:r>
    </w:p>
    <w:p w14:paraId="3372F30E">
      <w:pPr>
        <w:pStyle w:val="12"/>
        <w:ind w:firstLine="420"/>
        <w:rPr>
          <w:rFonts w:hint="eastAsia" w:ascii="宋体" w:hAnsi="宋体" w:eastAsia="宋体" w:cs="宋体"/>
        </w:rPr>
      </w:pPr>
      <w:r>
        <w:rPr>
          <w:rFonts w:hint="eastAsia" w:ascii="宋体" w:hAnsi="宋体" w:eastAsia="宋体" w:cs="宋体"/>
        </w:rPr>
        <w:t>系统主机每分钟对整个电子围栏巡检50次，当电子围栏的电子线断路或接地及相邻两线之间短路时，系统主机会发出报警信号。</w:t>
      </w:r>
    </w:p>
    <w:p w14:paraId="5BE31F40">
      <w:pPr>
        <w:pStyle w:val="12"/>
        <w:ind w:firstLine="420"/>
        <w:rPr>
          <w:rFonts w:hint="eastAsia" w:ascii="宋体" w:hAnsi="宋体" w:eastAsia="宋体" w:cs="宋体"/>
        </w:rPr>
      </w:pPr>
      <w:r>
        <w:rPr>
          <w:rFonts w:hint="eastAsia" w:ascii="宋体" w:hAnsi="宋体" w:eastAsia="宋体" w:cs="宋体"/>
        </w:rPr>
        <w:t>系统安装简便，电子线的数量、两根电子线间的距离、防区长度，以及围栏的结构均可据不同场所来设计。电子围栏可独立式安装、也可在现有的围栏或围墙上安装及与其它物理屏障结合使用</w:t>
      </w:r>
    </w:p>
    <w:p w14:paraId="3332B8D0">
      <w:pPr>
        <w:pStyle w:val="12"/>
        <w:ind w:firstLine="420"/>
        <w:rPr>
          <w:rFonts w:hint="eastAsia" w:ascii="宋体" w:hAnsi="宋体" w:eastAsia="宋体" w:cs="宋体"/>
        </w:rPr>
      </w:pPr>
      <w:r>
        <w:rPr>
          <w:rFonts w:hint="eastAsia" w:ascii="宋体" w:hAnsi="宋体" w:eastAsia="宋体" w:cs="宋体"/>
        </w:rPr>
        <w:t>前端设备</w:t>
      </w:r>
    </w:p>
    <w:p w14:paraId="3BE8BFE1">
      <w:pPr>
        <w:pStyle w:val="12"/>
        <w:ind w:firstLine="420"/>
        <w:rPr>
          <w:rFonts w:hint="eastAsia" w:ascii="宋体" w:hAnsi="宋体" w:eastAsia="宋体" w:cs="宋体"/>
        </w:rPr>
      </w:pPr>
      <w:r>
        <w:rPr>
          <w:rFonts w:hint="eastAsia" w:ascii="宋体" w:hAnsi="宋体" w:eastAsia="宋体" w:cs="宋体"/>
          <w:lang w:val="en-US" w:eastAsia="zh-CN"/>
        </w:rPr>
        <w:t>a</w:t>
      </w:r>
      <w:r>
        <w:rPr>
          <w:rFonts w:hint="eastAsia" w:ascii="宋体" w:hAnsi="宋体" w:eastAsia="宋体" w:cs="宋体"/>
        </w:rPr>
        <w:t>) 高压电子脉冲式主机，每台主机二个或一个防区。安装于围墙混凝土立柱防雨箱内。</w:t>
      </w:r>
    </w:p>
    <w:p w14:paraId="6B15FD0B">
      <w:pPr>
        <w:pStyle w:val="12"/>
        <w:ind w:firstLine="420"/>
        <w:rPr>
          <w:rFonts w:hint="eastAsia" w:ascii="宋体" w:hAnsi="宋体" w:eastAsia="宋体" w:cs="宋体"/>
        </w:rPr>
      </w:pPr>
      <w:r>
        <w:rPr>
          <w:rFonts w:hint="eastAsia" w:ascii="宋体" w:hAnsi="宋体" w:eastAsia="宋体" w:cs="宋体"/>
          <w:lang w:val="en-US" w:eastAsia="zh-CN"/>
        </w:rPr>
        <w:t>b</w:t>
      </w:r>
      <w:r>
        <w:rPr>
          <w:rFonts w:hint="eastAsia" w:ascii="宋体" w:hAnsi="宋体" w:eastAsia="宋体" w:cs="宋体"/>
        </w:rPr>
        <w:t>) 受力杆安装于围墙混凝土立柱上，每防区3至4根，特殊部位要多些。</w:t>
      </w:r>
    </w:p>
    <w:p w14:paraId="459974D3">
      <w:pPr>
        <w:pStyle w:val="12"/>
        <w:ind w:firstLine="420"/>
        <w:rPr>
          <w:rFonts w:hint="eastAsia" w:ascii="宋体" w:hAnsi="宋体" w:eastAsia="宋体" w:cs="宋体"/>
        </w:rPr>
      </w:pPr>
      <w:r>
        <w:rPr>
          <w:rFonts w:hint="eastAsia" w:ascii="宋体" w:hAnsi="宋体" w:eastAsia="宋体" w:cs="宋体"/>
          <w:lang w:val="en-US" w:eastAsia="zh-CN"/>
        </w:rPr>
        <w:t>c</w:t>
      </w:r>
      <w:r>
        <w:rPr>
          <w:rFonts w:hint="eastAsia" w:ascii="宋体" w:hAnsi="宋体" w:eastAsia="宋体" w:cs="宋体"/>
        </w:rPr>
        <w:t>) 支撑杆安装于围墙混凝土立柱上，除受力杆外，都安装支撑杆。</w:t>
      </w:r>
    </w:p>
    <w:p w14:paraId="2B2396CC">
      <w:pPr>
        <w:pStyle w:val="12"/>
        <w:ind w:firstLine="420"/>
        <w:rPr>
          <w:rFonts w:hint="eastAsia" w:ascii="宋体" w:hAnsi="宋体" w:eastAsia="宋体" w:cs="宋体"/>
        </w:rPr>
      </w:pPr>
      <w:r>
        <w:rPr>
          <w:rFonts w:hint="eastAsia" w:ascii="宋体" w:hAnsi="宋体" w:eastAsia="宋体" w:cs="宋体"/>
          <w:lang w:val="en-US" w:eastAsia="zh-CN"/>
        </w:rPr>
        <w:t>d</w:t>
      </w:r>
      <w:r>
        <w:rPr>
          <w:rFonts w:hint="eastAsia" w:ascii="宋体" w:hAnsi="宋体" w:eastAsia="宋体" w:cs="宋体"/>
        </w:rPr>
        <w:t>) 合金线安装4道。</w:t>
      </w:r>
    </w:p>
    <w:p w14:paraId="0F5CE947">
      <w:pPr>
        <w:pStyle w:val="12"/>
        <w:ind w:firstLine="420"/>
        <w:rPr>
          <w:rFonts w:hint="eastAsia" w:ascii="宋体" w:hAnsi="宋体" w:eastAsia="宋体" w:cs="宋体"/>
        </w:rPr>
      </w:pPr>
      <w:r>
        <w:rPr>
          <w:rFonts w:hint="eastAsia" w:ascii="宋体" w:hAnsi="宋体" w:eastAsia="宋体" w:cs="宋体"/>
          <w:lang w:val="en-US" w:eastAsia="zh-CN"/>
        </w:rPr>
        <w:t>e</w:t>
      </w:r>
      <w:r>
        <w:rPr>
          <w:rFonts w:hint="eastAsia" w:ascii="宋体" w:hAnsi="宋体" w:eastAsia="宋体" w:cs="宋体"/>
        </w:rPr>
        <w:t>) 警示牌每隔10米挂一个。</w:t>
      </w:r>
    </w:p>
    <w:p w14:paraId="7A6E021C">
      <w:pPr>
        <w:pStyle w:val="12"/>
        <w:ind w:firstLine="420"/>
        <w:rPr>
          <w:rFonts w:hint="eastAsia" w:ascii="宋体" w:hAnsi="宋体" w:eastAsia="宋体" w:cs="宋体"/>
        </w:rPr>
      </w:pPr>
      <w:r>
        <w:rPr>
          <w:rFonts w:hint="eastAsia" w:ascii="宋体" w:hAnsi="宋体" w:eastAsia="宋体" w:cs="宋体"/>
          <w:lang w:val="en-US" w:eastAsia="zh-CN"/>
        </w:rPr>
        <w:t>f</w:t>
      </w:r>
      <w:r>
        <w:rPr>
          <w:rFonts w:hint="eastAsia" w:ascii="宋体" w:hAnsi="宋体" w:eastAsia="宋体" w:cs="宋体"/>
        </w:rPr>
        <w:t>) 避雷器每防区1台。</w:t>
      </w:r>
    </w:p>
    <w:p w14:paraId="6953EAA6">
      <w:pPr>
        <w:pStyle w:val="12"/>
        <w:ind w:firstLine="420"/>
        <w:rPr>
          <w:rFonts w:hint="eastAsia" w:ascii="宋体" w:hAnsi="宋体" w:eastAsia="宋体" w:cs="宋体"/>
        </w:rPr>
      </w:pPr>
      <w:r>
        <w:rPr>
          <w:rFonts w:hint="eastAsia" w:ascii="宋体" w:hAnsi="宋体" w:eastAsia="宋体" w:cs="宋体"/>
          <w:lang w:val="en-US" w:eastAsia="zh-CN"/>
        </w:rPr>
        <w:t>g</w:t>
      </w:r>
      <w:r>
        <w:rPr>
          <w:rFonts w:hint="eastAsia" w:ascii="宋体" w:hAnsi="宋体" w:eastAsia="宋体" w:cs="宋体"/>
        </w:rPr>
        <w:t>) 室外警灯警号每防区1套。</w:t>
      </w:r>
    </w:p>
    <w:p w14:paraId="535DD385">
      <w:pPr>
        <w:pStyle w:val="12"/>
        <w:ind w:firstLine="420"/>
        <w:rPr>
          <w:rFonts w:hint="eastAsia" w:ascii="宋体" w:hAnsi="宋体" w:eastAsia="宋体" w:cs="宋体"/>
        </w:rPr>
      </w:pPr>
      <w:r>
        <w:rPr>
          <w:rFonts w:hint="eastAsia" w:ascii="宋体" w:hAnsi="宋体" w:eastAsia="宋体" w:cs="宋体"/>
          <w:lang w:val="en-US" w:eastAsia="zh-CN"/>
        </w:rPr>
        <w:t>h</w:t>
      </w:r>
      <w:r>
        <w:rPr>
          <w:rFonts w:hint="eastAsia" w:ascii="宋体" w:hAnsi="宋体" w:eastAsia="宋体" w:cs="宋体"/>
        </w:rPr>
        <w:t xml:space="preserve">) 受力绝缘子、受力绝缘子夹、支撑绝缘子，紧线器，高压绝缘线，接地线等一批。 </w:t>
      </w:r>
    </w:p>
    <w:p w14:paraId="7CC0A4CF">
      <w:pPr>
        <w:pStyle w:val="12"/>
        <w:ind w:firstLine="420"/>
        <w:rPr>
          <w:rFonts w:hint="eastAsia" w:ascii="宋体" w:hAnsi="宋体" w:eastAsia="宋体" w:cs="宋体"/>
        </w:rPr>
      </w:pPr>
      <w:r>
        <w:rPr>
          <w:rFonts w:hint="eastAsia" w:ascii="宋体" w:hAnsi="宋体" w:eastAsia="宋体" w:cs="宋体"/>
        </w:rPr>
        <w:t>中间设备</w:t>
      </w:r>
      <w:r>
        <w:rPr>
          <w:rFonts w:hint="eastAsia" w:ascii="宋体" w:hAnsi="宋体" w:eastAsia="宋体" w:cs="宋体"/>
          <w:lang w:val="en-US" w:eastAsia="zh-CN"/>
        </w:rPr>
        <w:t>:</w:t>
      </w:r>
      <w:r>
        <w:rPr>
          <w:rFonts w:hint="eastAsia" w:ascii="宋体" w:hAnsi="宋体" w:eastAsia="宋体" w:cs="宋体"/>
        </w:rPr>
        <w:t>中继器，安装于MC-1消防控制室。</w:t>
      </w:r>
    </w:p>
    <w:p w14:paraId="057F8F97">
      <w:pPr>
        <w:pStyle w:val="12"/>
        <w:ind w:firstLine="420"/>
        <w:rPr>
          <w:rFonts w:hint="eastAsia" w:ascii="宋体" w:hAnsi="宋体" w:eastAsia="宋体" w:cs="宋体"/>
        </w:rPr>
      </w:pPr>
      <w:r>
        <w:rPr>
          <w:rFonts w:hint="eastAsia" w:ascii="宋体" w:hAnsi="宋体" w:eastAsia="宋体" w:cs="宋体"/>
        </w:rPr>
        <w:t>报警管理设备</w:t>
      </w:r>
    </w:p>
    <w:p w14:paraId="09B44709">
      <w:pPr>
        <w:pStyle w:val="12"/>
        <w:ind w:firstLine="420"/>
        <w:rPr>
          <w:rFonts w:hint="eastAsia" w:ascii="宋体" w:hAnsi="宋体" w:eastAsia="宋体" w:cs="宋体"/>
        </w:rPr>
      </w:pPr>
      <w:r>
        <w:rPr>
          <w:rFonts w:hint="eastAsia" w:ascii="宋体" w:hAnsi="宋体" w:eastAsia="宋体" w:cs="宋体"/>
          <w:lang w:val="en-US" w:eastAsia="zh-CN"/>
        </w:rPr>
        <w:t>a</w:t>
      </w:r>
      <w:r>
        <w:rPr>
          <w:rFonts w:hint="eastAsia" w:ascii="宋体" w:hAnsi="宋体" w:eastAsia="宋体" w:cs="宋体"/>
        </w:rPr>
        <w:t xml:space="preserve">)报警主机一台，电脑一台，连接报警中继器接收警情，连接地图驱动控制器，驱动电子地图显示板和机房内报警警号。配置接警中心管理软件处理周界系统报警信息和处警信息。 </w:t>
      </w:r>
    </w:p>
    <w:p w14:paraId="6415DA11">
      <w:pPr>
        <w:pStyle w:val="12"/>
        <w:ind w:firstLine="420"/>
        <w:rPr>
          <w:rFonts w:hint="eastAsia" w:ascii="宋体" w:hAnsi="宋体" w:eastAsia="宋体" w:cs="宋体"/>
        </w:rPr>
      </w:pPr>
      <w:r>
        <w:rPr>
          <w:rFonts w:hint="eastAsia" w:ascii="宋体" w:hAnsi="宋体" w:eastAsia="宋体" w:cs="宋体"/>
          <w:lang w:val="en-US" w:eastAsia="zh-CN"/>
        </w:rPr>
        <w:t>b</w:t>
      </w:r>
      <w:r>
        <w:rPr>
          <w:rFonts w:hint="eastAsia" w:ascii="宋体" w:hAnsi="宋体" w:eastAsia="宋体" w:cs="宋体"/>
        </w:rPr>
        <w:t>) 防区电子地图显示板一块（定制）</w:t>
      </w:r>
    </w:p>
    <w:p w14:paraId="355BA80D">
      <w:pPr>
        <w:pStyle w:val="12"/>
        <w:ind w:firstLine="420"/>
        <w:rPr>
          <w:rFonts w:hint="eastAsia" w:ascii="宋体" w:hAnsi="宋体" w:eastAsia="宋体" w:cs="宋体"/>
        </w:rPr>
      </w:pPr>
      <w:r>
        <w:rPr>
          <w:rFonts w:hint="eastAsia" w:ascii="宋体" w:hAnsi="宋体" w:eastAsia="宋体" w:cs="宋体"/>
          <w:lang w:val="en-US" w:eastAsia="zh-CN"/>
        </w:rPr>
        <w:t>c</w:t>
      </w:r>
      <w:r>
        <w:rPr>
          <w:rFonts w:hint="eastAsia" w:ascii="宋体" w:hAnsi="宋体" w:eastAsia="宋体" w:cs="宋体"/>
        </w:rPr>
        <w:t>) 通用交流电源、直流电源</w:t>
      </w:r>
    </w:p>
    <w:p w14:paraId="184AC774">
      <w:pPr>
        <w:pStyle w:val="12"/>
        <w:ind w:firstLine="420"/>
        <w:rPr>
          <w:rFonts w:hint="eastAsia" w:ascii="宋体" w:hAnsi="宋体" w:eastAsia="宋体" w:cs="宋体"/>
        </w:rPr>
      </w:pPr>
      <w:r>
        <w:rPr>
          <w:rFonts w:hint="eastAsia" w:ascii="宋体" w:hAnsi="宋体" w:eastAsia="宋体" w:cs="宋体"/>
          <w:lang w:val="en-US" w:eastAsia="zh-CN"/>
        </w:rPr>
        <w:t>d</w:t>
      </w:r>
      <w:r>
        <w:rPr>
          <w:rFonts w:hint="eastAsia" w:ascii="宋体" w:hAnsi="宋体" w:eastAsia="宋体" w:cs="宋体"/>
        </w:rPr>
        <w:t xml:space="preserve">) 操控台或电脑工作台  </w:t>
      </w:r>
    </w:p>
    <w:p w14:paraId="07D2609F">
      <w:pPr>
        <w:pStyle w:val="12"/>
        <w:numPr>
          <w:ilvl w:val="0"/>
          <w:numId w:val="20"/>
        </w:numPr>
        <w:ind w:left="0" w:firstLine="0" w:firstLineChars="0"/>
        <w:rPr>
          <w:rFonts w:hint="eastAsia" w:ascii="宋体" w:hAnsi="宋体" w:eastAsia="宋体" w:cs="宋体"/>
        </w:rPr>
      </w:pPr>
      <w:r>
        <w:rPr>
          <w:rFonts w:hint="eastAsia" w:ascii="宋体" w:hAnsi="宋体" w:eastAsia="宋体" w:cs="宋体"/>
        </w:rPr>
        <w:t>系统主要功能</w:t>
      </w:r>
    </w:p>
    <w:p w14:paraId="2CD15F12">
      <w:pPr>
        <w:pStyle w:val="12"/>
        <w:ind w:firstLine="420"/>
        <w:rPr>
          <w:rFonts w:hint="eastAsia" w:ascii="宋体" w:hAnsi="宋体" w:eastAsia="宋体" w:cs="宋体"/>
        </w:rPr>
      </w:pPr>
      <w:r>
        <w:rPr>
          <w:rFonts w:hint="eastAsia" w:ascii="宋体" w:hAnsi="宋体" w:eastAsia="宋体" w:cs="宋体"/>
        </w:rPr>
        <w:t>系统基本工作原理</w:t>
      </w:r>
    </w:p>
    <w:p w14:paraId="77390EED">
      <w:pPr>
        <w:pStyle w:val="12"/>
        <w:ind w:firstLine="420"/>
        <w:rPr>
          <w:rFonts w:hint="eastAsia" w:ascii="宋体" w:hAnsi="宋体" w:eastAsia="宋体" w:cs="宋体"/>
        </w:rPr>
      </w:pPr>
      <w:r>
        <w:rPr>
          <w:rFonts w:hint="eastAsia" w:ascii="宋体" w:hAnsi="宋体" w:eastAsia="宋体" w:cs="宋体"/>
        </w:rPr>
        <w:t>电子围栏沿围墙架设受力杆、支撑杆、围栏合金线、警示牌等前端件构成不同的防区。通过高压电子脉冲主机将高压脉冲电输到前端围栏合金线，使围栏合金线上带脉冲电。若触及电子围栏的高电压电网，会有强烈的触电感觉迫使其离开，让入侵者知难而退，有效地将入侵者阻挡在周界之外。一旦强行翻越闯入，会造成前端六线中任一线对地或对另外一根线短路，由于合金线只能承受500N 的拉力，也会导致电子围栏的合金线断路。这时，高压电子脉冲主机会发出报警信号。同时现场发出声光报警，在系统布防状态下，接警中心电</w:t>
      </w:r>
    </w:p>
    <w:p w14:paraId="62FE8EAF">
      <w:pPr>
        <w:pStyle w:val="12"/>
        <w:ind w:firstLine="420"/>
        <w:rPr>
          <w:rFonts w:hint="eastAsia" w:ascii="宋体" w:hAnsi="宋体" w:eastAsia="宋体" w:cs="宋体"/>
        </w:rPr>
      </w:pPr>
      <w:r>
        <w:rPr>
          <w:rFonts w:hint="eastAsia" w:ascii="宋体" w:hAnsi="宋体" w:eastAsia="宋体" w:cs="宋体"/>
        </w:rPr>
        <w:t>通过周界围墙上安装脉冲式电子围栏不仅能起到一般周界入侵探测器的功能，又因为脉冲式电子围栏是有形的防入侵障碍物，能够在一定程度上阻挡入侵行为。</w:t>
      </w:r>
    </w:p>
    <w:p w14:paraId="5AB4C1B0">
      <w:pPr>
        <w:pStyle w:val="12"/>
        <w:ind w:firstLine="420"/>
        <w:rPr>
          <w:rFonts w:hint="eastAsia" w:ascii="宋体" w:hAnsi="宋体" w:eastAsia="宋体" w:cs="宋体"/>
        </w:rPr>
      </w:pPr>
      <w:r>
        <w:rPr>
          <w:rFonts w:hint="eastAsia" w:ascii="宋体" w:hAnsi="宋体" w:eastAsia="宋体" w:cs="宋体"/>
        </w:rPr>
        <w:t>合金线的静态拉力可进行调整，能够在使用过程中调整至适宜的张力，可克服金属线自然伸缩引起的问题。</w:t>
      </w:r>
    </w:p>
    <w:p w14:paraId="63776F47">
      <w:pPr>
        <w:pStyle w:val="12"/>
        <w:ind w:firstLine="420"/>
        <w:rPr>
          <w:rFonts w:hint="eastAsia" w:ascii="宋体" w:hAnsi="宋体" w:eastAsia="宋体" w:cs="宋体"/>
        </w:rPr>
      </w:pPr>
      <w:r>
        <w:rPr>
          <w:rFonts w:hint="eastAsia" w:ascii="宋体" w:hAnsi="宋体" w:eastAsia="宋体" w:cs="宋体"/>
        </w:rPr>
        <w:t>系统具有合金线剪断报警和防止产生误报警功能。</w:t>
      </w:r>
    </w:p>
    <w:p w14:paraId="77F4D7AC">
      <w:pPr>
        <w:pStyle w:val="12"/>
        <w:ind w:firstLine="420"/>
        <w:rPr>
          <w:rFonts w:hint="eastAsia" w:ascii="宋体" w:hAnsi="宋体" w:eastAsia="宋体" w:cs="宋体"/>
        </w:rPr>
      </w:pPr>
      <w:r>
        <w:rPr>
          <w:rFonts w:hint="eastAsia" w:ascii="宋体" w:hAnsi="宋体" w:eastAsia="宋体" w:cs="宋体"/>
        </w:rPr>
        <w:t>报警信息双重显示，本报警系统具有双重显示报警信息的能力，一旦发生周界逾越报警，现场报警能指示报警防区，同时监控中心电子地图上也能显示该报警防区，利于全方位处警。</w:t>
      </w:r>
    </w:p>
    <w:p w14:paraId="0702DC5F">
      <w:pPr>
        <w:pStyle w:val="12"/>
        <w:ind w:firstLine="420"/>
        <w:rPr>
          <w:rFonts w:hint="eastAsia" w:ascii="宋体" w:hAnsi="宋体" w:eastAsia="宋体" w:cs="宋体"/>
        </w:rPr>
      </w:pPr>
      <w:r>
        <w:rPr>
          <w:rFonts w:hint="eastAsia" w:ascii="宋体" w:hAnsi="宋体" w:eastAsia="宋体" w:cs="宋体"/>
        </w:rPr>
        <w:t>系统报警相应时间不大于2秒。</w:t>
      </w:r>
    </w:p>
    <w:p w14:paraId="13CCD7CB">
      <w:pPr>
        <w:pStyle w:val="12"/>
        <w:ind w:firstLine="420"/>
        <w:rPr>
          <w:rFonts w:hint="eastAsia" w:ascii="宋体" w:hAnsi="宋体" w:eastAsia="宋体" w:cs="宋体"/>
        </w:rPr>
      </w:pPr>
      <w:r>
        <w:rPr>
          <w:rFonts w:hint="eastAsia" w:ascii="宋体" w:hAnsi="宋体" w:eastAsia="宋体" w:cs="宋体"/>
        </w:rPr>
        <w:t>报警信息保存时间大于1年。</w:t>
      </w:r>
    </w:p>
    <w:p w14:paraId="347F51D3">
      <w:pPr>
        <w:pStyle w:val="12"/>
        <w:numPr>
          <w:ilvl w:val="0"/>
          <w:numId w:val="20"/>
        </w:numPr>
        <w:ind w:left="0" w:firstLine="0" w:firstLineChars="0"/>
        <w:rPr>
          <w:rFonts w:hint="eastAsia" w:ascii="宋体" w:hAnsi="宋体" w:eastAsia="宋体" w:cs="宋体"/>
        </w:rPr>
      </w:pPr>
      <w:r>
        <w:rPr>
          <w:rFonts w:hint="eastAsia" w:ascii="宋体" w:hAnsi="宋体" w:eastAsia="宋体" w:cs="宋体"/>
        </w:rPr>
        <w:t>系统主要设备技术参数</w:t>
      </w:r>
    </w:p>
    <w:p w14:paraId="1372E5A5">
      <w:pPr>
        <w:pStyle w:val="12"/>
        <w:ind w:firstLine="420"/>
        <w:rPr>
          <w:rFonts w:hint="eastAsia" w:ascii="宋体" w:hAnsi="宋体" w:eastAsia="宋体" w:cs="宋体"/>
        </w:rPr>
      </w:pPr>
      <w:r>
        <w:rPr>
          <w:rFonts w:hint="eastAsia" w:ascii="宋体" w:hAnsi="宋体" w:eastAsia="宋体" w:cs="宋体"/>
        </w:rPr>
        <w:t>1.高压电子脉冲式主机</w:t>
      </w:r>
    </w:p>
    <w:p w14:paraId="39E0A430">
      <w:pPr>
        <w:pStyle w:val="12"/>
        <w:ind w:firstLine="420"/>
        <w:rPr>
          <w:rFonts w:hint="eastAsia" w:ascii="宋体" w:hAnsi="宋体" w:eastAsia="宋体" w:cs="宋体"/>
        </w:rPr>
      </w:pPr>
      <w:r>
        <w:rPr>
          <w:rFonts w:hint="eastAsia" w:ascii="宋体" w:hAnsi="宋体" w:eastAsia="宋体" w:cs="宋体"/>
        </w:rPr>
        <w:t>符合GB7946《带电铁丝网和电围栏的安装和安全运行》国家标准。</w:t>
      </w:r>
    </w:p>
    <w:p w14:paraId="7A079695">
      <w:pPr>
        <w:pStyle w:val="12"/>
        <w:ind w:firstLine="420"/>
        <w:rPr>
          <w:rFonts w:hint="eastAsia" w:ascii="宋体" w:hAnsi="宋体" w:eastAsia="宋体" w:cs="宋体"/>
        </w:rPr>
      </w:pPr>
      <w:r>
        <w:rPr>
          <w:rFonts w:hint="eastAsia" w:ascii="宋体" w:hAnsi="宋体" w:eastAsia="宋体" w:cs="宋体"/>
        </w:rPr>
        <w:t>标准的工业设计，以便系统集成时更为方便、可靠。</w:t>
      </w:r>
    </w:p>
    <w:p w14:paraId="1028C778">
      <w:pPr>
        <w:pStyle w:val="12"/>
        <w:ind w:firstLine="420"/>
        <w:rPr>
          <w:rFonts w:hint="eastAsia" w:ascii="宋体" w:hAnsi="宋体" w:eastAsia="宋体" w:cs="宋体"/>
        </w:rPr>
      </w:pPr>
      <w:r>
        <w:rPr>
          <w:rFonts w:hint="eastAsia" w:ascii="宋体" w:hAnsi="宋体" w:eastAsia="宋体" w:cs="宋体"/>
        </w:rPr>
        <w:t>使用智能侦测技术，平时电力消耗非常小，打击时保证最恰当的打击强度。</w:t>
      </w:r>
    </w:p>
    <w:p w14:paraId="07790B75">
      <w:pPr>
        <w:pStyle w:val="12"/>
        <w:ind w:firstLine="420"/>
        <w:rPr>
          <w:rFonts w:hint="eastAsia" w:ascii="宋体" w:hAnsi="宋体" w:eastAsia="宋体" w:cs="宋体"/>
        </w:rPr>
      </w:pPr>
      <w:r>
        <w:rPr>
          <w:rFonts w:hint="eastAsia" w:ascii="宋体" w:hAnsi="宋体" w:eastAsia="宋体" w:cs="宋体"/>
        </w:rPr>
        <w:t>报警触发阀值智能预测算法，可根据环境（晴、雨等）自动确定最合适的触发阀值，环境适应性强，操作简单。</w:t>
      </w:r>
    </w:p>
    <w:p w14:paraId="49B93835">
      <w:pPr>
        <w:pStyle w:val="12"/>
        <w:ind w:firstLine="420"/>
        <w:rPr>
          <w:rFonts w:hint="eastAsia" w:ascii="宋体" w:hAnsi="宋体" w:eastAsia="宋体" w:cs="宋体"/>
        </w:rPr>
      </w:pPr>
      <w:r>
        <w:rPr>
          <w:rFonts w:hint="eastAsia" w:ascii="宋体" w:hAnsi="宋体" w:eastAsia="宋体" w:cs="宋体"/>
        </w:rPr>
        <w:t>随意设置触网触发阀值，存储器保存（出厂时已按常规预设）满足其他特定要求。</w:t>
      </w:r>
    </w:p>
    <w:p w14:paraId="61AE25A4">
      <w:pPr>
        <w:pStyle w:val="12"/>
        <w:ind w:firstLine="420"/>
        <w:rPr>
          <w:rFonts w:hint="eastAsia" w:ascii="宋体" w:hAnsi="宋体" w:eastAsia="宋体" w:cs="宋体"/>
        </w:rPr>
      </w:pPr>
      <w:r>
        <w:rPr>
          <w:rFonts w:hint="eastAsia" w:ascii="宋体" w:hAnsi="宋体" w:eastAsia="宋体" w:cs="宋体"/>
        </w:rPr>
        <w:t>采用多项冗余，数据多重校验，确保系统稳定工作。</w:t>
      </w:r>
    </w:p>
    <w:p w14:paraId="70E6DCFE">
      <w:pPr>
        <w:pStyle w:val="12"/>
        <w:ind w:firstLine="420"/>
        <w:rPr>
          <w:rFonts w:hint="eastAsia" w:ascii="宋体" w:hAnsi="宋体" w:eastAsia="宋体" w:cs="宋体"/>
        </w:rPr>
      </w:pPr>
      <w:r>
        <w:rPr>
          <w:rFonts w:hint="eastAsia" w:ascii="宋体" w:hAnsi="宋体" w:eastAsia="宋体" w:cs="宋体"/>
        </w:rPr>
        <w:t>DC12V、常开/常闭等输出方式，可实现微机远程控制、外接警号、报警联动等功能。</w:t>
      </w:r>
    </w:p>
    <w:p w14:paraId="63B8E300">
      <w:pPr>
        <w:pStyle w:val="12"/>
        <w:ind w:firstLine="420"/>
        <w:rPr>
          <w:rFonts w:hint="eastAsia" w:ascii="宋体" w:hAnsi="宋体" w:eastAsia="宋体" w:cs="宋体"/>
        </w:rPr>
      </w:pPr>
      <w:r>
        <w:rPr>
          <w:rFonts w:hint="eastAsia" w:ascii="宋体" w:hAnsi="宋体" w:eastAsia="宋体" w:cs="宋体"/>
        </w:rPr>
        <w:t>远程控制软件界面友好。</w:t>
      </w:r>
    </w:p>
    <w:p w14:paraId="46E9520A">
      <w:pPr>
        <w:pStyle w:val="12"/>
        <w:ind w:firstLine="420"/>
        <w:rPr>
          <w:rFonts w:hint="eastAsia" w:ascii="宋体" w:hAnsi="宋体" w:eastAsia="宋体" w:cs="宋体"/>
        </w:rPr>
      </w:pPr>
      <w:r>
        <w:rPr>
          <w:rFonts w:hint="eastAsia" w:ascii="宋体" w:hAnsi="宋体" w:eastAsia="宋体" w:cs="宋体"/>
        </w:rPr>
        <w:t>技术指标</w:t>
      </w:r>
    </w:p>
    <w:tbl>
      <w:tblPr>
        <w:tblStyle w:val="1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6"/>
        <w:gridCol w:w="2850"/>
        <w:gridCol w:w="955"/>
        <w:gridCol w:w="4347"/>
      </w:tblGrid>
      <w:tr w14:paraId="04A68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 w:type="pct"/>
            <w:vAlign w:val="center"/>
          </w:tcPr>
          <w:p w14:paraId="08238289">
            <w:pPr>
              <w:widowControl w:val="0"/>
              <w:topLinePunct/>
              <w:adjustRightInd w:val="0"/>
              <w:snapToGrid w:val="0"/>
              <w:contextualSpacing/>
              <w:jc w:val="center"/>
              <w:rPr>
                <w:rFonts w:hint="eastAsia" w:ascii="宋体" w:hAnsi="宋体" w:eastAsia="宋体" w:cs="宋体"/>
                <w:snapToGrid w:val="0"/>
                <w:kern w:val="0"/>
                <w:sz w:val="21"/>
                <w:szCs w:val="21"/>
                <w14:ligatures w14:val="none"/>
              </w:rPr>
            </w:pPr>
            <w:r>
              <w:rPr>
                <w:rFonts w:hint="eastAsia" w:ascii="宋体" w:hAnsi="宋体" w:eastAsia="宋体" w:cs="宋体"/>
                <w:snapToGrid w:val="0"/>
                <w:kern w:val="0"/>
                <w:sz w:val="21"/>
                <w:szCs w:val="21"/>
                <w14:ligatures w14:val="none"/>
              </w:rPr>
              <w:t>序号</w:t>
            </w:r>
          </w:p>
        </w:tc>
        <w:tc>
          <w:tcPr>
            <w:tcW w:w="1575" w:type="pct"/>
            <w:vAlign w:val="center"/>
          </w:tcPr>
          <w:p w14:paraId="55537C5D">
            <w:pPr>
              <w:widowControl w:val="0"/>
              <w:topLinePunct/>
              <w:adjustRightInd w:val="0"/>
              <w:snapToGrid w:val="0"/>
              <w:contextualSpacing/>
              <w:jc w:val="center"/>
              <w:rPr>
                <w:rFonts w:hint="eastAsia" w:ascii="宋体" w:hAnsi="宋体" w:eastAsia="宋体" w:cs="宋体"/>
                <w:snapToGrid w:val="0"/>
                <w:kern w:val="0"/>
                <w:sz w:val="21"/>
                <w:szCs w:val="21"/>
                <w14:ligatures w14:val="none"/>
              </w:rPr>
            </w:pPr>
            <w:r>
              <w:rPr>
                <w:rFonts w:hint="eastAsia" w:ascii="宋体" w:hAnsi="宋体" w:eastAsia="宋体" w:cs="宋体"/>
                <w:snapToGrid w:val="0"/>
                <w:kern w:val="0"/>
                <w:sz w:val="21"/>
                <w:szCs w:val="21"/>
                <w14:ligatures w14:val="none"/>
              </w:rPr>
              <w:t>项目名称</w:t>
            </w:r>
          </w:p>
        </w:tc>
        <w:tc>
          <w:tcPr>
            <w:tcW w:w="528" w:type="pct"/>
            <w:vAlign w:val="center"/>
          </w:tcPr>
          <w:p w14:paraId="7ED6D745">
            <w:pPr>
              <w:widowControl w:val="0"/>
              <w:topLinePunct/>
              <w:adjustRightInd w:val="0"/>
              <w:snapToGrid w:val="0"/>
              <w:contextualSpacing/>
              <w:jc w:val="center"/>
              <w:rPr>
                <w:rFonts w:hint="eastAsia" w:ascii="宋体" w:hAnsi="宋体" w:eastAsia="宋体" w:cs="宋体"/>
                <w:snapToGrid w:val="0"/>
                <w:kern w:val="0"/>
                <w:sz w:val="21"/>
                <w:szCs w:val="21"/>
                <w14:ligatures w14:val="none"/>
              </w:rPr>
            </w:pPr>
            <w:r>
              <w:rPr>
                <w:rFonts w:hint="eastAsia" w:ascii="宋体" w:hAnsi="宋体" w:eastAsia="宋体" w:cs="宋体"/>
                <w:snapToGrid w:val="0"/>
                <w:kern w:val="0"/>
                <w:sz w:val="21"/>
                <w:szCs w:val="21"/>
                <w14:ligatures w14:val="none"/>
              </w:rPr>
              <w:t>单位</w:t>
            </w:r>
          </w:p>
        </w:tc>
        <w:tc>
          <w:tcPr>
            <w:tcW w:w="2402" w:type="pct"/>
            <w:vAlign w:val="center"/>
          </w:tcPr>
          <w:p w14:paraId="130D69F4">
            <w:pPr>
              <w:widowControl w:val="0"/>
              <w:topLinePunct/>
              <w:adjustRightInd w:val="0"/>
              <w:snapToGrid w:val="0"/>
              <w:contextualSpacing/>
              <w:jc w:val="center"/>
              <w:rPr>
                <w:rFonts w:hint="eastAsia" w:ascii="宋体" w:hAnsi="宋体" w:eastAsia="宋体" w:cs="宋体"/>
                <w:snapToGrid w:val="0"/>
                <w:kern w:val="0"/>
                <w:sz w:val="21"/>
                <w:szCs w:val="21"/>
                <w14:ligatures w14:val="none"/>
              </w:rPr>
            </w:pPr>
            <w:r>
              <w:rPr>
                <w:rFonts w:hint="eastAsia" w:ascii="宋体" w:hAnsi="宋体" w:eastAsia="宋体" w:cs="宋体"/>
                <w:snapToGrid w:val="0"/>
                <w:kern w:val="0"/>
                <w:sz w:val="21"/>
                <w:szCs w:val="21"/>
                <w14:ligatures w14:val="none"/>
              </w:rPr>
              <w:t>指标</w:t>
            </w:r>
          </w:p>
        </w:tc>
      </w:tr>
      <w:tr w14:paraId="74476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 w:type="pct"/>
            <w:vAlign w:val="center"/>
          </w:tcPr>
          <w:p w14:paraId="02B34C31">
            <w:pPr>
              <w:widowControl w:val="0"/>
              <w:topLinePunct/>
              <w:adjustRightInd w:val="0"/>
              <w:snapToGrid w:val="0"/>
              <w:contextualSpacing/>
              <w:jc w:val="center"/>
              <w:rPr>
                <w:rFonts w:hint="eastAsia" w:ascii="宋体" w:hAnsi="宋体" w:eastAsia="宋体" w:cs="宋体"/>
                <w:snapToGrid w:val="0"/>
                <w:kern w:val="0"/>
                <w:sz w:val="21"/>
                <w:szCs w:val="21"/>
                <w14:ligatures w14:val="none"/>
              </w:rPr>
            </w:pPr>
            <w:r>
              <w:rPr>
                <w:rFonts w:hint="eastAsia" w:ascii="宋体" w:hAnsi="宋体" w:eastAsia="宋体" w:cs="宋体"/>
                <w:snapToGrid w:val="0"/>
                <w:kern w:val="0"/>
                <w:sz w:val="21"/>
                <w:szCs w:val="21"/>
                <w14:ligatures w14:val="none"/>
              </w:rPr>
              <w:t>1</w:t>
            </w:r>
          </w:p>
        </w:tc>
        <w:tc>
          <w:tcPr>
            <w:tcW w:w="1575" w:type="pct"/>
            <w:vAlign w:val="center"/>
          </w:tcPr>
          <w:p w14:paraId="337E9871">
            <w:pPr>
              <w:widowControl w:val="0"/>
              <w:topLinePunct/>
              <w:adjustRightInd w:val="0"/>
              <w:snapToGrid w:val="0"/>
              <w:contextualSpacing/>
              <w:jc w:val="center"/>
              <w:rPr>
                <w:rFonts w:hint="eastAsia" w:ascii="宋体" w:hAnsi="宋体" w:eastAsia="宋体" w:cs="宋体"/>
                <w:snapToGrid w:val="0"/>
                <w:kern w:val="0"/>
                <w:sz w:val="21"/>
                <w:szCs w:val="21"/>
                <w14:ligatures w14:val="none"/>
              </w:rPr>
            </w:pPr>
            <w:r>
              <w:rPr>
                <w:rFonts w:hint="eastAsia" w:ascii="宋体" w:hAnsi="宋体" w:eastAsia="宋体" w:cs="宋体"/>
                <w:snapToGrid w:val="0"/>
                <w:kern w:val="0"/>
                <w:sz w:val="21"/>
                <w:szCs w:val="21"/>
                <w14:ligatures w14:val="none"/>
              </w:rPr>
              <w:t>供电电源</w:t>
            </w:r>
          </w:p>
        </w:tc>
        <w:tc>
          <w:tcPr>
            <w:tcW w:w="528" w:type="pct"/>
            <w:vAlign w:val="center"/>
          </w:tcPr>
          <w:p w14:paraId="1AAAFA14">
            <w:pPr>
              <w:widowControl w:val="0"/>
              <w:topLinePunct/>
              <w:adjustRightInd w:val="0"/>
              <w:snapToGrid w:val="0"/>
              <w:contextualSpacing/>
              <w:jc w:val="center"/>
              <w:rPr>
                <w:rFonts w:hint="eastAsia" w:ascii="宋体" w:hAnsi="宋体" w:eastAsia="宋体" w:cs="宋体"/>
                <w:snapToGrid w:val="0"/>
                <w:kern w:val="0"/>
                <w:sz w:val="21"/>
                <w:szCs w:val="21"/>
                <w14:ligatures w14:val="none"/>
              </w:rPr>
            </w:pPr>
            <w:r>
              <w:rPr>
                <w:rFonts w:hint="eastAsia" w:ascii="宋体" w:hAnsi="宋体" w:eastAsia="宋体" w:cs="宋体"/>
                <w:snapToGrid w:val="0"/>
                <w:kern w:val="0"/>
                <w:sz w:val="21"/>
                <w:szCs w:val="21"/>
                <w14:ligatures w14:val="none"/>
              </w:rPr>
              <w:t>V</w:t>
            </w:r>
          </w:p>
        </w:tc>
        <w:tc>
          <w:tcPr>
            <w:tcW w:w="2402" w:type="pct"/>
            <w:vAlign w:val="center"/>
          </w:tcPr>
          <w:p w14:paraId="2C487F46">
            <w:pPr>
              <w:widowControl w:val="0"/>
              <w:topLinePunct/>
              <w:adjustRightInd w:val="0"/>
              <w:snapToGrid w:val="0"/>
              <w:contextualSpacing/>
              <w:jc w:val="center"/>
              <w:rPr>
                <w:rFonts w:hint="eastAsia" w:ascii="宋体" w:hAnsi="宋体" w:eastAsia="宋体" w:cs="宋体"/>
                <w:snapToGrid w:val="0"/>
                <w:kern w:val="0"/>
                <w:sz w:val="21"/>
                <w:szCs w:val="21"/>
                <w14:ligatures w14:val="none"/>
              </w:rPr>
            </w:pPr>
            <w:r>
              <w:rPr>
                <w:rFonts w:hint="eastAsia" w:ascii="宋体" w:hAnsi="宋体" w:eastAsia="宋体" w:cs="宋体"/>
                <w:snapToGrid w:val="0"/>
                <w:kern w:val="0"/>
                <w:sz w:val="21"/>
                <w:szCs w:val="21"/>
                <w14:ligatures w14:val="none"/>
              </w:rPr>
              <w:t>AC 220V±10%；AC 48V±10%</w:t>
            </w:r>
          </w:p>
        </w:tc>
      </w:tr>
      <w:tr w14:paraId="1ED3F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 w:type="pct"/>
            <w:vAlign w:val="center"/>
          </w:tcPr>
          <w:p w14:paraId="7272DA08">
            <w:pPr>
              <w:widowControl w:val="0"/>
              <w:topLinePunct/>
              <w:adjustRightInd w:val="0"/>
              <w:snapToGrid w:val="0"/>
              <w:contextualSpacing/>
              <w:jc w:val="center"/>
              <w:rPr>
                <w:rFonts w:hint="eastAsia" w:ascii="宋体" w:hAnsi="宋体" w:eastAsia="宋体" w:cs="宋体"/>
                <w:snapToGrid w:val="0"/>
                <w:kern w:val="0"/>
                <w:sz w:val="21"/>
                <w:szCs w:val="21"/>
                <w14:ligatures w14:val="none"/>
              </w:rPr>
            </w:pPr>
            <w:r>
              <w:rPr>
                <w:rFonts w:hint="eastAsia" w:ascii="宋体" w:hAnsi="宋体" w:eastAsia="宋体" w:cs="宋体"/>
                <w:snapToGrid w:val="0"/>
                <w:kern w:val="0"/>
                <w:sz w:val="21"/>
                <w:szCs w:val="21"/>
                <w14:ligatures w14:val="none"/>
              </w:rPr>
              <w:t>2</w:t>
            </w:r>
          </w:p>
        </w:tc>
        <w:tc>
          <w:tcPr>
            <w:tcW w:w="1575" w:type="pct"/>
            <w:vAlign w:val="center"/>
          </w:tcPr>
          <w:p w14:paraId="3B236482">
            <w:pPr>
              <w:widowControl w:val="0"/>
              <w:topLinePunct/>
              <w:adjustRightInd w:val="0"/>
              <w:snapToGrid w:val="0"/>
              <w:contextualSpacing/>
              <w:jc w:val="center"/>
              <w:rPr>
                <w:rFonts w:hint="eastAsia" w:ascii="宋体" w:hAnsi="宋体" w:eastAsia="宋体" w:cs="宋体"/>
                <w:snapToGrid w:val="0"/>
                <w:kern w:val="0"/>
                <w:sz w:val="21"/>
                <w:szCs w:val="21"/>
                <w14:ligatures w14:val="none"/>
              </w:rPr>
            </w:pPr>
            <w:r>
              <w:rPr>
                <w:rFonts w:hint="eastAsia" w:ascii="宋体" w:hAnsi="宋体" w:eastAsia="宋体" w:cs="宋体"/>
                <w:snapToGrid w:val="0"/>
                <w:kern w:val="0"/>
                <w:sz w:val="21"/>
                <w:szCs w:val="21"/>
                <w14:ligatures w14:val="none"/>
              </w:rPr>
              <w:t>产品功耗</w:t>
            </w:r>
          </w:p>
        </w:tc>
        <w:tc>
          <w:tcPr>
            <w:tcW w:w="528" w:type="pct"/>
            <w:vAlign w:val="center"/>
          </w:tcPr>
          <w:p w14:paraId="57D3B5F4">
            <w:pPr>
              <w:widowControl w:val="0"/>
              <w:topLinePunct/>
              <w:adjustRightInd w:val="0"/>
              <w:snapToGrid w:val="0"/>
              <w:contextualSpacing/>
              <w:jc w:val="center"/>
              <w:rPr>
                <w:rFonts w:hint="eastAsia" w:ascii="宋体" w:hAnsi="宋体" w:eastAsia="宋体" w:cs="宋体"/>
                <w:snapToGrid w:val="0"/>
                <w:kern w:val="0"/>
                <w:sz w:val="21"/>
                <w:szCs w:val="21"/>
                <w14:ligatures w14:val="none"/>
              </w:rPr>
            </w:pPr>
            <w:r>
              <w:rPr>
                <w:rFonts w:hint="eastAsia" w:ascii="宋体" w:hAnsi="宋体" w:eastAsia="宋体" w:cs="宋体"/>
                <w:snapToGrid w:val="0"/>
                <w:kern w:val="0"/>
                <w:sz w:val="21"/>
                <w:szCs w:val="21"/>
                <w14:ligatures w14:val="none"/>
              </w:rPr>
              <w:t>W</w:t>
            </w:r>
          </w:p>
        </w:tc>
        <w:tc>
          <w:tcPr>
            <w:tcW w:w="2402" w:type="pct"/>
            <w:vAlign w:val="center"/>
          </w:tcPr>
          <w:p w14:paraId="6FF82C9A">
            <w:pPr>
              <w:widowControl w:val="0"/>
              <w:topLinePunct/>
              <w:adjustRightInd w:val="0"/>
              <w:snapToGrid w:val="0"/>
              <w:contextualSpacing/>
              <w:jc w:val="center"/>
              <w:rPr>
                <w:rFonts w:hint="eastAsia" w:ascii="宋体" w:hAnsi="宋体" w:eastAsia="宋体" w:cs="宋体"/>
                <w:snapToGrid w:val="0"/>
                <w:kern w:val="0"/>
                <w:sz w:val="21"/>
                <w:szCs w:val="21"/>
                <w14:ligatures w14:val="none"/>
              </w:rPr>
            </w:pPr>
            <w:r>
              <w:rPr>
                <w:rFonts w:hint="eastAsia" w:ascii="宋体" w:hAnsi="宋体" w:eastAsia="宋体" w:cs="宋体"/>
                <w:snapToGrid w:val="0"/>
                <w:kern w:val="0"/>
                <w:sz w:val="21"/>
                <w:szCs w:val="21"/>
                <w14:ligatures w14:val="none"/>
              </w:rPr>
              <w:t>＜15 （有功功率）</w:t>
            </w:r>
          </w:p>
        </w:tc>
      </w:tr>
      <w:tr w14:paraId="16225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 w:type="pct"/>
            <w:vAlign w:val="center"/>
          </w:tcPr>
          <w:p w14:paraId="45ADB3E2">
            <w:pPr>
              <w:widowControl w:val="0"/>
              <w:topLinePunct/>
              <w:adjustRightInd w:val="0"/>
              <w:snapToGrid w:val="0"/>
              <w:contextualSpacing/>
              <w:jc w:val="center"/>
              <w:rPr>
                <w:rFonts w:hint="eastAsia" w:ascii="宋体" w:hAnsi="宋体" w:eastAsia="宋体" w:cs="宋体"/>
                <w:snapToGrid w:val="0"/>
                <w:kern w:val="0"/>
                <w:sz w:val="21"/>
                <w:szCs w:val="21"/>
                <w14:ligatures w14:val="none"/>
              </w:rPr>
            </w:pPr>
            <w:r>
              <w:rPr>
                <w:rFonts w:hint="eastAsia" w:ascii="宋体" w:hAnsi="宋体" w:eastAsia="宋体" w:cs="宋体"/>
                <w:snapToGrid w:val="0"/>
                <w:kern w:val="0"/>
                <w:sz w:val="21"/>
                <w:szCs w:val="21"/>
                <w14:ligatures w14:val="none"/>
              </w:rPr>
              <w:t>3</w:t>
            </w:r>
          </w:p>
        </w:tc>
        <w:tc>
          <w:tcPr>
            <w:tcW w:w="1575" w:type="pct"/>
            <w:vAlign w:val="center"/>
          </w:tcPr>
          <w:p w14:paraId="33DABFEA">
            <w:pPr>
              <w:widowControl w:val="0"/>
              <w:topLinePunct/>
              <w:adjustRightInd w:val="0"/>
              <w:snapToGrid w:val="0"/>
              <w:contextualSpacing/>
              <w:jc w:val="center"/>
              <w:rPr>
                <w:rFonts w:hint="eastAsia" w:ascii="宋体" w:hAnsi="宋体" w:eastAsia="宋体" w:cs="宋体"/>
                <w:snapToGrid w:val="0"/>
                <w:kern w:val="0"/>
                <w:sz w:val="21"/>
                <w:szCs w:val="21"/>
                <w14:ligatures w14:val="none"/>
              </w:rPr>
            </w:pPr>
            <w:r>
              <w:rPr>
                <w:rFonts w:hint="eastAsia" w:ascii="宋体" w:hAnsi="宋体" w:eastAsia="宋体" w:cs="宋体"/>
                <w:snapToGrid w:val="0"/>
                <w:kern w:val="0"/>
                <w:sz w:val="21"/>
                <w:szCs w:val="21"/>
                <w14:ligatures w14:val="none"/>
              </w:rPr>
              <w:t>输出脉冲峰值电压（每线）</w:t>
            </w:r>
          </w:p>
        </w:tc>
        <w:tc>
          <w:tcPr>
            <w:tcW w:w="528" w:type="pct"/>
            <w:vAlign w:val="center"/>
          </w:tcPr>
          <w:p w14:paraId="6A01538A">
            <w:pPr>
              <w:widowControl w:val="0"/>
              <w:topLinePunct/>
              <w:adjustRightInd w:val="0"/>
              <w:snapToGrid w:val="0"/>
              <w:contextualSpacing/>
              <w:jc w:val="center"/>
              <w:rPr>
                <w:rFonts w:hint="eastAsia" w:ascii="宋体" w:hAnsi="宋体" w:eastAsia="宋体" w:cs="宋体"/>
                <w:snapToGrid w:val="0"/>
                <w:kern w:val="0"/>
                <w:sz w:val="21"/>
                <w:szCs w:val="21"/>
                <w14:ligatures w14:val="none"/>
              </w:rPr>
            </w:pPr>
            <w:r>
              <w:rPr>
                <w:rFonts w:hint="eastAsia" w:ascii="宋体" w:hAnsi="宋体" w:eastAsia="宋体" w:cs="宋体"/>
                <w:snapToGrid w:val="0"/>
                <w:kern w:val="0"/>
                <w:sz w:val="21"/>
                <w:szCs w:val="21"/>
                <w14:ligatures w14:val="none"/>
              </w:rPr>
              <w:t>kV</w:t>
            </w:r>
          </w:p>
        </w:tc>
        <w:tc>
          <w:tcPr>
            <w:tcW w:w="2402" w:type="pct"/>
            <w:vAlign w:val="center"/>
          </w:tcPr>
          <w:p w14:paraId="4FEEC5AD">
            <w:pPr>
              <w:widowControl w:val="0"/>
              <w:topLinePunct/>
              <w:adjustRightInd w:val="0"/>
              <w:snapToGrid w:val="0"/>
              <w:contextualSpacing/>
              <w:jc w:val="center"/>
              <w:rPr>
                <w:rFonts w:hint="eastAsia" w:ascii="宋体" w:hAnsi="宋体" w:eastAsia="宋体" w:cs="宋体"/>
                <w:snapToGrid w:val="0"/>
                <w:kern w:val="0"/>
                <w:sz w:val="21"/>
                <w:szCs w:val="21"/>
                <w14:ligatures w14:val="none"/>
              </w:rPr>
            </w:pPr>
            <w:r>
              <w:rPr>
                <w:rFonts w:hint="eastAsia" w:ascii="宋体" w:hAnsi="宋体" w:eastAsia="宋体" w:cs="宋体"/>
                <w:snapToGrid w:val="0"/>
                <w:kern w:val="0"/>
                <w:sz w:val="21"/>
                <w:szCs w:val="21"/>
                <w14:ligatures w14:val="none"/>
              </w:rPr>
              <w:t>＞5，＜8</w:t>
            </w:r>
          </w:p>
        </w:tc>
      </w:tr>
      <w:tr w14:paraId="6938D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 w:type="pct"/>
            <w:vAlign w:val="center"/>
          </w:tcPr>
          <w:p w14:paraId="3D881840">
            <w:pPr>
              <w:widowControl w:val="0"/>
              <w:topLinePunct/>
              <w:adjustRightInd w:val="0"/>
              <w:snapToGrid w:val="0"/>
              <w:contextualSpacing/>
              <w:jc w:val="center"/>
              <w:rPr>
                <w:rFonts w:hint="eastAsia" w:ascii="宋体" w:hAnsi="宋体" w:eastAsia="宋体" w:cs="宋体"/>
                <w:snapToGrid w:val="0"/>
                <w:kern w:val="0"/>
                <w:sz w:val="21"/>
                <w:szCs w:val="21"/>
                <w14:ligatures w14:val="none"/>
              </w:rPr>
            </w:pPr>
            <w:r>
              <w:rPr>
                <w:rFonts w:hint="eastAsia" w:ascii="宋体" w:hAnsi="宋体" w:eastAsia="宋体" w:cs="宋体"/>
                <w:snapToGrid w:val="0"/>
                <w:kern w:val="0"/>
                <w:sz w:val="21"/>
                <w:szCs w:val="21"/>
                <w14:ligatures w14:val="none"/>
              </w:rPr>
              <w:t>4</w:t>
            </w:r>
          </w:p>
        </w:tc>
        <w:tc>
          <w:tcPr>
            <w:tcW w:w="1575" w:type="pct"/>
            <w:vAlign w:val="center"/>
          </w:tcPr>
          <w:p w14:paraId="29171BE7">
            <w:pPr>
              <w:widowControl w:val="0"/>
              <w:topLinePunct/>
              <w:adjustRightInd w:val="0"/>
              <w:snapToGrid w:val="0"/>
              <w:contextualSpacing/>
              <w:jc w:val="center"/>
              <w:rPr>
                <w:rFonts w:hint="eastAsia" w:ascii="宋体" w:hAnsi="宋体" w:eastAsia="宋体" w:cs="宋体"/>
                <w:snapToGrid w:val="0"/>
                <w:kern w:val="0"/>
                <w:sz w:val="21"/>
                <w:szCs w:val="21"/>
                <w14:ligatures w14:val="none"/>
              </w:rPr>
            </w:pPr>
            <w:r>
              <w:rPr>
                <w:rFonts w:hint="eastAsia" w:ascii="宋体" w:hAnsi="宋体" w:eastAsia="宋体" w:cs="宋体"/>
                <w:snapToGrid w:val="0"/>
                <w:kern w:val="0"/>
                <w:sz w:val="21"/>
                <w:szCs w:val="21"/>
                <w14:ligatures w14:val="none"/>
              </w:rPr>
              <w:t>输出脉冲宽度</w:t>
            </w:r>
          </w:p>
        </w:tc>
        <w:tc>
          <w:tcPr>
            <w:tcW w:w="528" w:type="pct"/>
            <w:vAlign w:val="center"/>
          </w:tcPr>
          <w:p w14:paraId="76963FC9">
            <w:pPr>
              <w:widowControl w:val="0"/>
              <w:topLinePunct/>
              <w:adjustRightInd w:val="0"/>
              <w:snapToGrid w:val="0"/>
              <w:contextualSpacing/>
              <w:jc w:val="center"/>
              <w:rPr>
                <w:rFonts w:hint="eastAsia" w:ascii="宋体" w:hAnsi="宋体" w:eastAsia="宋体" w:cs="宋体"/>
                <w:snapToGrid w:val="0"/>
                <w:kern w:val="0"/>
                <w:sz w:val="21"/>
                <w:szCs w:val="21"/>
                <w14:ligatures w14:val="none"/>
              </w:rPr>
            </w:pPr>
            <w:r>
              <w:rPr>
                <w:rFonts w:hint="eastAsia" w:ascii="宋体" w:hAnsi="宋体" w:eastAsia="宋体" w:cs="宋体"/>
                <w:snapToGrid w:val="0"/>
                <w:kern w:val="0"/>
                <w:sz w:val="21"/>
                <w:szCs w:val="21"/>
                <w14:ligatures w14:val="none"/>
              </w:rPr>
              <w:t>s</w:t>
            </w:r>
          </w:p>
        </w:tc>
        <w:tc>
          <w:tcPr>
            <w:tcW w:w="2402" w:type="pct"/>
            <w:vAlign w:val="center"/>
          </w:tcPr>
          <w:p w14:paraId="7D19FE2C">
            <w:pPr>
              <w:widowControl w:val="0"/>
              <w:topLinePunct/>
              <w:adjustRightInd w:val="0"/>
              <w:snapToGrid w:val="0"/>
              <w:contextualSpacing/>
              <w:jc w:val="center"/>
              <w:rPr>
                <w:rFonts w:hint="eastAsia" w:ascii="宋体" w:hAnsi="宋体" w:eastAsia="宋体" w:cs="宋体"/>
                <w:snapToGrid w:val="0"/>
                <w:kern w:val="0"/>
                <w:sz w:val="21"/>
                <w:szCs w:val="21"/>
                <w14:ligatures w14:val="none"/>
              </w:rPr>
            </w:pPr>
            <w:r>
              <w:rPr>
                <w:rFonts w:hint="eastAsia" w:ascii="宋体" w:hAnsi="宋体" w:eastAsia="宋体" w:cs="宋体"/>
                <w:snapToGrid w:val="0"/>
                <w:kern w:val="0"/>
                <w:sz w:val="21"/>
                <w:szCs w:val="21"/>
                <w14:ligatures w14:val="none"/>
              </w:rPr>
              <w:t>＜0.1</w:t>
            </w:r>
          </w:p>
        </w:tc>
      </w:tr>
      <w:tr w14:paraId="716F2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 w:type="pct"/>
            <w:vAlign w:val="center"/>
          </w:tcPr>
          <w:p w14:paraId="4593EA7A">
            <w:pPr>
              <w:widowControl w:val="0"/>
              <w:topLinePunct/>
              <w:adjustRightInd w:val="0"/>
              <w:snapToGrid w:val="0"/>
              <w:contextualSpacing/>
              <w:jc w:val="center"/>
              <w:rPr>
                <w:rFonts w:hint="eastAsia" w:ascii="宋体" w:hAnsi="宋体" w:eastAsia="宋体" w:cs="宋体"/>
                <w:snapToGrid w:val="0"/>
                <w:kern w:val="0"/>
                <w:sz w:val="21"/>
                <w:szCs w:val="21"/>
                <w14:ligatures w14:val="none"/>
              </w:rPr>
            </w:pPr>
            <w:r>
              <w:rPr>
                <w:rFonts w:hint="eastAsia" w:ascii="宋体" w:hAnsi="宋体" w:eastAsia="宋体" w:cs="宋体"/>
                <w:snapToGrid w:val="0"/>
                <w:kern w:val="0"/>
                <w:sz w:val="21"/>
                <w:szCs w:val="21"/>
                <w14:ligatures w14:val="none"/>
              </w:rPr>
              <w:t>5</w:t>
            </w:r>
          </w:p>
        </w:tc>
        <w:tc>
          <w:tcPr>
            <w:tcW w:w="1575" w:type="pct"/>
            <w:vAlign w:val="center"/>
          </w:tcPr>
          <w:p w14:paraId="56972D86">
            <w:pPr>
              <w:widowControl w:val="0"/>
              <w:topLinePunct/>
              <w:adjustRightInd w:val="0"/>
              <w:snapToGrid w:val="0"/>
              <w:contextualSpacing/>
              <w:jc w:val="center"/>
              <w:rPr>
                <w:rFonts w:hint="eastAsia" w:ascii="宋体" w:hAnsi="宋体" w:eastAsia="宋体" w:cs="宋体"/>
                <w:snapToGrid w:val="0"/>
                <w:kern w:val="0"/>
                <w:sz w:val="21"/>
                <w:szCs w:val="21"/>
                <w14:ligatures w14:val="none"/>
              </w:rPr>
            </w:pPr>
            <w:r>
              <w:rPr>
                <w:rFonts w:hint="eastAsia" w:ascii="宋体" w:hAnsi="宋体" w:eastAsia="宋体" w:cs="宋体"/>
                <w:snapToGrid w:val="0"/>
                <w:kern w:val="0"/>
                <w:sz w:val="21"/>
                <w:szCs w:val="21"/>
                <w14:ligatures w14:val="none"/>
              </w:rPr>
              <w:t>输出脉冲间隔</w:t>
            </w:r>
          </w:p>
        </w:tc>
        <w:tc>
          <w:tcPr>
            <w:tcW w:w="528" w:type="pct"/>
            <w:vAlign w:val="center"/>
          </w:tcPr>
          <w:p w14:paraId="00BA5A68">
            <w:pPr>
              <w:widowControl w:val="0"/>
              <w:topLinePunct/>
              <w:adjustRightInd w:val="0"/>
              <w:snapToGrid w:val="0"/>
              <w:contextualSpacing/>
              <w:jc w:val="center"/>
              <w:rPr>
                <w:rFonts w:hint="eastAsia" w:ascii="宋体" w:hAnsi="宋体" w:eastAsia="宋体" w:cs="宋体"/>
                <w:snapToGrid w:val="0"/>
                <w:kern w:val="0"/>
                <w:sz w:val="21"/>
                <w:szCs w:val="21"/>
                <w14:ligatures w14:val="none"/>
              </w:rPr>
            </w:pPr>
            <w:r>
              <w:rPr>
                <w:rFonts w:hint="eastAsia" w:ascii="宋体" w:hAnsi="宋体" w:eastAsia="宋体" w:cs="宋体"/>
                <w:snapToGrid w:val="0"/>
                <w:kern w:val="0"/>
                <w:sz w:val="21"/>
                <w:szCs w:val="21"/>
                <w14:ligatures w14:val="none"/>
              </w:rPr>
              <w:t>s</w:t>
            </w:r>
          </w:p>
        </w:tc>
        <w:tc>
          <w:tcPr>
            <w:tcW w:w="2402" w:type="pct"/>
            <w:vAlign w:val="center"/>
          </w:tcPr>
          <w:p w14:paraId="082AEA67">
            <w:pPr>
              <w:widowControl w:val="0"/>
              <w:topLinePunct/>
              <w:adjustRightInd w:val="0"/>
              <w:snapToGrid w:val="0"/>
              <w:contextualSpacing/>
              <w:jc w:val="center"/>
              <w:rPr>
                <w:rFonts w:hint="eastAsia" w:ascii="宋体" w:hAnsi="宋体" w:eastAsia="宋体" w:cs="宋体"/>
                <w:snapToGrid w:val="0"/>
                <w:kern w:val="0"/>
                <w:sz w:val="21"/>
                <w:szCs w:val="21"/>
                <w14:ligatures w14:val="none"/>
              </w:rPr>
            </w:pPr>
            <w:r>
              <w:rPr>
                <w:rFonts w:hint="eastAsia" w:ascii="宋体" w:hAnsi="宋体" w:eastAsia="宋体" w:cs="宋体"/>
                <w:snapToGrid w:val="0"/>
                <w:kern w:val="0"/>
                <w:sz w:val="21"/>
                <w:szCs w:val="21"/>
                <w14:ligatures w14:val="none"/>
              </w:rPr>
              <w:t>＞1，＜1.3</w:t>
            </w:r>
          </w:p>
        </w:tc>
      </w:tr>
      <w:tr w14:paraId="134F9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 w:type="pct"/>
            <w:vAlign w:val="center"/>
          </w:tcPr>
          <w:p w14:paraId="4F6E87CC">
            <w:pPr>
              <w:widowControl w:val="0"/>
              <w:topLinePunct/>
              <w:adjustRightInd w:val="0"/>
              <w:snapToGrid w:val="0"/>
              <w:contextualSpacing/>
              <w:jc w:val="center"/>
              <w:rPr>
                <w:rFonts w:hint="eastAsia" w:ascii="宋体" w:hAnsi="宋体" w:eastAsia="宋体" w:cs="宋体"/>
                <w:snapToGrid w:val="0"/>
                <w:kern w:val="0"/>
                <w:sz w:val="21"/>
                <w:szCs w:val="21"/>
                <w14:ligatures w14:val="none"/>
              </w:rPr>
            </w:pPr>
            <w:r>
              <w:rPr>
                <w:rFonts w:hint="eastAsia" w:ascii="宋体" w:hAnsi="宋体" w:eastAsia="宋体" w:cs="宋体"/>
                <w:snapToGrid w:val="0"/>
                <w:kern w:val="0"/>
                <w:sz w:val="21"/>
                <w:szCs w:val="21"/>
                <w14:ligatures w14:val="none"/>
              </w:rPr>
              <w:t>6</w:t>
            </w:r>
          </w:p>
        </w:tc>
        <w:tc>
          <w:tcPr>
            <w:tcW w:w="1575" w:type="pct"/>
            <w:vAlign w:val="center"/>
          </w:tcPr>
          <w:p w14:paraId="5E5C7274">
            <w:pPr>
              <w:widowControl w:val="0"/>
              <w:topLinePunct/>
              <w:adjustRightInd w:val="0"/>
              <w:snapToGrid w:val="0"/>
              <w:contextualSpacing/>
              <w:jc w:val="center"/>
              <w:rPr>
                <w:rFonts w:hint="eastAsia" w:ascii="宋体" w:hAnsi="宋体" w:eastAsia="宋体" w:cs="宋体"/>
                <w:snapToGrid w:val="0"/>
                <w:kern w:val="0"/>
                <w:sz w:val="21"/>
                <w:szCs w:val="21"/>
                <w14:ligatures w14:val="none"/>
              </w:rPr>
            </w:pPr>
            <w:r>
              <w:rPr>
                <w:rFonts w:hint="eastAsia" w:ascii="宋体" w:hAnsi="宋体" w:eastAsia="宋体" w:cs="宋体"/>
                <w:snapToGrid w:val="0"/>
                <w:kern w:val="0"/>
                <w:sz w:val="21"/>
                <w:szCs w:val="21"/>
                <w14:ligatures w14:val="none"/>
              </w:rPr>
              <w:t>单脉冲携带电量</w:t>
            </w:r>
          </w:p>
        </w:tc>
        <w:tc>
          <w:tcPr>
            <w:tcW w:w="528" w:type="pct"/>
            <w:vAlign w:val="center"/>
          </w:tcPr>
          <w:p w14:paraId="1B9FA1B6">
            <w:pPr>
              <w:widowControl w:val="0"/>
              <w:topLinePunct/>
              <w:adjustRightInd w:val="0"/>
              <w:snapToGrid w:val="0"/>
              <w:contextualSpacing/>
              <w:jc w:val="center"/>
              <w:rPr>
                <w:rFonts w:hint="eastAsia" w:ascii="宋体" w:hAnsi="宋体" w:eastAsia="宋体" w:cs="宋体"/>
                <w:snapToGrid w:val="0"/>
                <w:kern w:val="0"/>
                <w:sz w:val="21"/>
                <w:szCs w:val="21"/>
                <w14:ligatures w14:val="none"/>
              </w:rPr>
            </w:pPr>
            <w:r>
              <w:rPr>
                <w:rFonts w:hint="eastAsia" w:ascii="宋体" w:hAnsi="宋体" w:eastAsia="宋体" w:cs="宋体"/>
                <w:snapToGrid w:val="0"/>
                <w:kern w:val="0"/>
                <w:sz w:val="21"/>
                <w:szCs w:val="21"/>
                <w14:ligatures w14:val="none"/>
              </w:rPr>
              <w:t>mC</w:t>
            </w:r>
          </w:p>
        </w:tc>
        <w:tc>
          <w:tcPr>
            <w:tcW w:w="2402" w:type="pct"/>
            <w:vAlign w:val="center"/>
          </w:tcPr>
          <w:p w14:paraId="560B873A">
            <w:pPr>
              <w:widowControl w:val="0"/>
              <w:topLinePunct/>
              <w:adjustRightInd w:val="0"/>
              <w:snapToGrid w:val="0"/>
              <w:contextualSpacing/>
              <w:jc w:val="center"/>
              <w:rPr>
                <w:rFonts w:hint="eastAsia" w:ascii="宋体" w:hAnsi="宋体" w:eastAsia="宋体" w:cs="宋体"/>
                <w:snapToGrid w:val="0"/>
                <w:kern w:val="0"/>
                <w:sz w:val="21"/>
                <w:szCs w:val="21"/>
                <w14:ligatures w14:val="none"/>
              </w:rPr>
            </w:pPr>
            <w:r>
              <w:rPr>
                <w:rFonts w:hint="eastAsia" w:ascii="宋体" w:hAnsi="宋体" w:eastAsia="宋体" w:cs="宋体"/>
                <w:snapToGrid w:val="0"/>
                <w:kern w:val="0"/>
                <w:sz w:val="21"/>
                <w:szCs w:val="21"/>
                <w14:ligatures w14:val="none"/>
              </w:rPr>
              <w:t>＜2.5</w:t>
            </w:r>
          </w:p>
        </w:tc>
      </w:tr>
      <w:tr w14:paraId="38D09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 w:type="pct"/>
            <w:vAlign w:val="center"/>
          </w:tcPr>
          <w:p w14:paraId="6FDAB5F1">
            <w:pPr>
              <w:widowControl w:val="0"/>
              <w:topLinePunct/>
              <w:adjustRightInd w:val="0"/>
              <w:snapToGrid w:val="0"/>
              <w:contextualSpacing/>
              <w:jc w:val="center"/>
              <w:rPr>
                <w:rFonts w:hint="eastAsia" w:ascii="宋体" w:hAnsi="宋体" w:eastAsia="宋体" w:cs="宋体"/>
                <w:snapToGrid w:val="0"/>
                <w:kern w:val="0"/>
                <w:sz w:val="21"/>
                <w:szCs w:val="21"/>
                <w14:ligatures w14:val="none"/>
              </w:rPr>
            </w:pPr>
            <w:r>
              <w:rPr>
                <w:rFonts w:hint="eastAsia" w:ascii="宋体" w:hAnsi="宋体" w:eastAsia="宋体" w:cs="宋体"/>
                <w:snapToGrid w:val="0"/>
                <w:kern w:val="0"/>
                <w:sz w:val="21"/>
                <w:szCs w:val="21"/>
                <w14:ligatures w14:val="none"/>
              </w:rPr>
              <w:t>7</w:t>
            </w:r>
          </w:p>
        </w:tc>
        <w:tc>
          <w:tcPr>
            <w:tcW w:w="1575" w:type="pct"/>
            <w:vAlign w:val="center"/>
          </w:tcPr>
          <w:p w14:paraId="3482D996">
            <w:pPr>
              <w:widowControl w:val="0"/>
              <w:topLinePunct/>
              <w:adjustRightInd w:val="0"/>
              <w:snapToGrid w:val="0"/>
              <w:contextualSpacing/>
              <w:jc w:val="center"/>
              <w:rPr>
                <w:rFonts w:hint="eastAsia" w:ascii="宋体" w:hAnsi="宋体" w:eastAsia="宋体" w:cs="宋体"/>
                <w:snapToGrid w:val="0"/>
                <w:kern w:val="0"/>
                <w:sz w:val="21"/>
                <w:szCs w:val="21"/>
                <w14:ligatures w14:val="none"/>
              </w:rPr>
            </w:pPr>
            <w:r>
              <w:rPr>
                <w:rFonts w:hint="eastAsia" w:ascii="宋体" w:hAnsi="宋体" w:eastAsia="宋体" w:cs="宋体"/>
                <w:snapToGrid w:val="0"/>
                <w:kern w:val="0"/>
                <w:sz w:val="21"/>
                <w:szCs w:val="21"/>
                <w14:ligatures w14:val="none"/>
              </w:rPr>
              <w:t>单脉冲携带能量</w:t>
            </w:r>
          </w:p>
        </w:tc>
        <w:tc>
          <w:tcPr>
            <w:tcW w:w="528" w:type="pct"/>
            <w:vAlign w:val="center"/>
          </w:tcPr>
          <w:p w14:paraId="1AE20CDC">
            <w:pPr>
              <w:widowControl w:val="0"/>
              <w:topLinePunct/>
              <w:adjustRightInd w:val="0"/>
              <w:snapToGrid w:val="0"/>
              <w:contextualSpacing/>
              <w:jc w:val="center"/>
              <w:rPr>
                <w:rFonts w:hint="eastAsia" w:ascii="宋体" w:hAnsi="宋体" w:eastAsia="宋体" w:cs="宋体"/>
                <w:snapToGrid w:val="0"/>
                <w:kern w:val="0"/>
                <w:sz w:val="21"/>
                <w:szCs w:val="21"/>
                <w14:ligatures w14:val="none"/>
              </w:rPr>
            </w:pPr>
            <w:r>
              <w:rPr>
                <w:rFonts w:hint="eastAsia" w:ascii="宋体" w:hAnsi="宋体" w:eastAsia="宋体" w:cs="宋体"/>
                <w:snapToGrid w:val="0"/>
                <w:kern w:val="0"/>
                <w:sz w:val="21"/>
                <w:szCs w:val="21"/>
                <w14:ligatures w14:val="none"/>
              </w:rPr>
              <w:t>J</w:t>
            </w:r>
          </w:p>
        </w:tc>
        <w:tc>
          <w:tcPr>
            <w:tcW w:w="2402" w:type="pct"/>
            <w:vAlign w:val="center"/>
          </w:tcPr>
          <w:p w14:paraId="6D1424B1">
            <w:pPr>
              <w:widowControl w:val="0"/>
              <w:topLinePunct/>
              <w:adjustRightInd w:val="0"/>
              <w:snapToGrid w:val="0"/>
              <w:contextualSpacing/>
              <w:jc w:val="center"/>
              <w:rPr>
                <w:rFonts w:hint="eastAsia" w:ascii="宋体" w:hAnsi="宋体" w:eastAsia="宋体" w:cs="宋体"/>
                <w:snapToGrid w:val="0"/>
                <w:kern w:val="0"/>
                <w:sz w:val="21"/>
                <w:szCs w:val="21"/>
                <w14:ligatures w14:val="none"/>
              </w:rPr>
            </w:pPr>
            <w:r>
              <w:rPr>
                <w:rFonts w:hint="eastAsia" w:ascii="宋体" w:hAnsi="宋体" w:eastAsia="宋体" w:cs="宋体"/>
                <w:snapToGrid w:val="0"/>
                <w:kern w:val="0"/>
                <w:sz w:val="21"/>
                <w:szCs w:val="21"/>
                <w14:ligatures w14:val="none"/>
              </w:rPr>
              <w:t>＜5</w:t>
            </w:r>
          </w:p>
        </w:tc>
      </w:tr>
      <w:tr w14:paraId="3C1AF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 w:type="pct"/>
            <w:vAlign w:val="center"/>
          </w:tcPr>
          <w:p w14:paraId="34AA6549">
            <w:pPr>
              <w:widowControl w:val="0"/>
              <w:topLinePunct/>
              <w:adjustRightInd w:val="0"/>
              <w:snapToGrid w:val="0"/>
              <w:contextualSpacing/>
              <w:jc w:val="center"/>
              <w:rPr>
                <w:rFonts w:hint="eastAsia" w:ascii="宋体" w:hAnsi="宋体" w:eastAsia="宋体" w:cs="宋体"/>
                <w:snapToGrid w:val="0"/>
                <w:kern w:val="0"/>
                <w:sz w:val="21"/>
                <w:szCs w:val="21"/>
                <w14:ligatures w14:val="none"/>
              </w:rPr>
            </w:pPr>
            <w:r>
              <w:rPr>
                <w:rFonts w:hint="eastAsia" w:ascii="宋体" w:hAnsi="宋体" w:eastAsia="宋体" w:cs="宋体"/>
                <w:snapToGrid w:val="0"/>
                <w:kern w:val="0"/>
                <w:sz w:val="21"/>
                <w:szCs w:val="21"/>
                <w14:ligatures w14:val="none"/>
              </w:rPr>
              <w:t>8</w:t>
            </w:r>
          </w:p>
        </w:tc>
        <w:tc>
          <w:tcPr>
            <w:tcW w:w="1575" w:type="pct"/>
            <w:vAlign w:val="center"/>
          </w:tcPr>
          <w:p w14:paraId="07FC6FC0">
            <w:pPr>
              <w:widowControl w:val="0"/>
              <w:topLinePunct/>
              <w:adjustRightInd w:val="0"/>
              <w:snapToGrid w:val="0"/>
              <w:contextualSpacing/>
              <w:jc w:val="center"/>
              <w:rPr>
                <w:rFonts w:hint="eastAsia" w:ascii="宋体" w:hAnsi="宋体" w:eastAsia="宋体" w:cs="宋体"/>
                <w:snapToGrid w:val="0"/>
                <w:kern w:val="0"/>
                <w:sz w:val="21"/>
                <w:szCs w:val="21"/>
                <w14:ligatures w14:val="none"/>
              </w:rPr>
            </w:pPr>
            <w:r>
              <w:rPr>
                <w:rFonts w:hint="eastAsia" w:ascii="宋体" w:hAnsi="宋体" w:eastAsia="宋体" w:cs="宋体"/>
                <w:snapToGrid w:val="0"/>
                <w:kern w:val="0"/>
                <w:sz w:val="21"/>
                <w:szCs w:val="21"/>
                <w14:ligatures w14:val="none"/>
              </w:rPr>
              <w:t>输出电流瞬时值</w:t>
            </w:r>
          </w:p>
        </w:tc>
        <w:tc>
          <w:tcPr>
            <w:tcW w:w="528" w:type="pct"/>
            <w:vAlign w:val="center"/>
          </w:tcPr>
          <w:p w14:paraId="7A57BE23">
            <w:pPr>
              <w:widowControl w:val="0"/>
              <w:topLinePunct/>
              <w:adjustRightInd w:val="0"/>
              <w:snapToGrid w:val="0"/>
              <w:contextualSpacing/>
              <w:jc w:val="center"/>
              <w:rPr>
                <w:rFonts w:hint="eastAsia" w:ascii="宋体" w:hAnsi="宋体" w:eastAsia="宋体" w:cs="宋体"/>
                <w:snapToGrid w:val="0"/>
                <w:kern w:val="0"/>
                <w:sz w:val="21"/>
                <w:szCs w:val="21"/>
                <w14:ligatures w14:val="none"/>
              </w:rPr>
            </w:pPr>
            <w:r>
              <w:rPr>
                <w:rFonts w:hint="eastAsia" w:ascii="宋体" w:hAnsi="宋体" w:eastAsia="宋体" w:cs="宋体"/>
                <w:snapToGrid w:val="0"/>
                <w:kern w:val="0"/>
                <w:sz w:val="21"/>
                <w:szCs w:val="21"/>
                <w14:ligatures w14:val="none"/>
              </w:rPr>
              <w:t>mA</w:t>
            </w:r>
          </w:p>
        </w:tc>
        <w:tc>
          <w:tcPr>
            <w:tcW w:w="2402" w:type="pct"/>
            <w:vAlign w:val="center"/>
          </w:tcPr>
          <w:p w14:paraId="1326370F">
            <w:pPr>
              <w:widowControl w:val="0"/>
              <w:topLinePunct/>
              <w:adjustRightInd w:val="0"/>
              <w:snapToGrid w:val="0"/>
              <w:contextualSpacing/>
              <w:jc w:val="center"/>
              <w:rPr>
                <w:rFonts w:hint="eastAsia" w:ascii="宋体" w:hAnsi="宋体" w:eastAsia="宋体" w:cs="宋体"/>
                <w:snapToGrid w:val="0"/>
                <w:kern w:val="0"/>
                <w:sz w:val="21"/>
                <w:szCs w:val="21"/>
                <w14:ligatures w14:val="none"/>
              </w:rPr>
            </w:pPr>
            <w:r>
              <w:rPr>
                <w:rFonts w:hint="eastAsia" w:ascii="宋体" w:hAnsi="宋体" w:eastAsia="宋体" w:cs="宋体"/>
                <w:snapToGrid w:val="0"/>
                <w:kern w:val="0"/>
                <w:sz w:val="21"/>
                <w:szCs w:val="21"/>
                <w14:ligatures w14:val="none"/>
              </w:rPr>
              <w:t>0.3ms以上时小于300</w:t>
            </w:r>
          </w:p>
        </w:tc>
      </w:tr>
      <w:tr w14:paraId="41B9C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 w:type="pct"/>
            <w:vAlign w:val="center"/>
          </w:tcPr>
          <w:p w14:paraId="713A625A">
            <w:pPr>
              <w:widowControl w:val="0"/>
              <w:topLinePunct/>
              <w:adjustRightInd w:val="0"/>
              <w:snapToGrid w:val="0"/>
              <w:contextualSpacing/>
              <w:jc w:val="center"/>
              <w:rPr>
                <w:rFonts w:hint="eastAsia" w:ascii="宋体" w:hAnsi="宋体" w:eastAsia="宋体" w:cs="宋体"/>
                <w:snapToGrid w:val="0"/>
                <w:kern w:val="0"/>
                <w:sz w:val="21"/>
                <w:szCs w:val="21"/>
                <w14:ligatures w14:val="none"/>
              </w:rPr>
            </w:pPr>
            <w:r>
              <w:rPr>
                <w:rFonts w:hint="eastAsia" w:ascii="宋体" w:hAnsi="宋体" w:eastAsia="宋体" w:cs="宋体"/>
                <w:snapToGrid w:val="0"/>
                <w:kern w:val="0"/>
                <w:sz w:val="21"/>
                <w:szCs w:val="21"/>
                <w14:ligatures w14:val="none"/>
              </w:rPr>
              <w:t>9</w:t>
            </w:r>
          </w:p>
        </w:tc>
        <w:tc>
          <w:tcPr>
            <w:tcW w:w="1575" w:type="pct"/>
            <w:vAlign w:val="center"/>
          </w:tcPr>
          <w:p w14:paraId="67DC0A75">
            <w:pPr>
              <w:widowControl w:val="0"/>
              <w:topLinePunct/>
              <w:adjustRightInd w:val="0"/>
              <w:snapToGrid w:val="0"/>
              <w:contextualSpacing/>
              <w:jc w:val="center"/>
              <w:rPr>
                <w:rFonts w:hint="eastAsia" w:ascii="宋体" w:hAnsi="宋体" w:eastAsia="宋体" w:cs="宋体"/>
                <w:snapToGrid w:val="0"/>
                <w:kern w:val="0"/>
                <w:sz w:val="21"/>
                <w:szCs w:val="21"/>
                <w14:ligatures w14:val="none"/>
              </w:rPr>
            </w:pPr>
            <w:r>
              <w:rPr>
                <w:rFonts w:hint="eastAsia" w:ascii="宋体" w:hAnsi="宋体" w:eastAsia="宋体" w:cs="宋体"/>
                <w:snapToGrid w:val="0"/>
                <w:kern w:val="0"/>
                <w:sz w:val="21"/>
                <w:szCs w:val="21"/>
                <w14:ligatures w14:val="none"/>
              </w:rPr>
              <w:t>脉冲间续流平均有效值</w:t>
            </w:r>
          </w:p>
        </w:tc>
        <w:tc>
          <w:tcPr>
            <w:tcW w:w="528" w:type="pct"/>
            <w:vAlign w:val="center"/>
          </w:tcPr>
          <w:p w14:paraId="7F8A1CC4">
            <w:pPr>
              <w:widowControl w:val="0"/>
              <w:topLinePunct/>
              <w:adjustRightInd w:val="0"/>
              <w:snapToGrid w:val="0"/>
              <w:contextualSpacing/>
              <w:jc w:val="center"/>
              <w:rPr>
                <w:rFonts w:hint="eastAsia" w:ascii="宋体" w:hAnsi="宋体" w:eastAsia="宋体" w:cs="宋体"/>
                <w:snapToGrid w:val="0"/>
                <w:kern w:val="0"/>
                <w:sz w:val="21"/>
                <w:szCs w:val="21"/>
                <w14:ligatures w14:val="none"/>
              </w:rPr>
            </w:pPr>
            <w:r>
              <w:rPr>
                <w:rFonts w:hint="eastAsia" w:ascii="宋体" w:hAnsi="宋体" w:eastAsia="宋体" w:cs="宋体"/>
                <w:snapToGrid w:val="0"/>
                <w:kern w:val="0"/>
                <w:sz w:val="21"/>
                <w:szCs w:val="21"/>
                <w14:ligatures w14:val="none"/>
              </w:rPr>
              <w:t>mA</w:t>
            </w:r>
          </w:p>
        </w:tc>
        <w:tc>
          <w:tcPr>
            <w:tcW w:w="2402" w:type="pct"/>
            <w:vAlign w:val="center"/>
          </w:tcPr>
          <w:p w14:paraId="707E8B7A">
            <w:pPr>
              <w:widowControl w:val="0"/>
              <w:topLinePunct/>
              <w:adjustRightInd w:val="0"/>
              <w:snapToGrid w:val="0"/>
              <w:contextualSpacing/>
              <w:jc w:val="center"/>
              <w:rPr>
                <w:rFonts w:hint="eastAsia" w:ascii="宋体" w:hAnsi="宋体" w:eastAsia="宋体" w:cs="宋体"/>
                <w:snapToGrid w:val="0"/>
                <w:kern w:val="0"/>
                <w:sz w:val="21"/>
                <w:szCs w:val="21"/>
                <w14:ligatures w14:val="none"/>
              </w:rPr>
            </w:pPr>
            <w:r>
              <w:rPr>
                <w:rFonts w:hint="eastAsia" w:ascii="宋体" w:hAnsi="宋体" w:eastAsia="宋体" w:cs="宋体"/>
                <w:snapToGrid w:val="0"/>
                <w:kern w:val="0"/>
                <w:sz w:val="21"/>
                <w:szCs w:val="21"/>
                <w14:ligatures w14:val="none"/>
              </w:rPr>
              <w:t>＜0.7</w:t>
            </w:r>
          </w:p>
        </w:tc>
      </w:tr>
      <w:tr w14:paraId="4830B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 w:type="pct"/>
            <w:vAlign w:val="center"/>
          </w:tcPr>
          <w:p w14:paraId="0EFA3380">
            <w:pPr>
              <w:widowControl w:val="0"/>
              <w:topLinePunct/>
              <w:adjustRightInd w:val="0"/>
              <w:snapToGrid w:val="0"/>
              <w:contextualSpacing/>
              <w:jc w:val="center"/>
              <w:rPr>
                <w:rFonts w:hint="eastAsia" w:ascii="宋体" w:hAnsi="宋体" w:eastAsia="宋体" w:cs="宋体"/>
                <w:snapToGrid w:val="0"/>
                <w:kern w:val="0"/>
                <w:sz w:val="21"/>
                <w:szCs w:val="21"/>
                <w14:ligatures w14:val="none"/>
              </w:rPr>
            </w:pPr>
            <w:r>
              <w:rPr>
                <w:rFonts w:hint="eastAsia" w:ascii="宋体" w:hAnsi="宋体" w:eastAsia="宋体" w:cs="宋体"/>
                <w:snapToGrid w:val="0"/>
                <w:kern w:val="0"/>
                <w:sz w:val="21"/>
                <w:szCs w:val="21"/>
                <w14:ligatures w14:val="none"/>
              </w:rPr>
              <w:t>10</w:t>
            </w:r>
          </w:p>
        </w:tc>
        <w:tc>
          <w:tcPr>
            <w:tcW w:w="1575" w:type="pct"/>
            <w:vAlign w:val="center"/>
          </w:tcPr>
          <w:p w14:paraId="2F9664B5">
            <w:pPr>
              <w:widowControl w:val="0"/>
              <w:topLinePunct/>
              <w:adjustRightInd w:val="0"/>
              <w:snapToGrid w:val="0"/>
              <w:contextualSpacing/>
              <w:jc w:val="center"/>
              <w:rPr>
                <w:rFonts w:hint="eastAsia" w:ascii="宋体" w:hAnsi="宋体" w:eastAsia="宋体" w:cs="宋体"/>
                <w:snapToGrid w:val="0"/>
                <w:kern w:val="0"/>
                <w:sz w:val="21"/>
                <w:szCs w:val="21"/>
                <w14:ligatures w14:val="none"/>
              </w:rPr>
            </w:pPr>
            <w:r>
              <w:rPr>
                <w:rFonts w:hint="eastAsia" w:ascii="宋体" w:hAnsi="宋体" w:eastAsia="宋体" w:cs="宋体"/>
                <w:snapToGrid w:val="0"/>
                <w:kern w:val="0"/>
                <w:sz w:val="21"/>
                <w:szCs w:val="21"/>
                <w14:ligatures w14:val="none"/>
              </w:rPr>
              <w:t>开关量报警输出</w:t>
            </w:r>
          </w:p>
        </w:tc>
        <w:tc>
          <w:tcPr>
            <w:tcW w:w="528" w:type="pct"/>
            <w:vAlign w:val="center"/>
          </w:tcPr>
          <w:p w14:paraId="37A237DD">
            <w:pPr>
              <w:widowControl w:val="0"/>
              <w:topLinePunct/>
              <w:adjustRightInd w:val="0"/>
              <w:snapToGrid w:val="0"/>
              <w:contextualSpacing/>
              <w:jc w:val="center"/>
              <w:rPr>
                <w:rFonts w:hint="eastAsia" w:ascii="宋体" w:hAnsi="宋体" w:eastAsia="宋体" w:cs="宋体"/>
                <w:snapToGrid w:val="0"/>
                <w:kern w:val="0"/>
                <w:sz w:val="21"/>
                <w:szCs w:val="21"/>
                <w14:ligatures w14:val="none"/>
              </w:rPr>
            </w:pPr>
            <w:r>
              <w:rPr>
                <w:rFonts w:hint="eastAsia" w:ascii="宋体" w:hAnsi="宋体" w:eastAsia="宋体" w:cs="宋体"/>
                <w:snapToGrid w:val="0"/>
                <w:kern w:val="0"/>
                <w:sz w:val="21"/>
                <w:szCs w:val="21"/>
                <w14:ligatures w14:val="none"/>
              </w:rPr>
              <w:t>\</w:t>
            </w:r>
          </w:p>
        </w:tc>
        <w:tc>
          <w:tcPr>
            <w:tcW w:w="2402" w:type="pct"/>
            <w:vAlign w:val="center"/>
          </w:tcPr>
          <w:p w14:paraId="6545F765">
            <w:pPr>
              <w:widowControl w:val="0"/>
              <w:topLinePunct/>
              <w:adjustRightInd w:val="0"/>
              <w:snapToGrid w:val="0"/>
              <w:contextualSpacing/>
              <w:jc w:val="center"/>
              <w:rPr>
                <w:rFonts w:hint="eastAsia" w:ascii="宋体" w:hAnsi="宋体" w:eastAsia="宋体" w:cs="宋体"/>
                <w:snapToGrid w:val="0"/>
                <w:kern w:val="0"/>
                <w:sz w:val="21"/>
                <w:szCs w:val="21"/>
                <w14:ligatures w14:val="none"/>
              </w:rPr>
            </w:pPr>
            <w:r>
              <w:rPr>
                <w:rFonts w:hint="eastAsia" w:ascii="宋体" w:hAnsi="宋体" w:eastAsia="宋体" w:cs="宋体"/>
                <w:snapToGrid w:val="0"/>
                <w:kern w:val="0"/>
                <w:sz w:val="21"/>
                <w:szCs w:val="21"/>
                <w14:ligatures w14:val="none"/>
              </w:rPr>
              <w:t>常闭触点/常开触点可选</w:t>
            </w:r>
          </w:p>
        </w:tc>
      </w:tr>
      <w:tr w14:paraId="1C708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 w:type="pct"/>
            <w:vAlign w:val="center"/>
          </w:tcPr>
          <w:p w14:paraId="10CCA4C5">
            <w:pPr>
              <w:widowControl w:val="0"/>
              <w:topLinePunct/>
              <w:adjustRightInd w:val="0"/>
              <w:snapToGrid w:val="0"/>
              <w:contextualSpacing/>
              <w:jc w:val="center"/>
              <w:rPr>
                <w:rFonts w:hint="eastAsia" w:ascii="宋体" w:hAnsi="宋体" w:eastAsia="宋体" w:cs="宋体"/>
                <w:snapToGrid w:val="0"/>
                <w:kern w:val="0"/>
                <w:sz w:val="21"/>
                <w:szCs w:val="21"/>
                <w14:ligatures w14:val="none"/>
              </w:rPr>
            </w:pPr>
            <w:r>
              <w:rPr>
                <w:rFonts w:hint="eastAsia" w:ascii="宋体" w:hAnsi="宋体" w:eastAsia="宋体" w:cs="宋体"/>
                <w:snapToGrid w:val="0"/>
                <w:kern w:val="0"/>
                <w:sz w:val="21"/>
                <w:szCs w:val="21"/>
                <w14:ligatures w14:val="none"/>
              </w:rPr>
              <w:t>11</w:t>
            </w:r>
          </w:p>
        </w:tc>
        <w:tc>
          <w:tcPr>
            <w:tcW w:w="1575" w:type="pct"/>
            <w:vAlign w:val="center"/>
          </w:tcPr>
          <w:p w14:paraId="15D9D6C9">
            <w:pPr>
              <w:widowControl w:val="0"/>
              <w:topLinePunct/>
              <w:adjustRightInd w:val="0"/>
              <w:snapToGrid w:val="0"/>
              <w:contextualSpacing/>
              <w:jc w:val="center"/>
              <w:rPr>
                <w:rFonts w:hint="eastAsia" w:ascii="宋体" w:hAnsi="宋体" w:eastAsia="宋体" w:cs="宋体"/>
                <w:snapToGrid w:val="0"/>
                <w:kern w:val="0"/>
                <w:sz w:val="21"/>
                <w:szCs w:val="21"/>
                <w14:ligatures w14:val="none"/>
              </w:rPr>
            </w:pPr>
            <w:r>
              <w:rPr>
                <w:rFonts w:hint="eastAsia" w:ascii="宋体" w:hAnsi="宋体" w:eastAsia="宋体" w:cs="宋体"/>
                <w:snapToGrid w:val="0"/>
                <w:kern w:val="0"/>
                <w:sz w:val="21"/>
                <w:szCs w:val="21"/>
                <w14:ligatures w14:val="none"/>
              </w:rPr>
              <w:t>报警输出响应时间</w:t>
            </w:r>
          </w:p>
        </w:tc>
        <w:tc>
          <w:tcPr>
            <w:tcW w:w="528" w:type="pct"/>
            <w:vAlign w:val="center"/>
          </w:tcPr>
          <w:p w14:paraId="61119FDB">
            <w:pPr>
              <w:widowControl w:val="0"/>
              <w:topLinePunct/>
              <w:adjustRightInd w:val="0"/>
              <w:snapToGrid w:val="0"/>
              <w:contextualSpacing/>
              <w:jc w:val="center"/>
              <w:rPr>
                <w:rFonts w:hint="eastAsia" w:ascii="宋体" w:hAnsi="宋体" w:eastAsia="宋体" w:cs="宋体"/>
                <w:snapToGrid w:val="0"/>
                <w:kern w:val="0"/>
                <w:sz w:val="21"/>
                <w:szCs w:val="21"/>
                <w14:ligatures w14:val="none"/>
              </w:rPr>
            </w:pPr>
            <w:r>
              <w:rPr>
                <w:rFonts w:hint="eastAsia" w:ascii="宋体" w:hAnsi="宋体" w:eastAsia="宋体" w:cs="宋体"/>
                <w:snapToGrid w:val="0"/>
                <w:kern w:val="0"/>
                <w:sz w:val="21"/>
                <w:szCs w:val="21"/>
                <w14:ligatures w14:val="none"/>
              </w:rPr>
              <w:t>s</w:t>
            </w:r>
          </w:p>
        </w:tc>
        <w:tc>
          <w:tcPr>
            <w:tcW w:w="2402" w:type="pct"/>
            <w:vAlign w:val="center"/>
          </w:tcPr>
          <w:p w14:paraId="7C2E6F4B">
            <w:pPr>
              <w:widowControl w:val="0"/>
              <w:topLinePunct/>
              <w:adjustRightInd w:val="0"/>
              <w:snapToGrid w:val="0"/>
              <w:contextualSpacing/>
              <w:jc w:val="center"/>
              <w:rPr>
                <w:rFonts w:hint="eastAsia" w:ascii="宋体" w:hAnsi="宋体" w:eastAsia="宋体" w:cs="宋体"/>
                <w:snapToGrid w:val="0"/>
                <w:kern w:val="0"/>
                <w:sz w:val="21"/>
                <w:szCs w:val="21"/>
                <w14:ligatures w14:val="none"/>
              </w:rPr>
            </w:pPr>
            <w:r>
              <w:rPr>
                <w:rFonts w:hint="eastAsia" w:ascii="宋体" w:hAnsi="宋体" w:eastAsia="宋体" w:cs="宋体"/>
                <w:snapToGrid w:val="0"/>
                <w:kern w:val="0"/>
                <w:sz w:val="21"/>
                <w:szCs w:val="21"/>
                <w14:ligatures w14:val="none"/>
              </w:rPr>
              <w:t>＜3</w:t>
            </w:r>
          </w:p>
        </w:tc>
      </w:tr>
      <w:tr w14:paraId="7B4A4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 w:type="pct"/>
            <w:vAlign w:val="center"/>
          </w:tcPr>
          <w:p w14:paraId="25317FCD">
            <w:pPr>
              <w:widowControl w:val="0"/>
              <w:topLinePunct/>
              <w:adjustRightInd w:val="0"/>
              <w:snapToGrid w:val="0"/>
              <w:contextualSpacing/>
              <w:jc w:val="center"/>
              <w:rPr>
                <w:rFonts w:hint="eastAsia" w:ascii="宋体" w:hAnsi="宋体" w:eastAsia="宋体" w:cs="宋体"/>
                <w:snapToGrid w:val="0"/>
                <w:kern w:val="0"/>
                <w:sz w:val="21"/>
                <w:szCs w:val="21"/>
                <w14:ligatures w14:val="none"/>
              </w:rPr>
            </w:pPr>
            <w:r>
              <w:rPr>
                <w:rFonts w:hint="eastAsia" w:ascii="宋体" w:hAnsi="宋体" w:eastAsia="宋体" w:cs="宋体"/>
                <w:snapToGrid w:val="0"/>
                <w:kern w:val="0"/>
                <w:sz w:val="21"/>
                <w:szCs w:val="21"/>
                <w14:ligatures w14:val="none"/>
              </w:rPr>
              <w:t>12</w:t>
            </w:r>
          </w:p>
        </w:tc>
        <w:tc>
          <w:tcPr>
            <w:tcW w:w="1575" w:type="pct"/>
            <w:vAlign w:val="center"/>
          </w:tcPr>
          <w:p w14:paraId="770095C4">
            <w:pPr>
              <w:widowControl w:val="0"/>
              <w:topLinePunct/>
              <w:adjustRightInd w:val="0"/>
              <w:snapToGrid w:val="0"/>
              <w:contextualSpacing/>
              <w:jc w:val="center"/>
              <w:rPr>
                <w:rFonts w:hint="eastAsia" w:ascii="宋体" w:hAnsi="宋体" w:eastAsia="宋体" w:cs="宋体"/>
                <w:snapToGrid w:val="0"/>
                <w:kern w:val="0"/>
                <w:sz w:val="21"/>
                <w:szCs w:val="21"/>
                <w14:ligatures w14:val="none"/>
              </w:rPr>
            </w:pPr>
            <w:r>
              <w:rPr>
                <w:rFonts w:hint="eastAsia" w:ascii="宋体" w:hAnsi="宋体" w:eastAsia="宋体" w:cs="宋体"/>
                <w:snapToGrid w:val="0"/>
                <w:kern w:val="0"/>
                <w:sz w:val="21"/>
                <w:szCs w:val="21"/>
                <w14:ligatures w14:val="none"/>
              </w:rPr>
              <w:t>报警电压信号输出</w:t>
            </w:r>
          </w:p>
        </w:tc>
        <w:tc>
          <w:tcPr>
            <w:tcW w:w="528" w:type="pct"/>
            <w:vAlign w:val="center"/>
          </w:tcPr>
          <w:p w14:paraId="6C7E662E">
            <w:pPr>
              <w:widowControl w:val="0"/>
              <w:topLinePunct/>
              <w:adjustRightInd w:val="0"/>
              <w:snapToGrid w:val="0"/>
              <w:contextualSpacing/>
              <w:jc w:val="center"/>
              <w:rPr>
                <w:rFonts w:hint="eastAsia" w:ascii="宋体" w:hAnsi="宋体" w:eastAsia="宋体" w:cs="宋体"/>
                <w:snapToGrid w:val="0"/>
                <w:kern w:val="0"/>
                <w:sz w:val="21"/>
                <w:szCs w:val="21"/>
                <w14:ligatures w14:val="none"/>
              </w:rPr>
            </w:pPr>
            <w:r>
              <w:rPr>
                <w:rFonts w:hint="eastAsia" w:ascii="宋体" w:hAnsi="宋体" w:eastAsia="宋体" w:cs="宋体"/>
                <w:snapToGrid w:val="0"/>
                <w:kern w:val="0"/>
                <w:sz w:val="21"/>
                <w:szCs w:val="21"/>
                <w14:ligatures w14:val="none"/>
              </w:rPr>
              <w:t>V</w:t>
            </w:r>
          </w:p>
        </w:tc>
        <w:tc>
          <w:tcPr>
            <w:tcW w:w="2402" w:type="pct"/>
            <w:vAlign w:val="center"/>
          </w:tcPr>
          <w:p w14:paraId="4822D4CB">
            <w:pPr>
              <w:widowControl w:val="0"/>
              <w:topLinePunct/>
              <w:adjustRightInd w:val="0"/>
              <w:snapToGrid w:val="0"/>
              <w:contextualSpacing/>
              <w:jc w:val="center"/>
              <w:rPr>
                <w:rFonts w:hint="eastAsia" w:ascii="宋体" w:hAnsi="宋体" w:eastAsia="宋体" w:cs="宋体"/>
                <w:snapToGrid w:val="0"/>
                <w:kern w:val="0"/>
                <w:sz w:val="21"/>
                <w:szCs w:val="21"/>
                <w14:ligatures w14:val="none"/>
              </w:rPr>
            </w:pPr>
            <w:r>
              <w:rPr>
                <w:rFonts w:hint="eastAsia" w:ascii="宋体" w:hAnsi="宋体" w:eastAsia="宋体" w:cs="宋体"/>
                <w:snapToGrid w:val="0"/>
                <w:kern w:val="0"/>
                <w:sz w:val="21"/>
                <w:szCs w:val="21"/>
                <w14:ligatures w14:val="none"/>
              </w:rPr>
              <w:t>DC12V（负载功率≤2.4W）</w:t>
            </w:r>
          </w:p>
        </w:tc>
      </w:tr>
      <w:tr w14:paraId="4A032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 w:type="pct"/>
            <w:vAlign w:val="center"/>
          </w:tcPr>
          <w:p w14:paraId="6AA2A06C">
            <w:pPr>
              <w:widowControl w:val="0"/>
              <w:topLinePunct/>
              <w:adjustRightInd w:val="0"/>
              <w:snapToGrid w:val="0"/>
              <w:contextualSpacing/>
              <w:jc w:val="center"/>
              <w:rPr>
                <w:rFonts w:hint="eastAsia" w:ascii="宋体" w:hAnsi="宋体" w:eastAsia="宋体" w:cs="宋体"/>
                <w:snapToGrid w:val="0"/>
                <w:kern w:val="0"/>
                <w:sz w:val="21"/>
                <w:szCs w:val="21"/>
                <w14:ligatures w14:val="none"/>
              </w:rPr>
            </w:pPr>
            <w:r>
              <w:rPr>
                <w:rFonts w:hint="eastAsia" w:ascii="宋体" w:hAnsi="宋体" w:eastAsia="宋体" w:cs="宋体"/>
                <w:snapToGrid w:val="0"/>
                <w:kern w:val="0"/>
                <w:sz w:val="21"/>
                <w:szCs w:val="21"/>
                <w14:ligatures w14:val="none"/>
              </w:rPr>
              <w:t>13</w:t>
            </w:r>
          </w:p>
        </w:tc>
        <w:tc>
          <w:tcPr>
            <w:tcW w:w="1575" w:type="pct"/>
            <w:vAlign w:val="center"/>
          </w:tcPr>
          <w:p w14:paraId="7BF1428C">
            <w:pPr>
              <w:widowControl w:val="0"/>
              <w:topLinePunct/>
              <w:adjustRightInd w:val="0"/>
              <w:snapToGrid w:val="0"/>
              <w:contextualSpacing/>
              <w:jc w:val="center"/>
              <w:rPr>
                <w:rFonts w:hint="eastAsia" w:ascii="宋体" w:hAnsi="宋体" w:eastAsia="宋体" w:cs="宋体"/>
                <w:snapToGrid w:val="0"/>
                <w:kern w:val="0"/>
                <w:sz w:val="21"/>
                <w:szCs w:val="21"/>
                <w14:ligatures w14:val="none"/>
              </w:rPr>
            </w:pPr>
            <w:r>
              <w:rPr>
                <w:rFonts w:hint="eastAsia" w:ascii="宋体" w:hAnsi="宋体" w:eastAsia="宋体" w:cs="宋体"/>
                <w:snapToGrid w:val="0"/>
                <w:kern w:val="0"/>
                <w:sz w:val="21"/>
                <w:szCs w:val="21"/>
                <w14:ligatures w14:val="none"/>
              </w:rPr>
              <w:t>防拆报警输出</w:t>
            </w:r>
          </w:p>
        </w:tc>
        <w:tc>
          <w:tcPr>
            <w:tcW w:w="528" w:type="pct"/>
            <w:vAlign w:val="center"/>
          </w:tcPr>
          <w:p w14:paraId="7192E39A">
            <w:pPr>
              <w:widowControl w:val="0"/>
              <w:topLinePunct/>
              <w:adjustRightInd w:val="0"/>
              <w:snapToGrid w:val="0"/>
              <w:contextualSpacing/>
              <w:jc w:val="center"/>
              <w:rPr>
                <w:rFonts w:hint="eastAsia" w:ascii="宋体" w:hAnsi="宋体" w:eastAsia="宋体" w:cs="宋体"/>
                <w:snapToGrid w:val="0"/>
                <w:kern w:val="0"/>
                <w:sz w:val="21"/>
                <w:szCs w:val="21"/>
                <w14:ligatures w14:val="none"/>
              </w:rPr>
            </w:pPr>
          </w:p>
        </w:tc>
        <w:tc>
          <w:tcPr>
            <w:tcW w:w="2402" w:type="pct"/>
            <w:vAlign w:val="center"/>
          </w:tcPr>
          <w:p w14:paraId="2B3276C5">
            <w:pPr>
              <w:widowControl w:val="0"/>
              <w:topLinePunct/>
              <w:adjustRightInd w:val="0"/>
              <w:snapToGrid w:val="0"/>
              <w:contextualSpacing/>
              <w:jc w:val="center"/>
              <w:rPr>
                <w:rFonts w:hint="eastAsia" w:ascii="宋体" w:hAnsi="宋体" w:eastAsia="宋体" w:cs="宋体"/>
                <w:snapToGrid w:val="0"/>
                <w:kern w:val="0"/>
                <w:sz w:val="21"/>
                <w:szCs w:val="21"/>
                <w14:ligatures w14:val="none"/>
              </w:rPr>
            </w:pPr>
            <w:r>
              <w:rPr>
                <w:rFonts w:hint="eastAsia" w:ascii="宋体" w:hAnsi="宋体" w:eastAsia="宋体" w:cs="宋体"/>
                <w:snapToGrid w:val="0"/>
                <w:kern w:val="0"/>
                <w:sz w:val="21"/>
                <w:szCs w:val="21"/>
                <w14:ligatures w14:val="none"/>
              </w:rPr>
              <w:t>常闭触点/常开触点</w:t>
            </w:r>
          </w:p>
        </w:tc>
      </w:tr>
      <w:tr w14:paraId="78300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 w:type="pct"/>
            <w:vAlign w:val="center"/>
          </w:tcPr>
          <w:p w14:paraId="75CB3951">
            <w:pPr>
              <w:widowControl w:val="0"/>
              <w:topLinePunct/>
              <w:adjustRightInd w:val="0"/>
              <w:snapToGrid w:val="0"/>
              <w:contextualSpacing/>
              <w:jc w:val="center"/>
              <w:rPr>
                <w:rFonts w:hint="eastAsia" w:ascii="宋体" w:hAnsi="宋体" w:eastAsia="宋体" w:cs="宋体"/>
                <w:snapToGrid w:val="0"/>
                <w:kern w:val="0"/>
                <w:sz w:val="21"/>
                <w:szCs w:val="21"/>
                <w14:ligatures w14:val="none"/>
              </w:rPr>
            </w:pPr>
            <w:r>
              <w:rPr>
                <w:rFonts w:hint="eastAsia" w:ascii="宋体" w:hAnsi="宋体" w:eastAsia="宋体" w:cs="宋体"/>
                <w:snapToGrid w:val="0"/>
                <w:kern w:val="0"/>
                <w:sz w:val="21"/>
                <w:szCs w:val="21"/>
                <w14:ligatures w14:val="none"/>
              </w:rPr>
              <w:t>14</w:t>
            </w:r>
          </w:p>
        </w:tc>
        <w:tc>
          <w:tcPr>
            <w:tcW w:w="1575" w:type="pct"/>
            <w:vAlign w:val="center"/>
          </w:tcPr>
          <w:p w14:paraId="1062D615">
            <w:pPr>
              <w:widowControl w:val="0"/>
              <w:topLinePunct/>
              <w:adjustRightInd w:val="0"/>
              <w:snapToGrid w:val="0"/>
              <w:contextualSpacing/>
              <w:jc w:val="center"/>
              <w:rPr>
                <w:rFonts w:hint="eastAsia" w:ascii="宋体" w:hAnsi="宋体" w:eastAsia="宋体" w:cs="宋体"/>
                <w:snapToGrid w:val="0"/>
                <w:kern w:val="0"/>
                <w:sz w:val="21"/>
                <w:szCs w:val="21"/>
                <w14:ligatures w14:val="none"/>
              </w:rPr>
            </w:pPr>
            <w:r>
              <w:rPr>
                <w:rFonts w:hint="eastAsia" w:ascii="宋体" w:hAnsi="宋体" w:eastAsia="宋体" w:cs="宋体"/>
                <w:snapToGrid w:val="0"/>
                <w:kern w:val="0"/>
                <w:sz w:val="21"/>
                <w:szCs w:val="21"/>
                <w14:ligatures w14:val="none"/>
              </w:rPr>
              <w:t>环境温度</w:t>
            </w:r>
          </w:p>
        </w:tc>
        <w:tc>
          <w:tcPr>
            <w:tcW w:w="528" w:type="pct"/>
            <w:vAlign w:val="center"/>
          </w:tcPr>
          <w:p w14:paraId="3ABBAEA2">
            <w:pPr>
              <w:widowControl w:val="0"/>
              <w:topLinePunct/>
              <w:adjustRightInd w:val="0"/>
              <w:snapToGrid w:val="0"/>
              <w:contextualSpacing/>
              <w:jc w:val="center"/>
              <w:rPr>
                <w:rFonts w:hint="eastAsia" w:ascii="宋体" w:hAnsi="宋体" w:eastAsia="宋体" w:cs="宋体"/>
                <w:snapToGrid w:val="0"/>
                <w:kern w:val="0"/>
                <w:sz w:val="21"/>
                <w:szCs w:val="21"/>
                <w14:ligatures w14:val="none"/>
              </w:rPr>
            </w:pPr>
          </w:p>
        </w:tc>
        <w:tc>
          <w:tcPr>
            <w:tcW w:w="2402" w:type="pct"/>
            <w:vAlign w:val="center"/>
          </w:tcPr>
          <w:p w14:paraId="4D274FDF">
            <w:pPr>
              <w:widowControl w:val="0"/>
              <w:topLinePunct/>
              <w:adjustRightInd w:val="0"/>
              <w:snapToGrid w:val="0"/>
              <w:contextualSpacing/>
              <w:jc w:val="center"/>
              <w:rPr>
                <w:rFonts w:hint="eastAsia" w:ascii="宋体" w:hAnsi="宋体" w:eastAsia="宋体" w:cs="宋体"/>
                <w:snapToGrid w:val="0"/>
                <w:kern w:val="0"/>
                <w:sz w:val="21"/>
                <w:szCs w:val="21"/>
                <w14:ligatures w14:val="none"/>
              </w:rPr>
            </w:pPr>
            <w:r>
              <w:rPr>
                <w:rFonts w:hint="eastAsia" w:ascii="宋体" w:hAnsi="宋体" w:eastAsia="宋体" w:cs="宋体"/>
                <w:snapToGrid w:val="0"/>
                <w:kern w:val="0"/>
                <w:sz w:val="21"/>
                <w:szCs w:val="21"/>
                <w14:ligatures w14:val="none"/>
              </w:rPr>
              <w:t>-10~+55℃</w:t>
            </w:r>
          </w:p>
        </w:tc>
      </w:tr>
      <w:tr w14:paraId="0747A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 w:type="pct"/>
            <w:vAlign w:val="center"/>
          </w:tcPr>
          <w:p w14:paraId="64BFA6CB">
            <w:pPr>
              <w:widowControl w:val="0"/>
              <w:topLinePunct/>
              <w:adjustRightInd w:val="0"/>
              <w:snapToGrid w:val="0"/>
              <w:contextualSpacing/>
              <w:jc w:val="center"/>
              <w:rPr>
                <w:rFonts w:hint="eastAsia" w:ascii="宋体" w:hAnsi="宋体" w:eastAsia="宋体" w:cs="宋体"/>
                <w:snapToGrid w:val="0"/>
                <w:kern w:val="0"/>
                <w:sz w:val="21"/>
                <w:szCs w:val="21"/>
                <w14:ligatures w14:val="none"/>
              </w:rPr>
            </w:pPr>
            <w:r>
              <w:rPr>
                <w:rFonts w:hint="eastAsia" w:ascii="宋体" w:hAnsi="宋体" w:eastAsia="宋体" w:cs="宋体"/>
                <w:snapToGrid w:val="0"/>
                <w:kern w:val="0"/>
                <w:sz w:val="21"/>
                <w:szCs w:val="21"/>
                <w14:ligatures w14:val="none"/>
              </w:rPr>
              <w:t>15</w:t>
            </w:r>
          </w:p>
        </w:tc>
        <w:tc>
          <w:tcPr>
            <w:tcW w:w="1575" w:type="pct"/>
            <w:vAlign w:val="center"/>
          </w:tcPr>
          <w:p w14:paraId="276EB2C2">
            <w:pPr>
              <w:widowControl w:val="0"/>
              <w:topLinePunct/>
              <w:adjustRightInd w:val="0"/>
              <w:snapToGrid w:val="0"/>
              <w:contextualSpacing/>
              <w:jc w:val="center"/>
              <w:rPr>
                <w:rFonts w:hint="eastAsia" w:ascii="宋体" w:hAnsi="宋体" w:eastAsia="宋体" w:cs="宋体"/>
                <w:snapToGrid w:val="0"/>
                <w:kern w:val="0"/>
                <w:sz w:val="21"/>
                <w:szCs w:val="21"/>
                <w14:ligatures w14:val="none"/>
              </w:rPr>
            </w:pPr>
            <w:r>
              <w:rPr>
                <w:rFonts w:hint="eastAsia" w:ascii="宋体" w:hAnsi="宋体" w:eastAsia="宋体" w:cs="宋体"/>
                <w:snapToGrid w:val="0"/>
                <w:kern w:val="0"/>
                <w:sz w:val="21"/>
                <w:szCs w:val="21"/>
                <w14:ligatures w14:val="none"/>
              </w:rPr>
              <w:t>机箱标准</w:t>
            </w:r>
          </w:p>
        </w:tc>
        <w:tc>
          <w:tcPr>
            <w:tcW w:w="528" w:type="pct"/>
            <w:vAlign w:val="center"/>
          </w:tcPr>
          <w:p w14:paraId="5CCC7D5D">
            <w:pPr>
              <w:widowControl w:val="0"/>
              <w:topLinePunct/>
              <w:adjustRightInd w:val="0"/>
              <w:snapToGrid w:val="0"/>
              <w:contextualSpacing/>
              <w:jc w:val="center"/>
              <w:rPr>
                <w:rFonts w:hint="eastAsia" w:ascii="宋体" w:hAnsi="宋体" w:eastAsia="宋体" w:cs="宋体"/>
                <w:snapToGrid w:val="0"/>
                <w:kern w:val="0"/>
                <w:sz w:val="21"/>
                <w:szCs w:val="21"/>
                <w14:ligatures w14:val="none"/>
              </w:rPr>
            </w:pPr>
          </w:p>
        </w:tc>
        <w:tc>
          <w:tcPr>
            <w:tcW w:w="2402" w:type="pct"/>
            <w:vAlign w:val="center"/>
          </w:tcPr>
          <w:p w14:paraId="2BF23E2A">
            <w:pPr>
              <w:widowControl w:val="0"/>
              <w:topLinePunct/>
              <w:adjustRightInd w:val="0"/>
              <w:snapToGrid w:val="0"/>
              <w:contextualSpacing/>
              <w:jc w:val="center"/>
              <w:rPr>
                <w:rFonts w:hint="eastAsia" w:ascii="宋体" w:hAnsi="宋体" w:eastAsia="宋体" w:cs="宋体"/>
                <w:snapToGrid w:val="0"/>
                <w:kern w:val="0"/>
                <w:sz w:val="21"/>
                <w:szCs w:val="21"/>
                <w14:ligatures w14:val="none"/>
              </w:rPr>
            </w:pPr>
            <w:r>
              <w:rPr>
                <w:rFonts w:hint="eastAsia" w:ascii="宋体" w:hAnsi="宋体" w:eastAsia="宋体" w:cs="宋体"/>
                <w:snapToGrid w:val="0"/>
                <w:kern w:val="0"/>
                <w:sz w:val="21"/>
                <w:szCs w:val="21"/>
                <w14:ligatures w14:val="none"/>
              </w:rPr>
              <w:t>IPX4</w:t>
            </w:r>
          </w:p>
        </w:tc>
      </w:tr>
      <w:tr w14:paraId="17379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 w:type="pct"/>
            <w:vAlign w:val="center"/>
          </w:tcPr>
          <w:p w14:paraId="621A1FA9">
            <w:pPr>
              <w:widowControl w:val="0"/>
              <w:topLinePunct/>
              <w:adjustRightInd w:val="0"/>
              <w:snapToGrid w:val="0"/>
              <w:contextualSpacing/>
              <w:jc w:val="center"/>
              <w:rPr>
                <w:rFonts w:hint="eastAsia" w:ascii="宋体" w:hAnsi="宋体" w:eastAsia="宋体" w:cs="宋体"/>
                <w:snapToGrid w:val="0"/>
                <w:kern w:val="0"/>
                <w:sz w:val="21"/>
                <w:szCs w:val="21"/>
                <w14:ligatures w14:val="none"/>
              </w:rPr>
            </w:pPr>
            <w:r>
              <w:rPr>
                <w:rFonts w:hint="eastAsia" w:ascii="宋体" w:hAnsi="宋体" w:eastAsia="宋体" w:cs="宋体"/>
                <w:snapToGrid w:val="0"/>
                <w:kern w:val="0"/>
                <w:sz w:val="21"/>
                <w:szCs w:val="21"/>
                <w14:ligatures w14:val="none"/>
              </w:rPr>
              <w:t>16</w:t>
            </w:r>
          </w:p>
        </w:tc>
        <w:tc>
          <w:tcPr>
            <w:tcW w:w="1575" w:type="pct"/>
            <w:vAlign w:val="center"/>
          </w:tcPr>
          <w:p w14:paraId="1F3D77F4">
            <w:pPr>
              <w:widowControl w:val="0"/>
              <w:topLinePunct/>
              <w:adjustRightInd w:val="0"/>
              <w:snapToGrid w:val="0"/>
              <w:contextualSpacing/>
              <w:jc w:val="center"/>
              <w:rPr>
                <w:rFonts w:hint="eastAsia" w:ascii="宋体" w:hAnsi="宋体" w:eastAsia="宋体" w:cs="宋体"/>
                <w:snapToGrid w:val="0"/>
                <w:kern w:val="0"/>
                <w:sz w:val="21"/>
                <w:szCs w:val="21"/>
                <w14:ligatures w14:val="none"/>
              </w:rPr>
            </w:pPr>
            <w:r>
              <w:rPr>
                <w:rFonts w:hint="eastAsia" w:ascii="宋体" w:hAnsi="宋体" w:eastAsia="宋体" w:cs="宋体"/>
                <w:snapToGrid w:val="0"/>
                <w:kern w:val="0"/>
                <w:sz w:val="21"/>
                <w:szCs w:val="21"/>
                <w14:ligatures w14:val="none"/>
              </w:rPr>
              <w:t>外型尺寸</w:t>
            </w:r>
          </w:p>
        </w:tc>
        <w:tc>
          <w:tcPr>
            <w:tcW w:w="528" w:type="pct"/>
            <w:vAlign w:val="center"/>
          </w:tcPr>
          <w:p w14:paraId="142F9227">
            <w:pPr>
              <w:widowControl w:val="0"/>
              <w:topLinePunct/>
              <w:adjustRightInd w:val="0"/>
              <w:snapToGrid w:val="0"/>
              <w:contextualSpacing/>
              <w:jc w:val="center"/>
              <w:rPr>
                <w:rFonts w:hint="eastAsia" w:ascii="宋体" w:hAnsi="宋体" w:eastAsia="宋体" w:cs="宋体"/>
                <w:snapToGrid w:val="0"/>
                <w:kern w:val="0"/>
                <w:sz w:val="21"/>
                <w:szCs w:val="21"/>
                <w14:ligatures w14:val="none"/>
              </w:rPr>
            </w:pPr>
          </w:p>
        </w:tc>
        <w:tc>
          <w:tcPr>
            <w:tcW w:w="2402" w:type="pct"/>
            <w:vAlign w:val="center"/>
          </w:tcPr>
          <w:p w14:paraId="000692BA">
            <w:pPr>
              <w:widowControl w:val="0"/>
              <w:topLinePunct/>
              <w:adjustRightInd w:val="0"/>
              <w:snapToGrid w:val="0"/>
              <w:contextualSpacing/>
              <w:jc w:val="center"/>
              <w:rPr>
                <w:rFonts w:hint="eastAsia" w:ascii="宋体" w:hAnsi="宋体" w:eastAsia="宋体" w:cs="宋体"/>
                <w:snapToGrid w:val="0"/>
                <w:kern w:val="0"/>
                <w:sz w:val="21"/>
                <w:szCs w:val="21"/>
                <w14:ligatures w14:val="none"/>
              </w:rPr>
            </w:pPr>
            <w:r>
              <w:rPr>
                <w:rFonts w:hint="eastAsia" w:ascii="宋体" w:hAnsi="宋体" w:eastAsia="宋体" w:cs="宋体"/>
                <w:snapToGrid w:val="0"/>
                <w:kern w:val="0"/>
                <w:sz w:val="21"/>
                <w:szCs w:val="21"/>
                <w14:ligatures w14:val="none"/>
              </w:rPr>
              <w:t>320X240X130</w:t>
            </w:r>
          </w:p>
        </w:tc>
      </w:tr>
      <w:tr w14:paraId="5E1FE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 w:type="pct"/>
            <w:vAlign w:val="center"/>
          </w:tcPr>
          <w:p w14:paraId="49DBBAB1">
            <w:pPr>
              <w:widowControl w:val="0"/>
              <w:topLinePunct/>
              <w:adjustRightInd w:val="0"/>
              <w:snapToGrid w:val="0"/>
              <w:contextualSpacing/>
              <w:jc w:val="center"/>
              <w:rPr>
                <w:rFonts w:hint="eastAsia" w:ascii="宋体" w:hAnsi="宋体" w:eastAsia="宋体" w:cs="宋体"/>
                <w:snapToGrid w:val="0"/>
                <w:kern w:val="0"/>
                <w:sz w:val="21"/>
                <w:szCs w:val="21"/>
                <w14:ligatures w14:val="none"/>
              </w:rPr>
            </w:pPr>
            <w:r>
              <w:rPr>
                <w:rFonts w:hint="eastAsia" w:ascii="宋体" w:hAnsi="宋体" w:eastAsia="宋体" w:cs="宋体"/>
                <w:snapToGrid w:val="0"/>
                <w:kern w:val="0"/>
                <w:sz w:val="21"/>
                <w:szCs w:val="21"/>
                <w14:ligatures w14:val="none"/>
              </w:rPr>
              <w:t>17</w:t>
            </w:r>
          </w:p>
        </w:tc>
        <w:tc>
          <w:tcPr>
            <w:tcW w:w="1575" w:type="pct"/>
            <w:vAlign w:val="center"/>
          </w:tcPr>
          <w:p w14:paraId="0D95E593">
            <w:pPr>
              <w:widowControl w:val="0"/>
              <w:topLinePunct/>
              <w:adjustRightInd w:val="0"/>
              <w:snapToGrid w:val="0"/>
              <w:contextualSpacing/>
              <w:jc w:val="center"/>
              <w:rPr>
                <w:rFonts w:hint="eastAsia" w:ascii="宋体" w:hAnsi="宋体" w:eastAsia="宋体" w:cs="宋体"/>
                <w:snapToGrid w:val="0"/>
                <w:kern w:val="0"/>
                <w:sz w:val="21"/>
                <w:szCs w:val="21"/>
                <w14:ligatures w14:val="none"/>
              </w:rPr>
            </w:pPr>
            <w:r>
              <w:rPr>
                <w:rFonts w:hint="eastAsia" w:ascii="宋体" w:hAnsi="宋体" w:eastAsia="宋体" w:cs="宋体"/>
                <w:snapToGrid w:val="0"/>
                <w:kern w:val="0"/>
                <w:sz w:val="21"/>
                <w:szCs w:val="21"/>
                <w14:ligatures w14:val="none"/>
              </w:rPr>
              <w:t>重量</w:t>
            </w:r>
          </w:p>
        </w:tc>
        <w:tc>
          <w:tcPr>
            <w:tcW w:w="528" w:type="pct"/>
            <w:vAlign w:val="center"/>
          </w:tcPr>
          <w:p w14:paraId="4A94EE6D">
            <w:pPr>
              <w:widowControl w:val="0"/>
              <w:topLinePunct/>
              <w:adjustRightInd w:val="0"/>
              <w:snapToGrid w:val="0"/>
              <w:contextualSpacing/>
              <w:jc w:val="center"/>
              <w:rPr>
                <w:rFonts w:hint="eastAsia" w:ascii="宋体" w:hAnsi="宋体" w:eastAsia="宋体" w:cs="宋体"/>
                <w:snapToGrid w:val="0"/>
                <w:kern w:val="0"/>
                <w:sz w:val="21"/>
                <w:szCs w:val="21"/>
                <w14:ligatures w14:val="none"/>
              </w:rPr>
            </w:pPr>
          </w:p>
        </w:tc>
        <w:tc>
          <w:tcPr>
            <w:tcW w:w="2402" w:type="pct"/>
            <w:vAlign w:val="center"/>
          </w:tcPr>
          <w:p w14:paraId="4E8BA403">
            <w:pPr>
              <w:widowControl w:val="0"/>
              <w:topLinePunct/>
              <w:adjustRightInd w:val="0"/>
              <w:snapToGrid w:val="0"/>
              <w:contextualSpacing/>
              <w:jc w:val="center"/>
              <w:rPr>
                <w:rFonts w:hint="eastAsia" w:ascii="宋体" w:hAnsi="宋体" w:eastAsia="宋体" w:cs="宋体"/>
                <w:snapToGrid w:val="0"/>
                <w:kern w:val="0"/>
                <w:sz w:val="21"/>
                <w:szCs w:val="21"/>
                <w14:ligatures w14:val="none"/>
              </w:rPr>
            </w:pPr>
            <w:r>
              <w:rPr>
                <w:rFonts w:hint="eastAsia" w:ascii="宋体" w:hAnsi="宋体" w:eastAsia="宋体" w:cs="宋体"/>
                <w:snapToGrid w:val="0"/>
                <w:kern w:val="0"/>
                <w:sz w:val="21"/>
                <w:szCs w:val="21"/>
                <w14:ligatures w14:val="none"/>
              </w:rPr>
              <w:t>4KG</w:t>
            </w:r>
          </w:p>
        </w:tc>
      </w:tr>
      <w:tr w14:paraId="54CD0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4"/>
            <w:vAlign w:val="center"/>
          </w:tcPr>
          <w:p w14:paraId="09F345E4">
            <w:pPr>
              <w:widowControl w:val="0"/>
              <w:topLinePunct/>
              <w:adjustRightInd w:val="0"/>
              <w:snapToGrid w:val="0"/>
              <w:contextualSpacing/>
              <w:jc w:val="center"/>
              <w:rPr>
                <w:rFonts w:hint="eastAsia" w:ascii="宋体" w:hAnsi="宋体" w:eastAsia="宋体" w:cs="宋体"/>
                <w:snapToGrid w:val="0"/>
                <w:kern w:val="0"/>
                <w:sz w:val="21"/>
                <w:szCs w:val="21"/>
                <w14:ligatures w14:val="none"/>
              </w:rPr>
            </w:pPr>
            <w:r>
              <w:rPr>
                <w:rFonts w:hint="eastAsia" w:ascii="宋体" w:hAnsi="宋体" w:eastAsia="宋体" w:cs="宋体"/>
                <w:snapToGrid w:val="0"/>
                <w:kern w:val="0"/>
                <w:sz w:val="21"/>
                <w:szCs w:val="21"/>
                <w14:ligatures w14:val="none"/>
              </w:rPr>
              <w:t>本表所列之项目及其参数取值范围为整个系列产品所共有。</w:t>
            </w:r>
          </w:p>
        </w:tc>
      </w:tr>
    </w:tbl>
    <w:p w14:paraId="64AD6308">
      <w:pPr>
        <w:pStyle w:val="12"/>
        <w:ind w:firstLine="420"/>
        <w:rPr>
          <w:rFonts w:hint="eastAsia" w:ascii="宋体" w:hAnsi="宋体" w:eastAsia="宋体" w:cs="宋体"/>
        </w:rPr>
      </w:pPr>
      <w:r>
        <w:rPr>
          <w:rFonts w:hint="eastAsia" w:ascii="宋体" w:hAnsi="宋体" w:eastAsia="宋体" w:cs="宋体"/>
        </w:rPr>
        <w:t>2.接警主机</w:t>
      </w:r>
    </w:p>
    <w:p w14:paraId="6ABD1F3E">
      <w:pPr>
        <w:pStyle w:val="12"/>
        <w:ind w:firstLine="420"/>
        <w:rPr>
          <w:rFonts w:hint="eastAsia" w:ascii="宋体" w:hAnsi="宋体" w:eastAsia="宋体" w:cs="宋体"/>
        </w:rPr>
      </w:pPr>
      <w:r>
        <w:rPr>
          <w:rFonts w:hint="eastAsia" w:ascii="宋体" w:hAnsi="宋体" w:eastAsia="宋体" w:cs="宋体"/>
        </w:rPr>
        <w:t>接警主机可接收周界报警中继器的报警信号。最多可接收1000个周界报警中继器的信号。</w:t>
      </w:r>
    </w:p>
    <w:p w14:paraId="74647898">
      <w:pPr>
        <w:pStyle w:val="12"/>
        <w:ind w:firstLine="420"/>
        <w:rPr>
          <w:rFonts w:hint="eastAsia" w:ascii="宋体" w:hAnsi="宋体" w:eastAsia="宋体" w:cs="宋体"/>
        </w:rPr>
      </w:pPr>
      <w:r>
        <w:rPr>
          <w:rFonts w:hint="eastAsia" w:ascii="宋体" w:hAnsi="宋体" w:eastAsia="宋体" w:cs="宋体"/>
        </w:rPr>
        <w:t>超强抗雷电干扰。</w:t>
      </w:r>
    </w:p>
    <w:p w14:paraId="4D734EB6">
      <w:pPr>
        <w:pStyle w:val="12"/>
        <w:ind w:firstLine="420"/>
        <w:rPr>
          <w:rFonts w:hint="eastAsia" w:ascii="宋体" w:hAnsi="宋体" w:eastAsia="宋体" w:cs="宋体"/>
        </w:rPr>
      </w:pPr>
      <w:r>
        <w:rPr>
          <w:rFonts w:hint="eastAsia" w:ascii="宋体" w:hAnsi="宋体" w:eastAsia="宋体" w:cs="宋体"/>
        </w:rPr>
        <w:t>接警主机通过大屏幕液晶显示屏能显示报警地址、时间，并可直接驱动模拟电子地图，直观显示报警地点及位置。</w:t>
      </w:r>
    </w:p>
    <w:p w14:paraId="5B9F80BF">
      <w:pPr>
        <w:pStyle w:val="12"/>
        <w:ind w:firstLine="420"/>
        <w:rPr>
          <w:rFonts w:hint="eastAsia" w:ascii="宋体" w:hAnsi="宋体" w:eastAsia="宋体" w:cs="宋体"/>
        </w:rPr>
      </w:pPr>
      <w:r>
        <w:rPr>
          <w:rFonts w:hint="eastAsia" w:ascii="宋体" w:hAnsi="宋体" w:eastAsia="宋体" w:cs="宋体"/>
        </w:rPr>
        <w:t xml:space="preserve">接警主机具有处警功能，能记录报警时间、地点；同时可直接和电脑连接。 </w:t>
      </w:r>
    </w:p>
    <w:p w14:paraId="111AF70E">
      <w:pPr>
        <w:pStyle w:val="12"/>
        <w:ind w:firstLine="420"/>
        <w:rPr>
          <w:rFonts w:hint="eastAsia" w:ascii="宋体" w:hAnsi="宋体" w:eastAsia="宋体" w:cs="宋体"/>
        </w:rPr>
      </w:pPr>
      <w:r>
        <w:rPr>
          <w:rFonts w:hint="eastAsia" w:ascii="宋体" w:hAnsi="宋体" w:eastAsia="宋体" w:cs="宋体"/>
        </w:rPr>
        <w:t>3.报警管理软件</w:t>
      </w:r>
    </w:p>
    <w:p w14:paraId="52849B7E">
      <w:pPr>
        <w:pStyle w:val="12"/>
        <w:ind w:firstLine="420"/>
        <w:rPr>
          <w:rFonts w:hint="eastAsia" w:ascii="宋体" w:hAnsi="宋体" w:eastAsia="宋体" w:cs="宋体"/>
        </w:rPr>
      </w:pPr>
      <w:r>
        <w:rPr>
          <w:rFonts w:hint="eastAsia" w:ascii="宋体" w:hAnsi="宋体" w:eastAsia="宋体" w:cs="宋体"/>
        </w:rPr>
        <w:t xml:space="preserve">采用多媒体技术，具备报警接收、警情处理、信息管理、数据保存，打印等功能，方便报警系统管理。 </w:t>
      </w:r>
    </w:p>
    <w:p w14:paraId="444E0E95">
      <w:pPr>
        <w:pStyle w:val="12"/>
        <w:ind w:firstLine="420"/>
        <w:rPr>
          <w:rFonts w:hint="eastAsia" w:ascii="宋体" w:hAnsi="宋体" w:eastAsia="宋体" w:cs="宋体"/>
        </w:rPr>
      </w:pPr>
      <w:r>
        <w:rPr>
          <w:rFonts w:hint="eastAsia" w:ascii="宋体" w:hAnsi="宋体" w:eastAsia="宋体" w:cs="宋体"/>
        </w:rPr>
        <w:t>4.报警显示板（定制）</w:t>
      </w:r>
    </w:p>
    <w:p w14:paraId="019253DB">
      <w:pPr>
        <w:pStyle w:val="12"/>
        <w:ind w:firstLine="420"/>
        <w:rPr>
          <w:rFonts w:hint="eastAsia" w:ascii="宋体" w:hAnsi="宋体" w:eastAsia="宋体" w:cs="宋体"/>
        </w:rPr>
      </w:pPr>
      <w:r>
        <w:rPr>
          <w:rFonts w:hint="eastAsia" w:ascii="宋体" w:hAnsi="宋体" w:eastAsia="宋体" w:cs="宋体"/>
        </w:rPr>
        <w:t>出现警情时，除声光报警之外，同时在“报警显示板”（模拟电子地图）上显示报警部位，帮助安保人员及时，准确处理警情</w:t>
      </w:r>
    </w:p>
    <w:p w14:paraId="65A7B759">
      <w:pPr>
        <w:pStyle w:val="12"/>
        <w:ind w:firstLine="420"/>
        <w:rPr>
          <w:rFonts w:hint="eastAsia" w:ascii="宋体" w:hAnsi="宋体" w:eastAsia="宋体" w:cs="宋体"/>
        </w:rPr>
      </w:pPr>
      <w:r>
        <w:rPr>
          <w:rFonts w:hint="eastAsia" w:ascii="宋体" w:hAnsi="宋体" w:eastAsia="宋体" w:cs="宋体"/>
        </w:rPr>
        <w:t>控制显示系统采用模块化设计。系统包括控制单元、LED驱动单元、数码管显示单元。该系统主要用来显示各种信息；</w:t>
      </w:r>
    </w:p>
    <w:p w14:paraId="6E31B369">
      <w:pPr>
        <w:pStyle w:val="12"/>
        <w:ind w:firstLine="420"/>
        <w:rPr>
          <w:rFonts w:hint="eastAsia" w:ascii="宋体" w:hAnsi="宋体" w:eastAsia="宋体" w:cs="宋体"/>
        </w:rPr>
      </w:pPr>
      <w:r>
        <w:rPr>
          <w:rFonts w:hint="eastAsia" w:ascii="宋体" w:hAnsi="宋体" w:eastAsia="宋体" w:cs="宋体"/>
        </w:rPr>
        <w:t>控制单元接收各种监控、报警信号，并控制LED驱动单元、数码管显示单元进行相应的显示</w:t>
      </w:r>
    </w:p>
    <w:p w14:paraId="03BCC5E6">
      <w:pPr>
        <w:pStyle w:val="12"/>
        <w:ind w:firstLine="420"/>
        <w:rPr>
          <w:rFonts w:hint="eastAsia" w:ascii="宋体" w:hAnsi="宋体" w:eastAsia="宋体" w:cs="宋体"/>
        </w:rPr>
      </w:pPr>
      <w:r>
        <w:rPr>
          <w:rFonts w:hint="eastAsia" w:ascii="宋体" w:hAnsi="宋体" w:eastAsia="宋体" w:cs="宋体"/>
        </w:rPr>
        <w:t>接收信号：RS232</w:t>
      </w:r>
    </w:p>
    <w:p w14:paraId="7C00BAAE">
      <w:pPr>
        <w:pStyle w:val="12"/>
        <w:ind w:firstLine="420"/>
        <w:rPr>
          <w:rFonts w:hint="eastAsia" w:ascii="宋体" w:hAnsi="宋体" w:eastAsia="宋体" w:cs="宋体"/>
        </w:rPr>
      </w:pPr>
      <w:r>
        <w:rPr>
          <w:rFonts w:hint="eastAsia" w:ascii="宋体" w:hAnsi="宋体" w:eastAsia="宋体" w:cs="宋体"/>
        </w:rPr>
        <w:t>控制电压：5V</w:t>
      </w:r>
    </w:p>
    <w:p w14:paraId="430692E8">
      <w:pPr>
        <w:pStyle w:val="12"/>
        <w:ind w:firstLine="420"/>
        <w:rPr>
          <w:rFonts w:hint="eastAsia" w:ascii="宋体" w:hAnsi="宋体" w:eastAsia="宋体" w:cs="宋体"/>
        </w:rPr>
      </w:pPr>
      <w:r>
        <w:rPr>
          <w:rFonts w:hint="eastAsia" w:ascii="宋体" w:hAnsi="宋体" w:eastAsia="宋体" w:cs="宋体"/>
        </w:rPr>
        <w:t>工作电流：300mA</w:t>
      </w:r>
    </w:p>
    <w:p w14:paraId="6E3EA51F">
      <w:pPr>
        <w:pStyle w:val="12"/>
        <w:ind w:firstLine="420"/>
        <w:rPr>
          <w:rFonts w:hint="eastAsia" w:ascii="宋体" w:hAnsi="宋体" w:eastAsia="宋体" w:cs="宋体"/>
        </w:rPr>
      </w:pPr>
      <w:r>
        <w:rPr>
          <w:rFonts w:hint="eastAsia" w:ascii="宋体" w:hAnsi="宋体" w:eastAsia="宋体" w:cs="宋体"/>
        </w:rPr>
        <w:t>规格：2.0(W)x1.5m(H)</w:t>
      </w:r>
    </w:p>
    <w:p w14:paraId="7451841B">
      <w:pPr>
        <w:pStyle w:val="12"/>
        <w:ind w:firstLine="420"/>
        <w:rPr>
          <w:rFonts w:hint="eastAsia" w:ascii="宋体" w:hAnsi="宋体" w:eastAsia="宋体" w:cs="宋体"/>
        </w:rPr>
      </w:pPr>
      <w:r>
        <w:rPr>
          <w:rFonts w:hint="eastAsia" w:ascii="宋体" w:hAnsi="宋体" w:eastAsia="宋体" w:cs="宋体"/>
        </w:rPr>
        <w:t>可外接LED驱动单元个数：1024</w:t>
      </w:r>
    </w:p>
    <w:p w14:paraId="7645E4BC">
      <w:pPr>
        <w:pStyle w:val="12"/>
        <w:ind w:firstLine="420"/>
        <w:rPr>
          <w:rFonts w:hint="eastAsia" w:ascii="宋体" w:hAnsi="宋体" w:eastAsia="宋体" w:cs="宋体"/>
        </w:rPr>
      </w:pPr>
      <w:r>
        <w:rPr>
          <w:rFonts w:hint="eastAsia" w:ascii="宋体" w:hAnsi="宋体" w:eastAsia="宋体" w:cs="宋体"/>
        </w:rPr>
        <w:t>可外接数码管显示单元：3</w:t>
      </w:r>
    </w:p>
    <w:p w14:paraId="7264F3E9">
      <w:pPr>
        <w:pStyle w:val="12"/>
        <w:ind w:firstLine="420"/>
        <w:rPr>
          <w:rFonts w:hint="eastAsia" w:ascii="宋体" w:hAnsi="宋体" w:eastAsia="宋体" w:cs="宋体"/>
        </w:rPr>
      </w:pPr>
      <w:r>
        <w:rPr>
          <w:rFonts w:hint="eastAsia" w:ascii="宋体" w:hAnsi="宋体" w:eastAsia="宋体" w:cs="宋体"/>
        </w:rPr>
        <w:t xml:space="preserve">工作温度范围：0oC～+40 oC </w:t>
      </w:r>
    </w:p>
    <w:p w14:paraId="25EE15FA">
      <w:pPr>
        <w:pStyle w:val="12"/>
        <w:ind w:firstLine="420"/>
        <w:rPr>
          <w:rFonts w:hint="eastAsia" w:ascii="宋体" w:hAnsi="宋体" w:eastAsia="宋体" w:cs="宋体"/>
        </w:rPr>
      </w:pPr>
      <w:r>
        <w:rPr>
          <w:rFonts w:hint="eastAsia" w:ascii="宋体" w:hAnsi="宋体" w:eastAsia="宋体" w:cs="宋体"/>
          <w:lang w:val="en-US" w:eastAsia="zh-CN"/>
        </w:rPr>
        <w:t>5.</w:t>
      </w:r>
      <w:r>
        <w:rPr>
          <w:rFonts w:hint="eastAsia" w:ascii="宋体" w:hAnsi="宋体" w:eastAsia="宋体" w:cs="宋体"/>
        </w:rPr>
        <w:t>管线敷设要求及抗干扰措施</w:t>
      </w:r>
    </w:p>
    <w:p w14:paraId="39CDD3B0">
      <w:pPr>
        <w:pStyle w:val="12"/>
        <w:ind w:firstLine="420"/>
        <w:rPr>
          <w:rFonts w:hint="eastAsia" w:ascii="宋体" w:hAnsi="宋体" w:eastAsia="宋体" w:cs="宋体"/>
        </w:rPr>
      </w:pPr>
      <w:r>
        <w:rPr>
          <w:rFonts w:hint="eastAsia" w:ascii="宋体" w:hAnsi="宋体" w:eastAsia="宋体" w:cs="宋体"/>
        </w:rPr>
        <w:t>系统功能的正常实现，还必须由合格的工程质量予以保证，因此必须要求工程实施全过程中，严格按照设计要求和工程规范进行，还要重视以下问题：</w:t>
      </w:r>
    </w:p>
    <w:p w14:paraId="283EE5CC">
      <w:pPr>
        <w:pStyle w:val="12"/>
        <w:ind w:firstLine="420"/>
        <w:rPr>
          <w:rFonts w:hint="eastAsia" w:ascii="宋体" w:hAnsi="宋体" w:eastAsia="宋体" w:cs="宋体"/>
        </w:rPr>
      </w:pPr>
      <w:r>
        <w:rPr>
          <w:rFonts w:hint="eastAsia" w:ascii="宋体" w:hAnsi="宋体" w:eastAsia="宋体" w:cs="宋体"/>
          <w:lang w:val="en-US" w:eastAsia="zh-CN"/>
        </w:rPr>
        <w:t>a</w:t>
      </w:r>
      <w:r>
        <w:rPr>
          <w:rFonts w:hint="eastAsia" w:ascii="宋体" w:hAnsi="宋体" w:eastAsia="宋体" w:cs="宋体"/>
        </w:rPr>
        <w:t>.规范设管敷线</w:t>
      </w:r>
    </w:p>
    <w:p w14:paraId="10029B4E">
      <w:pPr>
        <w:pStyle w:val="12"/>
        <w:ind w:firstLine="420"/>
        <w:rPr>
          <w:rFonts w:hint="eastAsia" w:ascii="宋体" w:hAnsi="宋体" w:eastAsia="宋体" w:cs="宋体"/>
        </w:rPr>
      </w:pPr>
      <w:r>
        <w:rPr>
          <w:rFonts w:hint="eastAsia" w:ascii="宋体" w:hAnsi="宋体" w:eastAsia="宋体" w:cs="宋体"/>
        </w:rPr>
        <w:t>敷线铁管联接时使用束节焊接牢固；</w:t>
      </w:r>
    </w:p>
    <w:p w14:paraId="4F0CAACB">
      <w:pPr>
        <w:pStyle w:val="12"/>
        <w:ind w:firstLine="420"/>
        <w:rPr>
          <w:rFonts w:hint="eastAsia" w:ascii="宋体" w:hAnsi="宋体" w:eastAsia="宋体" w:cs="宋体"/>
        </w:rPr>
      </w:pPr>
      <w:r>
        <w:rPr>
          <w:rFonts w:hint="eastAsia" w:ascii="宋体" w:hAnsi="宋体" w:eastAsia="宋体" w:cs="宋体"/>
        </w:rPr>
        <w:t>注意选择防水、防鼠咬电缆；</w:t>
      </w:r>
    </w:p>
    <w:p w14:paraId="34011513">
      <w:pPr>
        <w:pStyle w:val="12"/>
        <w:ind w:firstLine="420"/>
        <w:rPr>
          <w:rFonts w:hint="eastAsia" w:ascii="宋体" w:hAnsi="宋体" w:eastAsia="宋体" w:cs="宋体"/>
        </w:rPr>
      </w:pPr>
      <w:r>
        <w:rPr>
          <w:rFonts w:hint="eastAsia" w:ascii="宋体" w:hAnsi="宋体" w:eastAsia="宋体" w:cs="宋体"/>
        </w:rPr>
        <w:t>根据现场选择电缆长度，电缆敷设前清刷管孔，去掉管口毛刺；</w:t>
      </w:r>
    </w:p>
    <w:p w14:paraId="28923FE3">
      <w:pPr>
        <w:pStyle w:val="12"/>
        <w:ind w:firstLine="420"/>
        <w:rPr>
          <w:rFonts w:hint="eastAsia" w:ascii="宋体" w:hAnsi="宋体" w:eastAsia="宋体" w:cs="宋体"/>
        </w:rPr>
      </w:pPr>
      <w:r>
        <w:rPr>
          <w:rFonts w:hint="eastAsia" w:ascii="宋体" w:hAnsi="宋体" w:eastAsia="宋体" w:cs="宋体"/>
        </w:rPr>
        <w:t>管内预设一根镀锌铁线，穿放电缆时宜涂滑石粉；</w:t>
      </w:r>
    </w:p>
    <w:p w14:paraId="0DA9B3F8">
      <w:pPr>
        <w:pStyle w:val="12"/>
        <w:ind w:firstLine="420"/>
        <w:rPr>
          <w:rFonts w:hint="eastAsia" w:ascii="宋体" w:hAnsi="宋体" w:eastAsia="宋体" w:cs="宋体"/>
        </w:rPr>
      </w:pPr>
      <w:r>
        <w:rPr>
          <w:rFonts w:hint="eastAsia" w:ascii="宋体" w:hAnsi="宋体" w:eastAsia="宋体" w:cs="宋体"/>
        </w:rPr>
        <w:t>管口与电缆间衬垫护套圈以保护电缆；</w:t>
      </w:r>
    </w:p>
    <w:p w14:paraId="4269F607">
      <w:pPr>
        <w:pStyle w:val="12"/>
        <w:ind w:firstLine="420"/>
        <w:rPr>
          <w:rFonts w:hint="eastAsia" w:ascii="宋体" w:hAnsi="宋体" w:eastAsia="宋体" w:cs="宋体"/>
        </w:rPr>
      </w:pPr>
      <w:r>
        <w:rPr>
          <w:rFonts w:hint="eastAsia" w:ascii="宋体" w:hAnsi="宋体" w:eastAsia="宋体" w:cs="宋体"/>
        </w:rPr>
        <w:t>系统布线须用扎带捆扎，作好安全防范识别标志。</w:t>
      </w:r>
    </w:p>
    <w:p w14:paraId="76104893">
      <w:pPr>
        <w:pStyle w:val="12"/>
        <w:ind w:firstLine="420"/>
        <w:rPr>
          <w:rFonts w:hint="eastAsia" w:ascii="宋体" w:hAnsi="宋体" w:eastAsia="宋体" w:cs="宋体"/>
        </w:rPr>
      </w:pPr>
      <w:r>
        <w:rPr>
          <w:rFonts w:hint="eastAsia" w:ascii="宋体" w:hAnsi="宋体" w:eastAsia="宋体" w:cs="宋体"/>
          <w:lang w:val="en-US" w:eastAsia="zh-CN"/>
        </w:rPr>
        <w:t>b</w:t>
      </w:r>
      <w:r>
        <w:rPr>
          <w:rFonts w:hint="eastAsia" w:ascii="宋体" w:hAnsi="宋体" w:eastAsia="宋体" w:cs="宋体"/>
        </w:rPr>
        <w:t>.设备进行初步安装前，必须对设备规格、型号、外观等进行检查，使用符合要求的设备、器材，设备器材安装前需进行通电测试。</w:t>
      </w:r>
    </w:p>
    <w:p w14:paraId="69BD2E07">
      <w:pPr>
        <w:pStyle w:val="12"/>
        <w:ind w:firstLine="420"/>
        <w:rPr>
          <w:rFonts w:hint="eastAsia" w:ascii="宋体" w:hAnsi="宋体" w:eastAsia="宋体" w:cs="宋体"/>
        </w:rPr>
      </w:pPr>
      <w:r>
        <w:rPr>
          <w:rFonts w:hint="eastAsia" w:ascii="宋体" w:hAnsi="宋体" w:eastAsia="宋体" w:cs="宋体"/>
          <w:lang w:val="en-US" w:eastAsia="zh-CN"/>
        </w:rPr>
        <w:t>c</w:t>
      </w:r>
      <w:r>
        <w:rPr>
          <w:rFonts w:hint="eastAsia" w:ascii="宋体" w:hAnsi="宋体" w:eastAsia="宋体" w:cs="宋体"/>
        </w:rPr>
        <w:t>.施工中，做好隐蔽工程验收记录，随时检验施工质量。</w:t>
      </w:r>
    </w:p>
    <w:p w14:paraId="199BC1D9">
      <w:pPr>
        <w:pStyle w:val="12"/>
        <w:ind w:firstLine="420"/>
        <w:rPr>
          <w:rFonts w:hint="eastAsia" w:ascii="宋体" w:hAnsi="宋体" w:eastAsia="宋体" w:cs="宋体"/>
        </w:rPr>
      </w:pPr>
      <w:r>
        <w:rPr>
          <w:rFonts w:hint="eastAsia" w:ascii="宋体" w:hAnsi="宋体" w:eastAsia="宋体" w:cs="宋体"/>
          <w:lang w:val="en-US" w:eastAsia="zh-CN"/>
        </w:rPr>
        <w:t>d</w:t>
      </w:r>
      <w:r>
        <w:rPr>
          <w:rFonts w:hint="eastAsia" w:ascii="宋体" w:hAnsi="宋体" w:eastAsia="宋体" w:cs="宋体"/>
        </w:rPr>
        <w:t>.严格实施规范供电及抗干扰措施</w:t>
      </w:r>
    </w:p>
    <w:p w14:paraId="07686C9D">
      <w:pPr>
        <w:pStyle w:val="12"/>
        <w:ind w:firstLine="420"/>
        <w:rPr>
          <w:rFonts w:hint="eastAsia" w:ascii="宋体" w:hAnsi="宋体" w:eastAsia="宋体" w:cs="宋体"/>
        </w:rPr>
      </w:pPr>
      <w:r>
        <w:rPr>
          <w:rFonts w:hint="eastAsia" w:ascii="宋体" w:hAnsi="宋体" w:eastAsia="宋体" w:cs="宋体"/>
        </w:rPr>
        <w:t>系统的供电电源应采用集中直流电源；</w:t>
      </w:r>
    </w:p>
    <w:p w14:paraId="4C1B8126">
      <w:pPr>
        <w:pStyle w:val="12"/>
        <w:ind w:firstLine="420"/>
        <w:rPr>
          <w:rFonts w:hint="eastAsia" w:ascii="宋体" w:hAnsi="宋体" w:eastAsia="宋体" w:cs="宋体"/>
        </w:rPr>
      </w:pPr>
      <w:r>
        <w:rPr>
          <w:rFonts w:hint="eastAsia" w:ascii="宋体" w:hAnsi="宋体" w:eastAsia="宋体" w:cs="宋体"/>
        </w:rPr>
        <w:t>系统规范接地，中心接地电阻符合指标：集中接地 ≤ 1 Ω。</w:t>
      </w:r>
    </w:p>
    <w:p w14:paraId="56367EE5">
      <w:pPr>
        <w:pStyle w:val="12"/>
        <w:ind w:firstLine="420"/>
        <w:rPr>
          <w:rFonts w:hint="eastAsia" w:ascii="宋体" w:hAnsi="宋体" w:eastAsia="宋体" w:cs="宋体"/>
        </w:rPr>
      </w:pPr>
      <w:r>
        <w:rPr>
          <w:rFonts w:hint="eastAsia" w:ascii="宋体" w:hAnsi="宋体" w:eastAsia="宋体" w:cs="宋体"/>
        </w:rPr>
        <w:t>机房内设备：报警中继器和报警主机由其自带的电源供电器供电，包括电脑及显示器一起由UPS提供不间断电源。</w:t>
      </w:r>
    </w:p>
    <w:p w14:paraId="03AF0D35">
      <w:pPr>
        <w:pStyle w:val="12"/>
        <w:ind w:firstLine="420"/>
        <w:rPr>
          <w:rFonts w:hint="eastAsia" w:ascii="宋体" w:hAnsi="宋体" w:eastAsia="宋体" w:cs="宋体"/>
        </w:rPr>
      </w:pPr>
      <w:r>
        <w:rPr>
          <w:rFonts w:hint="eastAsia" w:ascii="宋体" w:hAnsi="宋体" w:eastAsia="宋体" w:cs="宋体"/>
        </w:rPr>
        <w:t>前端设备：通过探测器电源供应器供电。采用门卫室集中供电，即在门卫室内通过电源供应器，将220V交流电转换为48V直流电压给探测器供电。</w:t>
      </w:r>
    </w:p>
    <w:p w14:paraId="56863B0B">
      <w:pPr>
        <w:pStyle w:val="4"/>
        <w:rPr>
          <w:rFonts w:hint="eastAsia" w:ascii="宋体" w:hAnsi="宋体" w:eastAsia="宋体" w:cs="宋体"/>
        </w:rPr>
      </w:pPr>
      <w:bookmarkStart w:id="22" w:name="_Toc21573"/>
      <w:r>
        <w:rPr>
          <w:rFonts w:hint="eastAsia" w:ascii="宋体" w:hAnsi="宋体" w:eastAsia="宋体" w:cs="宋体"/>
        </w:rPr>
        <w:t>视频监控系统</w:t>
      </w:r>
      <w:bookmarkEnd w:id="22"/>
    </w:p>
    <w:p w14:paraId="266080D8">
      <w:pPr>
        <w:pStyle w:val="12"/>
        <w:ind w:firstLine="420"/>
        <w:rPr>
          <w:rFonts w:hint="eastAsia" w:ascii="宋体" w:hAnsi="宋体" w:eastAsia="宋体" w:cs="宋体"/>
        </w:rPr>
      </w:pPr>
      <w:bookmarkStart w:id="132" w:name="_GoBack"/>
      <w:bookmarkEnd w:id="132"/>
      <w:r>
        <w:rPr>
          <w:rFonts w:hint="eastAsia" w:ascii="宋体" w:hAnsi="宋体" w:eastAsia="宋体" w:cs="宋体"/>
        </w:rPr>
        <w:t>系统组成：本次设计视频安防监控系统采用数字监控系统。主要由数字前端，网络传输、数字存储的视频监控系统，系统由数字摄像机、解码器、多媒体工作站、电视墙、存储和显示等部分组成。</w:t>
      </w:r>
    </w:p>
    <w:p w14:paraId="5F3BA81F">
      <w:pPr>
        <w:pStyle w:val="12"/>
        <w:ind w:firstLine="420"/>
        <w:rPr>
          <w:rFonts w:hint="eastAsia" w:ascii="宋体" w:hAnsi="宋体" w:eastAsia="宋体" w:cs="宋体"/>
        </w:rPr>
      </w:pPr>
      <w:r>
        <w:rPr>
          <w:rFonts w:hint="eastAsia" w:ascii="宋体" w:hAnsi="宋体" w:eastAsia="宋体" w:cs="宋体"/>
        </w:rPr>
        <w:t>室外摄像机采用围墙上或立杆安装，立杆可与室外照明灯杆合用。</w:t>
      </w:r>
    </w:p>
    <w:p w14:paraId="0EAD9C4F">
      <w:pPr>
        <w:pStyle w:val="12"/>
        <w:ind w:firstLine="420"/>
        <w:rPr>
          <w:rFonts w:hint="eastAsia" w:ascii="宋体" w:hAnsi="宋体" w:eastAsia="宋体" w:cs="宋体"/>
        </w:rPr>
      </w:pPr>
      <w:r>
        <w:rPr>
          <w:rFonts w:hint="eastAsia" w:ascii="宋体" w:hAnsi="宋体" w:eastAsia="宋体" w:cs="宋体"/>
        </w:rPr>
        <w:t>中心设计：监控室利用本项目现有消防监控中心，采用集中存储管理，存储时间不小于30天，重要出入口视频存储时间不小于90天。管理服务器用于管理所有前端摄像机，磁盘阵列用于存储监控视频资料，监控主机（工作站）、解码器、电视墙利用原有设备，对视频监控系统进行集中管理和控制。</w:t>
      </w:r>
    </w:p>
    <w:p w14:paraId="54B20B12">
      <w:pPr>
        <w:pStyle w:val="3"/>
        <w:rPr>
          <w:rFonts w:hint="eastAsia" w:ascii="宋体" w:hAnsi="宋体" w:eastAsia="宋体" w:cs="宋体"/>
        </w:rPr>
      </w:pPr>
      <w:bookmarkStart w:id="23" w:name="_Toc29852"/>
      <w:r>
        <w:rPr>
          <w:rFonts w:hint="eastAsia" w:ascii="宋体" w:hAnsi="宋体" w:eastAsia="宋体" w:cs="宋体"/>
        </w:rPr>
        <w:t>景观工程技术规范</w:t>
      </w:r>
      <w:bookmarkEnd w:id="0"/>
      <w:bookmarkEnd w:id="1"/>
      <w:bookmarkEnd w:id="2"/>
      <w:bookmarkEnd w:id="23"/>
    </w:p>
    <w:p w14:paraId="4D5F956B">
      <w:pPr>
        <w:pStyle w:val="4"/>
        <w:rPr>
          <w:rFonts w:hint="eastAsia" w:ascii="宋体" w:hAnsi="宋体" w:eastAsia="宋体" w:cs="宋体"/>
        </w:rPr>
      </w:pPr>
      <w:bookmarkStart w:id="24" w:name="_Toc175950084"/>
      <w:bookmarkEnd w:id="24"/>
      <w:bookmarkStart w:id="25" w:name="_Toc516585592"/>
      <w:bookmarkEnd w:id="25"/>
      <w:bookmarkStart w:id="26" w:name="_Toc516488822"/>
      <w:bookmarkEnd w:id="26"/>
      <w:bookmarkStart w:id="27" w:name="_Toc516587202"/>
      <w:bookmarkEnd w:id="27"/>
      <w:bookmarkStart w:id="28" w:name="_Toc516663364"/>
      <w:bookmarkEnd w:id="28"/>
      <w:bookmarkStart w:id="29" w:name="_Toc175980071"/>
      <w:bookmarkEnd w:id="29"/>
      <w:bookmarkStart w:id="30" w:name="_Toc175950082"/>
      <w:bookmarkEnd w:id="30"/>
      <w:bookmarkStart w:id="31" w:name="_Toc175980070"/>
      <w:bookmarkEnd w:id="31"/>
      <w:bookmarkStart w:id="32" w:name="_Toc516480236"/>
      <w:bookmarkEnd w:id="32"/>
      <w:bookmarkStart w:id="33" w:name="_Toc516663366"/>
      <w:bookmarkEnd w:id="33"/>
      <w:bookmarkStart w:id="34" w:name="_Toc516587201"/>
      <w:bookmarkEnd w:id="34"/>
      <w:bookmarkStart w:id="35" w:name="_Toc175980382"/>
      <w:bookmarkEnd w:id="35"/>
      <w:bookmarkStart w:id="36" w:name="_Toc175957018"/>
      <w:bookmarkEnd w:id="36"/>
      <w:bookmarkStart w:id="37" w:name="_Toc516587203"/>
      <w:bookmarkEnd w:id="37"/>
      <w:bookmarkStart w:id="38" w:name="_Toc175980380"/>
      <w:bookmarkEnd w:id="38"/>
      <w:bookmarkStart w:id="39" w:name="_Toc175957158"/>
      <w:bookmarkEnd w:id="39"/>
      <w:bookmarkStart w:id="40" w:name="_Toc175937576"/>
      <w:bookmarkEnd w:id="40"/>
      <w:bookmarkStart w:id="41" w:name="_Toc516496767"/>
      <w:bookmarkEnd w:id="41"/>
      <w:bookmarkStart w:id="42" w:name="_Toc516496765"/>
      <w:bookmarkEnd w:id="42"/>
      <w:bookmarkStart w:id="43" w:name="_Toc175937577"/>
      <w:bookmarkEnd w:id="43"/>
      <w:bookmarkStart w:id="44" w:name="_Toc516585590"/>
      <w:bookmarkEnd w:id="44"/>
      <w:bookmarkStart w:id="45" w:name="_Toc175980069"/>
      <w:bookmarkEnd w:id="45"/>
      <w:bookmarkStart w:id="46" w:name="_Toc516480235"/>
      <w:bookmarkEnd w:id="46"/>
      <w:bookmarkStart w:id="47" w:name="_Toc175957159"/>
      <w:bookmarkEnd w:id="47"/>
      <w:bookmarkStart w:id="48" w:name="_Toc516488821"/>
      <w:bookmarkEnd w:id="48"/>
      <w:bookmarkStart w:id="49" w:name="_Toc516585591"/>
      <w:bookmarkEnd w:id="49"/>
      <w:bookmarkStart w:id="50" w:name="_Toc516663365"/>
      <w:bookmarkEnd w:id="50"/>
      <w:bookmarkStart w:id="51" w:name="_Toc175957015"/>
      <w:bookmarkEnd w:id="51"/>
      <w:bookmarkStart w:id="52" w:name="_Toc175980379"/>
      <w:bookmarkEnd w:id="52"/>
      <w:bookmarkStart w:id="53" w:name="_Toc175957016"/>
      <w:bookmarkEnd w:id="53"/>
      <w:bookmarkStart w:id="54" w:name="_Toc175980381"/>
      <w:bookmarkEnd w:id="54"/>
      <w:bookmarkStart w:id="55" w:name="_Toc516480234"/>
      <w:bookmarkEnd w:id="55"/>
      <w:bookmarkStart w:id="56" w:name="_Toc175950083"/>
      <w:bookmarkEnd w:id="56"/>
      <w:bookmarkStart w:id="57" w:name="_Toc175957157"/>
      <w:bookmarkEnd w:id="57"/>
      <w:bookmarkStart w:id="58" w:name="_Toc175950081"/>
      <w:bookmarkEnd w:id="58"/>
      <w:bookmarkStart w:id="59" w:name="_Toc175937575"/>
      <w:bookmarkEnd w:id="59"/>
      <w:bookmarkStart w:id="60" w:name="_Toc516488823"/>
      <w:bookmarkEnd w:id="60"/>
      <w:bookmarkStart w:id="61" w:name="_Toc516496766"/>
      <w:bookmarkEnd w:id="61"/>
      <w:bookmarkStart w:id="62" w:name="_Toc175957156"/>
      <w:bookmarkEnd w:id="62"/>
      <w:bookmarkStart w:id="63" w:name="_Toc175980072"/>
      <w:bookmarkEnd w:id="63"/>
      <w:bookmarkStart w:id="64" w:name="_Toc175957017"/>
      <w:bookmarkEnd w:id="64"/>
      <w:bookmarkStart w:id="65" w:name="_Toc10626"/>
      <w:bookmarkStart w:id="66" w:name="_Toc23910"/>
      <w:bookmarkStart w:id="67" w:name="_Toc175980383"/>
      <w:r>
        <w:rPr>
          <w:rFonts w:hint="eastAsia" w:ascii="宋体" w:hAnsi="宋体" w:eastAsia="宋体" w:cs="宋体"/>
        </w:rPr>
        <w:t>工程概况:</w:t>
      </w:r>
      <w:bookmarkEnd w:id="65"/>
      <w:bookmarkEnd w:id="66"/>
      <w:bookmarkEnd w:id="67"/>
    </w:p>
    <w:p w14:paraId="447E5704">
      <w:pPr>
        <w:pStyle w:val="12"/>
        <w:ind w:firstLine="420"/>
        <w:rPr>
          <w:rFonts w:hint="eastAsia" w:ascii="宋体" w:hAnsi="宋体" w:eastAsia="宋体" w:cs="宋体"/>
        </w:rPr>
      </w:pPr>
      <w:r>
        <w:rPr>
          <w:rFonts w:hint="eastAsia" w:ascii="宋体" w:hAnsi="宋体" w:eastAsia="宋体" w:cs="宋体"/>
          <w:kern w:val="0"/>
          <w:szCs w:val="21"/>
        </w:rPr>
        <w:t>景观构成：</w:t>
      </w:r>
      <w:r>
        <w:rPr>
          <w:rFonts w:hint="eastAsia" w:ascii="宋体" w:hAnsi="宋体" w:eastAsia="宋体" w:cs="宋体"/>
        </w:rPr>
        <w:t>景观工程主要涉及新建停车楼及数据中心组团周边范围，当前均为平整草坪，运用流线形式规划布局，合理组织项目区域内部交通系统，遵循“以人为本”的原则，满足无障碍设计的相关要求，增强室外环境的舒适性和安全性。其中东地块PB-1</w:t>
      </w:r>
      <w:r>
        <w:rPr>
          <w:rFonts w:hint="eastAsia" w:ascii="宋体" w:hAnsi="宋体" w:eastAsia="宋体" w:cs="宋体"/>
          <w:szCs w:val="21"/>
        </w:rPr>
        <w:t>停车综合楼</w:t>
      </w:r>
      <w:r>
        <w:rPr>
          <w:rFonts w:hint="eastAsia" w:ascii="宋体" w:hAnsi="宋体" w:eastAsia="宋体" w:cs="宋体"/>
        </w:rPr>
        <w:t>周边（A区）</w:t>
      </w:r>
      <w:r>
        <w:rPr>
          <w:rFonts w:hint="eastAsia" w:ascii="宋体" w:hAnsi="宋体" w:eastAsia="宋体" w:cs="宋体"/>
          <w:bCs/>
        </w:rPr>
        <w:t>布置铺地、景观草坪、灌木等，形成有利于人员驻足休憩的场所</w:t>
      </w:r>
      <w:r>
        <w:rPr>
          <w:rFonts w:hint="eastAsia" w:ascii="宋体" w:hAnsi="宋体" w:eastAsia="宋体" w:cs="宋体"/>
        </w:rPr>
        <w:t>。</w:t>
      </w:r>
    </w:p>
    <w:p w14:paraId="3AFA0662">
      <w:pPr>
        <w:pStyle w:val="12"/>
        <w:ind w:firstLine="420"/>
        <w:rPr>
          <w:rFonts w:hint="eastAsia" w:ascii="宋体" w:hAnsi="宋体" w:eastAsia="宋体" w:cs="宋体"/>
          <w:kern w:val="0"/>
          <w:szCs w:val="21"/>
          <w14:ligatures w14:val="none"/>
        </w:rPr>
      </w:pPr>
      <w:r>
        <w:rPr>
          <w:rFonts w:hint="eastAsia" w:ascii="宋体" w:hAnsi="宋体" w:eastAsia="宋体" w:cs="宋体"/>
          <w:kern w:val="0"/>
          <w:szCs w:val="21"/>
          <w14:ligatures w14:val="none"/>
        </w:rPr>
        <w:t>景观剖面区域：PB-1停车综合楼</w:t>
      </w:r>
      <w:r>
        <w:rPr>
          <w:rFonts w:hint="eastAsia" w:ascii="宋体" w:hAnsi="宋体" w:eastAsia="宋体" w:cs="宋体"/>
          <w:kern w:val="0"/>
          <w:szCs w:val="21"/>
          <w:lang w:eastAsia="zh"/>
          <w14:ligatures w14:val="none"/>
        </w:rPr>
        <w:t>建筑周边有少量空间</w:t>
      </w:r>
      <w:r>
        <w:rPr>
          <w:rFonts w:hint="eastAsia" w:ascii="宋体" w:hAnsi="宋体" w:eastAsia="宋体" w:cs="宋体"/>
          <w:kern w:val="0"/>
          <w:szCs w:val="21"/>
          <w14:ligatures w14:val="none"/>
        </w:rPr>
        <w:t>处于</w:t>
      </w:r>
      <w:r>
        <w:rPr>
          <w:rFonts w:hint="eastAsia" w:ascii="宋体" w:hAnsi="宋体" w:eastAsia="宋体" w:cs="宋体"/>
          <w:kern w:val="0"/>
          <w:szCs w:val="21"/>
          <w:lang w:eastAsia="zh"/>
          <w14:ligatures w14:val="none"/>
        </w:rPr>
        <w:t>地库</w:t>
      </w:r>
      <w:r>
        <w:rPr>
          <w:rFonts w:hint="eastAsia" w:ascii="宋体" w:hAnsi="宋体" w:eastAsia="宋体" w:cs="宋体"/>
          <w:kern w:val="0"/>
          <w:szCs w:val="21"/>
          <w14:ligatures w14:val="none"/>
        </w:rPr>
        <w:t>顶板结构</w:t>
      </w:r>
      <w:r>
        <w:rPr>
          <w:rFonts w:hint="eastAsia" w:ascii="宋体" w:hAnsi="宋体" w:eastAsia="宋体" w:cs="宋体"/>
          <w:kern w:val="0"/>
          <w:szCs w:val="21"/>
          <w:lang w:eastAsia="zh"/>
          <w14:ligatures w14:val="none"/>
        </w:rPr>
        <w:t>之上，其它空间均处于实土之上</w:t>
      </w:r>
      <w:r>
        <w:rPr>
          <w:rFonts w:hint="eastAsia" w:ascii="宋体" w:hAnsi="宋体" w:eastAsia="宋体" w:cs="宋体"/>
          <w:kern w:val="0"/>
          <w:szCs w:val="21"/>
          <w14:ligatures w14:val="none"/>
        </w:rPr>
        <w:t>。</w:t>
      </w:r>
    </w:p>
    <w:p w14:paraId="24D3B7AB">
      <w:pPr>
        <w:pStyle w:val="12"/>
        <w:ind w:firstLine="420"/>
        <w:rPr>
          <w:rFonts w:hint="eastAsia" w:ascii="宋体" w:hAnsi="宋体" w:eastAsia="宋体" w:cs="宋体"/>
          <w:kern w:val="0"/>
          <w:szCs w:val="21"/>
          <w14:ligatures w14:val="none"/>
        </w:rPr>
      </w:pPr>
      <w:r>
        <w:rPr>
          <w:rFonts w:hint="eastAsia" w:ascii="宋体" w:hAnsi="宋体" w:eastAsia="宋体" w:cs="宋体"/>
          <w:kern w:val="0"/>
          <w:szCs w:val="21"/>
          <w14:ligatures w14:val="none"/>
        </w:rPr>
        <w:t>所在地域的自然条件：位于中国主要城市园林植物区划北亚热带落叶常绿阔叶混交林区。</w:t>
      </w:r>
    </w:p>
    <w:p w14:paraId="6939DB55">
      <w:pPr>
        <w:pStyle w:val="4"/>
        <w:rPr>
          <w:rFonts w:hint="eastAsia" w:ascii="宋体" w:hAnsi="宋体" w:eastAsia="宋体" w:cs="宋体"/>
        </w:rPr>
      </w:pPr>
      <w:bookmarkStart w:id="68" w:name="_Toc175980384"/>
      <w:bookmarkStart w:id="69" w:name="_Toc249"/>
      <w:bookmarkStart w:id="70" w:name="_Toc5582"/>
      <w:r>
        <w:rPr>
          <w:rFonts w:hint="eastAsia" w:ascii="宋体" w:hAnsi="宋体" w:eastAsia="宋体" w:cs="宋体"/>
        </w:rPr>
        <w:t>技术规范</w:t>
      </w:r>
      <w:bookmarkEnd w:id="68"/>
      <w:bookmarkEnd w:id="69"/>
      <w:bookmarkEnd w:id="70"/>
    </w:p>
    <w:p w14:paraId="6BA03F44">
      <w:pPr>
        <w:pStyle w:val="12"/>
        <w:ind w:firstLine="420"/>
        <w:rPr>
          <w:rFonts w:hint="eastAsia" w:ascii="宋体" w:hAnsi="宋体" w:eastAsia="宋体" w:cs="宋体"/>
          <w:kern w:val="0"/>
          <w:szCs w:val="21"/>
          <w14:ligatures w14:val="none"/>
        </w:rPr>
      </w:pPr>
      <w:r>
        <w:rPr>
          <w:rFonts w:hint="eastAsia" w:ascii="宋体" w:hAnsi="宋体" w:eastAsia="宋体" w:cs="宋体"/>
          <w:kern w:val="0"/>
          <w:szCs w:val="21"/>
          <w14:ligatures w14:val="none"/>
        </w:rPr>
        <w:t>适用于本工程的设计和施工验收规范包括但不限于：</w:t>
      </w:r>
    </w:p>
    <w:p w14:paraId="7DA80969">
      <w:pPr>
        <w:pStyle w:val="12"/>
        <w:ind w:firstLine="420"/>
        <w:rPr>
          <w:rFonts w:hint="eastAsia" w:ascii="宋体" w:hAnsi="宋体" w:eastAsia="宋体" w:cs="宋体"/>
          <w:kern w:val="0"/>
          <w:szCs w:val="21"/>
          <w14:ligatures w14:val="none"/>
        </w:rPr>
      </w:pPr>
      <w:r>
        <w:rPr>
          <w:rFonts w:hint="eastAsia" w:ascii="宋体" w:hAnsi="宋体" w:eastAsia="宋体" w:cs="宋体"/>
          <w:kern w:val="0"/>
          <w:szCs w:val="21"/>
          <w14:ligatures w14:val="none"/>
        </w:rPr>
        <w:t>GB 50026-2020 工程测量标准</w:t>
      </w:r>
    </w:p>
    <w:p w14:paraId="327E0F23">
      <w:pPr>
        <w:pStyle w:val="12"/>
        <w:ind w:firstLine="420"/>
        <w:rPr>
          <w:rFonts w:hint="eastAsia" w:ascii="宋体" w:hAnsi="宋体" w:eastAsia="宋体" w:cs="宋体"/>
          <w:kern w:val="0"/>
          <w:szCs w:val="21"/>
          <w14:ligatures w14:val="none"/>
        </w:rPr>
      </w:pPr>
      <w:r>
        <w:rPr>
          <w:rFonts w:hint="eastAsia" w:ascii="宋体" w:hAnsi="宋体" w:eastAsia="宋体" w:cs="宋体"/>
          <w:kern w:val="0"/>
          <w:szCs w:val="21"/>
          <w14:ligatures w14:val="none"/>
        </w:rPr>
        <w:t>GB 50300-2013 建筑工程施工质量验收统一标准</w:t>
      </w:r>
    </w:p>
    <w:p w14:paraId="29176D49">
      <w:pPr>
        <w:pStyle w:val="12"/>
        <w:ind w:firstLine="420"/>
        <w:rPr>
          <w:rFonts w:hint="eastAsia" w:ascii="宋体" w:hAnsi="宋体" w:eastAsia="宋体" w:cs="宋体"/>
          <w:kern w:val="0"/>
          <w:szCs w:val="21"/>
          <w14:ligatures w14:val="none"/>
        </w:rPr>
      </w:pPr>
      <w:r>
        <w:rPr>
          <w:rFonts w:hint="eastAsia" w:ascii="宋体" w:hAnsi="宋体" w:eastAsia="宋体" w:cs="宋体"/>
          <w:kern w:val="0"/>
          <w:szCs w:val="21"/>
          <w14:ligatures w14:val="none"/>
        </w:rPr>
        <w:t>CJJ82-2012园林绿化工程施工及验收规范</w:t>
      </w:r>
    </w:p>
    <w:p w14:paraId="02C84C82">
      <w:pPr>
        <w:pStyle w:val="12"/>
        <w:ind w:firstLine="420"/>
        <w:rPr>
          <w:rFonts w:hint="eastAsia" w:ascii="宋体" w:hAnsi="宋体" w:eastAsia="宋体" w:cs="宋体"/>
          <w:kern w:val="0"/>
          <w:szCs w:val="21"/>
          <w14:ligatures w14:val="none"/>
        </w:rPr>
      </w:pPr>
      <w:r>
        <w:rPr>
          <w:rFonts w:hint="eastAsia" w:ascii="宋体" w:hAnsi="宋体" w:eastAsia="宋体" w:cs="宋体"/>
          <w:kern w:val="0"/>
          <w:szCs w:val="21"/>
          <w14:ligatures w14:val="none"/>
        </w:rPr>
        <w:t>GB 50202-2018 建筑地基基础工程施工质量验收标准</w:t>
      </w:r>
    </w:p>
    <w:p w14:paraId="592BD989">
      <w:pPr>
        <w:pStyle w:val="12"/>
        <w:ind w:firstLine="420"/>
        <w:rPr>
          <w:rFonts w:hint="eastAsia" w:ascii="宋体" w:hAnsi="宋体" w:eastAsia="宋体" w:cs="宋体"/>
          <w:kern w:val="0"/>
          <w:szCs w:val="21"/>
          <w14:ligatures w14:val="none"/>
        </w:rPr>
      </w:pPr>
      <w:r>
        <w:rPr>
          <w:rFonts w:hint="eastAsia" w:ascii="宋体" w:hAnsi="宋体" w:eastAsia="宋体" w:cs="宋体"/>
          <w:kern w:val="0"/>
          <w:szCs w:val="21"/>
          <w14:ligatures w14:val="none"/>
        </w:rPr>
        <w:t>GB 50209-2010 建筑地面工程施工质量验收规范</w:t>
      </w:r>
    </w:p>
    <w:p w14:paraId="389F958F">
      <w:pPr>
        <w:pStyle w:val="12"/>
        <w:ind w:firstLine="420"/>
        <w:rPr>
          <w:rFonts w:hint="eastAsia" w:ascii="宋体" w:hAnsi="宋体" w:eastAsia="宋体" w:cs="宋体"/>
          <w:kern w:val="0"/>
          <w:szCs w:val="21"/>
          <w14:ligatures w14:val="none"/>
        </w:rPr>
      </w:pPr>
      <w:r>
        <w:rPr>
          <w:rFonts w:hint="eastAsia" w:ascii="宋体" w:hAnsi="宋体" w:eastAsia="宋体" w:cs="宋体"/>
          <w:kern w:val="0"/>
          <w:szCs w:val="21"/>
          <w14:ligatures w14:val="none"/>
        </w:rPr>
        <w:t>GB/T 18601-2009 天然花岗石建筑板材</w:t>
      </w:r>
    </w:p>
    <w:p w14:paraId="5D395190">
      <w:pPr>
        <w:pStyle w:val="12"/>
        <w:ind w:firstLine="420"/>
        <w:rPr>
          <w:rFonts w:hint="eastAsia" w:ascii="宋体" w:hAnsi="宋体" w:eastAsia="宋体" w:cs="宋体"/>
          <w:kern w:val="0"/>
          <w:szCs w:val="21"/>
          <w14:ligatures w14:val="none"/>
        </w:rPr>
      </w:pPr>
      <w:r>
        <w:rPr>
          <w:rFonts w:hint="eastAsia" w:ascii="宋体" w:hAnsi="宋体" w:eastAsia="宋体" w:cs="宋体"/>
          <w:kern w:val="0"/>
          <w:szCs w:val="21"/>
          <w14:ligatures w14:val="none"/>
        </w:rPr>
        <w:t>GB50203-2011 砌体结构工程施工质量验收规范</w:t>
      </w:r>
    </w:p>
    <w:p w14:paraId="7AFADE25">
      <w:pPr>
        <w:pStyle w:val="12"/>
        <w:ind w:firstLine="420"/>
        <w:rPr>
          <w:rFonts w:hint="eastAsia" w:ascii="宋体" w:hAnsi="宋体" w:eastAsia="宋体" w:cs="宋体"/>
          <w:kern w:val="0"/>
          <w:szCs w:val="21"/>
          <w14:ligatures w14:val="none"/>
        </w:rPr>
      </w:pPr>
      <w:r>
        <w:rPr>
          <w:rFonts w:hint="eastAsia" w:ascii="宋体" w:hAnsi="宋体" w:eastAsia="宋体" w:cs="宋体"/>
          <w:kern w:val="0"/>
          <w:szCs w:val="21"/>
          <w14:ligatures w14:val="none"/>
        </w:rPr>
        <w:t>GB 28635-2012 混凝土路面砖</w:t>
      </w:r>
    </w:p>
    <w:p w14:paraId="18AFF546">
      <w:pPr>
        <w:pStyle w:val="12"/>
        <w:ind w:firstLine="420"/>
        <w:rPr>
          <w:rFonts w:hint="eastAsia" w:ascii="宋体" w:hAnsi="宋体" w:eastAsia="宋体" w:cs="宋体"/>
          <w:kern w:val="0"/>
          <w:szCs w:val="21"/>
          <w14:ligatures w14:val="none"/>
        </w:rPr>
      </w:pPr>
      <w:r>
        <w:rPr>
          <w:rFonts w:hint="eastAsia" w:ascii="宋体" w:hAnsi="宋体" w:eastAsia="宋体" w:cs="宋体"/>
          <w:kern w:val="0"/>
          <w:szCs w:val="21"/>
          <w14:ligatures w14:val="none"/>
        </w:rPr>
        <w:t>GB/T 27651-2011 防腐木材的使用分类和要求</w:t>
      </w:r>
    </w:p>
    <w:p w14:paraId="7B5C6513">
      <w:pPr>
        <w:pStyle w:val="12"/>
        <w:ind w:firstLine="420"/>
        <w:rPr>
          <w:rFonts w:hint="eastAsia" w:ascii="宋体" w:hAnsi="宋体" w:eastAsia="宋体" w:cs="宋体"/>
          <w:kern w:val="0"/>
          <w:szCs w:val="21"/>
          <w14:ligatures w14:val="none"/>
        </w:rPr>
      </w:pPr>
      <w:r>
        <w:rPr>
          <w:rFonts w:hint="eastAsia" w:ascii="宋体" w:hAnsi="宋体" w:eastAsia="宋体" w:cs="宋体"/>
          <w:kern w:val="0"/>
          <w:szCs w:val="21"/>
          <w14:ligatures w14:val="none"/>
        </w:rPr>
        <w:t>CJJ/T 253-2006 再生骨料彩色透水胶粘石应用技术规程</w:t>
      </w:r>
    </w:p>
    <w:p w14:paraId="229E90C6">
      <w:pPr>
        <w:pStyle w:val="12"/>
        <w:ind w:firstLine="420"/>
        <w:rPr>
          <w:rFonts w:hint="eastAsia" w:ascii="宋体" w:hAnsi="宋体" w:eastAsia="宋体" w:cs="宋体"/>
          <w:kern w:val="0"/>
          <w:szCs w:val="21"/>
          <w14:ligatures w14:val="none"/>
        </w:rPr>
      </w:pPr>
      <w:r>
        <w:rPr>
          <w:rFonts w:hint="eastAsia" w:ascii="宋体" w:hAnsi="宋体" w:eastAsia="宋体" w:cs="宋体"/>
          <w:kern w:val="0"/>
          <w:szCs w:val="21"/>
          <w14:ligatures w14:val="none"/>
        </w:rPr>
        <w:t>GBJ 50303-2015 建筑电气工程施工质量验收规范</w:t>
      </w:r>
    </w:p>
    <w:p w14:paraId="3824D3F9">
      <w:pPr>
        <w:pStyle w:val="12"/>
        <w:ind w:firstLine="420"/>
        <w:rPr>
          <w:rFonts w:hint="eastAsia" w:ascii="宋体" w:hAnsi="宋体" w:eastAsia="宋体" w:cs="宋体"/>
          <w:kern w:val="0"/>
          <w:szCs w:val="21"/>
          <w14:ligatures w14:val="none"/>
        </w:rPr>
      </w:pPr>
      <w:r>
        <w:rPr>
          <w:rFonts w:hint="eastAsia" w:ascii="宋体" w:hAnsi="宋体" w:eastAsia="宋体" w:cs="宋体"/>
          <w:kern w:val="0"/>
          <w:szCs w:val="21"/>
          <w14:ligatures w14:val="none"/>
        </w:rPr>
        <w:t>DL/T 5161.1-2018电气装置安装工程质量检验及评定规程</w:t>
      </w:r>
    </w:p>
    <w:p w14:paraId="77E4BB57">
      <w:pPr>
        <w:pStyle w:val="12"/>
        <w:ind w:firstLine="420"/>
        <w:rPr>
          <w:rFonts w:hint="eastAsia" w:ascii="宋体" w:hAnsi="宋体" w:eastAsia="宋体" w:cs="宋体"/>
          <w:kern w:val="0"/>
          <w:szCs w:val="21"/>
          <w14:ligatures w14:val="none"/>
        </w:rPr>
      </w:pPr>
      <w:r>
        <w:rPr>
          <w:rFonts w:hint="eastAsia" w:ascii="宋体" w:hAnsi="宋体" w:eastAsia="宋体" w:cs="宋体"/>
          <w:kern w:val="0"/>
          <w:szCs w:val="21"/>
          <w14:ligatures w14:val="none"/>
        </w:rPr>
        <w:t>GB 50617-2010建筑电气照明装置施工与验收规范</w:t>
      </w:r>
    </w:p>
    <w:p w14:paraId="1CF3E82D">
      <w:pPr>
        <w:pStyle w:val="12"/>
        <w:ind w:firstLine="420"/>
        <w:rPr>
          <w:rFonts w:hint="eastAsia" w:ascii="宋体" w:hAnsi="宋体" w:eastAsia="宋体" w:cs="宋体"/>
          <w:kern w:val="0"/>
          <w:szCs w:val="21"/>
          <w14:ligatures w14:val="none"/>
        </w:rPr>
      </w:pPr>
      <w:r>
        <w:rPr>
          <w:rFonts w:hint="eastAsia" w:ascii="宋体" w:hAnsi="宋体" w:eastAsia="宋体" w:cs="宋体"/>
          <w:kern w:val="0"/>
          <w:szCs w:val="21"/>
          <w14:ligatures w14:val="none"/>
        </w:rPr>
        <w:t>GB 50268-2008 给水排水管道工程施工及验收规范</w:t>
      </w:r>
    </w:p>
    <w:p w14:paraId="5A08AC85">
      <w:pPr>
        <w:pStyle w:val="12"/>
        <w:ind w:firstLine="420"/>
        <w:rPr>
          <w:rFonts w:hint="eastAsia" w:ascii="宋体" w:hAnsi="宋体" w:eastAsia="宋体" w:cs="宋体"/>
          <w:kern w:val="0"/>
          <w:szCs w:val="21"/>
          <w14:ligatures w14:val="none"/>
        </w:rPr>
      </w:pPr>
      <w:r>
        <w:rPr>
          <w:rFonts w:hint="eastAsia" w:ascii="宋体" w:hAnsi="宋体" w:eastAsia="宋体" w:cs="宋体"/>
          <w:kern w:val="0"/>
          <w:szCs w:val="21"/>
          <w14:ligatures w14:val="none"/>
        </w:rPr>
        <w:t>JGJ46-2005 施工现场临时用电安全技术规范</w:t>
      </w:r>
    </w:p>
    <w:p w14:paraId="49BEF1D1">
      <w:pPr>
        <w:pStyle w:val="4"/>
        <w:rPr>
          <w:rFonts w:hint="eastAsia" w:ascii="宋体" w:hAnsi="宋体" w:eastAsia="宋体" w:cs="宋体"/>
        </w:rPr>
      </w:pPr>
      <w:bookmarkStart w:id="71" w:name="_Toc175980392"/>
      <w:bookmarkStart w:id="72" w:name="_Toc29090"/>
      <w:bookmarkStart w:id="73" w:name="_Toc30876"/>
      <w:r>
        <w:rPr>
          <w:rFonts w:hint="eastAsia" w:ascii="宋体" w:hAnsi="宋体" w:eastAsia="宋体" w:cs="宋体"/>
        </w:rPr>
        <w:t>景观土建施工</w:t>
      </w:r>
      <w:bookmarkEnd w:id="71"/>
      <w:bookmarkEnd w:id="72"/>
      <w:bookmarkEnd w:id="73"/>
    </w:p>
    <w:p w14:paraId="3D143F0A">
      <w:pPr>
        <w:pStyle w:val="12"/>
        <w:ind w:firstLine="420"/>
        <w:rPr>
          <w:rFonts w:hint="eastAsia" w:ascii="宋体" w:hAnsi="宋体" w:eastAsia="宋体" w:cs="宋体"/>
          <w:kern w:val="0"/>
          <w:szCs w:val="21"/>
          <w14:ligatures w14:val="none"/>
        </w:rPr>
      </w:pPr>
      <w:r>
        <w:rPr>
          <w:rFonts w:hint="eastAsia" w:ascii="宋体" w:hAnsi="宋体" w:eastAsia="宋体" w:cs="宋体"/>
          <w:kern w:val="0"/>
          <w:szCs w:val="21"/>
          <w14:ligatures w14:val="none"/>
        </w:rPr>
        <w:t>材料品质：材料均需选用国家权威部门认定或经权威部门检测合格的材料，并使用环保产品。</w:t>
      </w:r>
    </w:p>
    <w:p w14:paraId="4CC33E92">
      <w:pPr>
        <w:pStyle w:val="12"/>
        <w:ind w:firstLine="420"/>
        <w:rPr>
          <w:rFonts w:hint="eastAsia" w:ascii="宋体" w:hAnsi="宋体" w:eastAsia="宋体" w:cs="宋体"/>
          <w:kern w:val="0"/>
          <w:szCs w:val="21"/>
          <w14:ligatures w14:val="none"/>
        </w:rPr>
      </w:pPr>
      <w:r>
        <w:rPr>
          <w:rFonts w:hint="eastAsia" w:ascii="宋体" w:hAnsi="宋体" w:eastAsia="宋体" w:cs="宋体"/>
          <w:kern w:val="0"/>
          <w:szCs w:val="21"/>
          <w14:ligatures w14:val="none"/>
        </w:rPr>
        <w:t>材料确认：全部景观铺装及构筑物的选材，均应由设计方及建设单位认可并封样后方可选用。</w:t>
      </w:r>
    </w:p>
    <w:p w14:paraId="09222D39">
      <w:pPr>
        <w:pStyle w:val="12"/>
        <w:ind w:firstLine="420"/>
        <w:rPr>
          <w:rFonts w:hint="eastAsia" w:ascii="宋体" w:hAnsi="宋体" w:eastAsia="宋体" w:cs="宋体"/>
          <w:kern w:val="0"/>
          <w:szCs w:val="21"/>
          <w14:ligatures w14:val="none"/>
        </w:rPr>
      </w:pPr>
      <w:r>
        <w:rPr>
          <w:rFonts w:hint="eastAsia" w:ascii="宋体" w:hAnsi="宋体" w:eastAsia="宋体" w:cs="宋体"/>
          <w:kern w:val="0"/>
          <w:szCs w:val="21"/>
          <w14:ligatures w14:val="none"/>
        </w:rPr>
        <w:t>主要材料定样后要保证样货一致，然后施工。</w:t>
      </w:r>
    </w:p>
    <w:p w14:paraId="3D4FB7B7">
      <w:pPr>
        <w:pStyle w:val="5"/>
        <w:rPr>
          <w:rFonts w:hint="eastAsia" w:ascii="宋体" w:hAnsi="宋体" w:eastAsia="宋体" w:cs="宋体"/>
        </w:rPr>
      </w:pPr>
      <w:bookmarkStart w:id="74" w:name="_Toc29947"/>
      <w:bookmarkStart w:id="75" w:name="_Toc175980393"/>
      <w:bookmarkStart w:id="76" w:name="_Toc11996"/>
      <w:r>
        <w:rPr>
          <w:rFonts w:hint="eastAsia" w:ascii="宋体" w:hAnsi="宋体" w:eastAsia="宋体" w:cs="宋体"/>
        </w:rPr>
        <w:t>透水砖铺装</w:t>
      </w:r>
      <w:bookmarkEnd w:id="74"/>
      <w:bookmarkEnd w:id="75"/>
      <w:bookmarkEnd w:id="76"/>
    </w:p>
    <w:p w14:paraId="3647CAB0">
      <w:pPr>
        <w:pStyle w:val="12"/>
        <w:ind w:firstLine="420"/>
        <w:rPr>
          <w:rFonts w:hint="eastAsia" w:ascii="宋体" w:hAnsi="宋体" w:eastAsia="宋体" w:cs="宋体"/>
          <w:kern w:val="0"/>
          <w:szCs w:val="21"/>
          <w14:ligatures w14:val="none"/>
        </w:rPr>
      </w:pPr>
      <w:r>
        <w:rPr>
          <w:rFonts w:hint="eastAsia" w:ascii="宋体" w:hAnsi="宋体" w:eastAsia="宋体" w:cs="宋体"/>
          <w:kern w:val="0"/>
          <w:szCs w:val="21"/>
          <w14:ligatures w14:val="none"/>
        </w:rPr>
        <w:t>勘查景观园林的实际道路情况。如园路宽幅及长度情况；园路曲弧大小；园路周边是否障碍物（树池、井盖、预埋件等）情况。</w:t>
      </w:r>
    </w:p>
    <w:p w14:paraId="7B37884B">
      <w:pPr>
        <w:pStyle w:val="12"/>
        <w:ind w:firstLine="420"/>
        <w:rPr>
          <w:rFonts w:hint="eastAsia" w:ascii="宋体" w:hAnsi="宋体" w:eastAsia="宋体" w:cs="宋体"/>
          <w:kern w:val="0"/>
          <w:szCs w:val="21"/>
          <w14:ligatures w14:val="none"/>
        </w:rPr>
      </w:pPr>
      <w:r>
        <w:rPr>
          <w:rFonts w:hint="eastAsia" w:ascii="宋体" w:hAnsi="宋体" w:eastAsia="宋体" w:cs="宋体"/>
          <w:kern w:val="0"/>
          <w:szCs w:val="21"/>
          <w14:ligatures w14:val="none"/>
        </w:rPr>
        <w:t>根据景观园林施工设计的具体要求将路基挖至达标深度；应仔细检查横纵坡在设计要求的范围内，以及边线标准是否达标。一般情况下，横坡断面和纵坡宽度均应保持在2.5～3.5米之间。路基修整碾平时，压实度控制在重型击实标准的9</w:t>
      </w:r>
      <w:r>
        <w:rPr>
          <w:rFonts w:hint="eastAsia" w:ascii="宋体" w:hAnsi="宋体" w:eastAsia="宋体" w:cs="宋体"/>
          <w:kern w:val="0"/>
          <w:szCs w:val="21"/>
          <w:lang w:eastAsia="zh"/>
          <w14:ligatures w14:val="none"/>
        </w:rPr>
        <w:t>3</w:t>
      </w:r>
      <w:r>
        <w:rPr>
          <w:rFonts w:hint="eastAsia" w:ascii="宋体" w:hAnsi="宋体" w:eastAsia="宋体" w:cs="宋体"/>
          <w:kern w:val="0"/>
          <w:szCs w:val="21"/>
          <w14:ligatures w14:val="none"/>
        </w:rPr>
        <w:t>%以上，同时注意碾压过程对路基下方各种管线的影响。</w:t>
      </w:r>
    </w:p>
    <w:p w14:paraId="1C749498">
      <w:pPr>
        <w:pStyle w:val="12"/>
        <w:ind w:firstLine="420"/>
        <w:rPr>
          <w:rFonts w:hint="eastAsia" w:ascii="宋体" w:hAnsi="宋体" w:eastAsia="宋体" w:cs="宋体"/>
          <w:kern w:val="0"/>
          <w:szCs w:val="21"/>
          <w14:ligatures w14:val="none"/>
        </w:rPr>
      </w:pPr>
      <w:r>
        <w:rPr>
          <w:rFonts w:hint="eastAsia" w:ascii="宋体" w:hAnsi="宋体" w:eastAsia="宋体" w:cs="宋体"/>
          <w:kern w:val="0"/>
          <w:szCs w:val="21"/>
          <w14:ligatures w14:val="none"/>
        </w:rPr>
        <w:t>铺设透水砖垫层：对垫层材料的选材要求应保证其功能性，即具有一定的强度、一定的透水性、一定的蓄水性以及耐久性。选材上可以采用无砂混凝土或天然级配砂砾料等。砂石材料的最大颗粒与垫层厚度之比应＜0.7,且直径应＜10厘米。砂石材料的质地应坚硬。选用无砂混凝土的石子，其直径范围应保持在5～10毫米之间，且＜5毫米的颗粒比重应最多不超过35%，直径不过5毫米的砂砾含泥量比重不应超过5%。</w:t>
      </w:r>
    </w:p>
    <w:p w14:paraId="3F753BB3">
      <w:pPr>
        <w:pStyle w:val="12"/>
        <w:ind w:firstLine="420"/>
        <w:rPr>
          <w:rFonts w:hint="eastAsia" w:ascii="宋体" w:hAnsi="宋体" w:eastAsia="宋体" w:cs="宋体"/>
          <w:kern w:val="0"/>
          <w:szCs w:val="21"/>
          <w14:ligatures w14:val="none"/>
        </w:rPr>
      </w:pPr>
      <w:r>
        <w:rPr>
          <w:rFonts w:hint="eastAsia" w:ascii="宋体" w:hAnsi="宋体" w:eastAsia="宋体" w:cs="宋体"/>
          <w:kern w:val="0"/>
          <w:szCs w:val="21"/>
          <w14:ligatures w14:val="none"/>
        </w:rPr>
        <w:t>铺垫透水砖找平层的技术要求：平层铺垫材料应与垫层材料一致，以保证后期面层透水砖的平整，且在垫层之上的铺垫厚度为1～2厘米平整均匀找平层。</w:t>
      </w:r>
    </w:p>
    <w:p w14:paraId="0F800983">
      <w:pPr>
        <w:pStyle w:val="12"/>
        <w:ind w:firstLine="420"/>
        <w:rPr>
          <w:rFonts w:hint="eastAsia" w:ascii="宋体" w:hAnsi="宋体" w:eastAsia="宋体" w:cs="宋体"/>
          <w:kern w:val="0"/>
          <w:szCs w:val="21"/>
          <w14:ligatures w14:val="none"/>
        </w:rPr>
      </w:pPr>
      <w:r>
        <w:rPr>
          <w:rFonts w:hint="eastAsia" w:ascii="宋体" w:hAnsi="宋体" w:eastAsia="宋体" w:cs="宋体"/>
          <w:kern w:val="0"/>
          <w:szCs w:val="21"/>
          <w14:ligatures w14:val="none"/>
        </w:rPr>
        <w:t>铺设透水砖面层：面层要求采用符合设计图案的透水砖铺设。</w:t>
      </w:r>
    </w:p>
    <w:p w14:paraId="3DF9A501">
      <w:pPr>
        <w:pStyle w:val="12"/>
        <w:ind w:firstLine="420"/>
        <w:rPr>
          <w:rFonts w:hint="eastAsia" w:ascii="宋体" w:hAnsi="宋体" w:eastAsia="宋体" w:cs="宋体"/>
          <w:kern w:val="0"/>
          <w:szCs w:val="21"/>
          <w14:ligatures w14:val="none"/>
        </w:rPr>
      </w:pPr>
      <w:r>
        <w:rPr>
          <w:rFonts w:hint="eastAsia" w:ascii="宋体" w:hAnsi="宋体" w:eastAsia="宋体" w:cs="宋体"/>
          <w:kern w:val="0"/>
          <w:szCs w:val="21"/>
          <w14:ligatures w14:val="none"/>
        </w:rPr>
        <w:t>透水砖表面的缝隙填补及养护：透水砖表面的缝隙填补应采用细砂填补缝隙。铺设完毕后应对面层进行稳固度和平整性进行检查，如不平整应立即进行调整修复，透水砖的养护期应不少于3天。</w:t>
      </w:r>
    </w:p>
    <w:p w14:paraId="2D3BFCF8">
      <w:pPr>
        <w:pStyle w:val="5"/>
        <w:rPr>
          <w:rFonts w:hint="eastAsia" w:ascii="宋体" w:hAnsi="宋体" w:eastAsia="宋体" w:cs="宋体"/>
        </w:rPr>
      </w:pPr>
      <w:bookmarkStart w:id="77" w:name="_Toc6285"/>
      <w:bookmarkStart w:id="78" w:name="_Toc26599"/>
      <w:bookmarkStart w:id="79" w:name="_Toc175980394"/>
      <w:r>
        <w:rPr>
          <w:rFonts w:hint="eastAsia" w:ascii="宋体" w:hAnsi="宋体" w:eastAsia="宋体" w:cs="宋体"/>
        </w:rPr>
        <w:t>青石板砖铺贴</w:t>
      </w:r>
      <w:bookmarkEnd w:id="77"/>
      <w:bookmarkEnd w:id="78"/>
      <w:bookmarkEnd w:id="79"/>
    </w:p>
    <w:p w14:paraId="5D79FAD3">
      <w:pPr>
        <w:pStyle w:val="12"/>
        <w:ind w:firstLine="420"/>
        <w:rPr>
          <w:rFonts w:hint="eastAsia" w:ascii="宋体" w:hAnsi="宋体" w:eastAsia="宋体" w:cs="宋体"/>
          <w:kern w:val="0"/>
          <w:szCs w:val="21"/>
          <w14:ligatures w14:val="none"/>
        </w:rPr>
      </w:pPr>
      <w:r>
        <w:rPr>
          <w:rFonts w:hint="eastAsia" w:ascii="宋体" w:hAnsi="宋体" w:eastAsia="宋体" w:cs="宋体"/>
        </w:rPr>
        <w:t>青石板砖</w:t>
      </w:r>
      <w:r>
        <w:rPr>
          <w:rFonts w:hint="eastAsia" w:ascii="宋体" w:hAnsi="宋体" w:eastAsia="宋体" w:cs="宋体"/>
          <w:kern w:val="0"/>
          <w:szCs w:val="21"/>
          <w14:ligatures w14:val="none"/>
        </w:rPr>
        <w:t>面层：板块挤靠严密，无缝隙，接缝通直无错缝，表面平整洁净，图案清晰无磨划痕，周边顺直方正。</w:t>
      </w:r>
    </w:p>
    <w:p w14:paraId="2B984E3D">
      <w:pPr>
        <w:pStyle w:val="12"/>
        <w:ind w:firstLine="420"/>
        <w:rPr>
          <w:rFonts w:hint="eastAsia" w:ascii="宋体" w:hAnsi="宋体" w:eastAsia="宋体" w:cs="宋体"/>
          <w:kern w:val="0"/>
          <w:szCs w:val="21"/>
          <w14:ligatures w14:val="none"/>
        </w:rPr>
      </w:pPr>
      <w:r>
        <w:rPr>
          <w:rFonts w:hint="eastAsia" w:ascii="宋体" w:hAnsi="宋体" w:eastAsia="宋体" w:cs="宋体"/>
          <w:kern w:val="0"/>
          <w:szCs w:val="21"/>
          <w14:ligatures w14:val="none"/>
        </w:rPr>
        <w:t>坡度符合设计要求，不倒泛水，无积水，与收水口结合处严密牢固，（有坡度的面层应做泼水检验，并以能排除液体为合格）</w:t>
      </w:r>
      <w:r>
        <w:rPr>
          <w:rFonts w:hint="eastAsia" w:ascii="宋体" w:hAnsi="宋体" w:eastAsia="宋体" w:cs="宋体"/>
        </w:rPr>
        <w:t>青石板砖</w:t>
      </w:r>
      <w:r>
        <w:rPr>
          <w:rFonts w:hint="eastAsia" w:ascii="宋体" w:hAnsi="宋体" w:eastAsia="宋体" w:cs="宋体"/>
          <w:kern w:val="0"/>
          <w:szCs w:val="21"/>
          <w14:ligatures w14:val="none"/>
        </w:rPr>
        <w:t>地面颜色协调，间隙适宜美观，无裂缝和磨纹，表面平整。</w:t>
      </w:r>
    </w:p>
    <w:p w14:paraId="0CFE4EFC">
      <w:pPr>
        <w:pStyle w:val="12"/>
        <w:ind w:firstLine="420"/>
        <w:rPr>
          <w:rFonts w:hint="eastAsia" w:ascii="宋体" w:hAnsi="宋体" w:eastAsia="宋体" w:cs="宋体"/>
          <w:kern w:val="0"/>
          <w:szCs w:val="21"/>
          <w14:ligatures w14:val="none"/>
        </w:rPr>
      </w:pPr>
      <w:r>
        <w:rPr>
          <w:rFonts w:hint="eastAsia" w:ascii="宋体" w:hAnsi="宋体" w:eastAsia="宋体" w:cs="宋体"/>
          <w:kern w:val="0"/>
          <w:szCs w:val="21"/>
          <w14:ligatures w14:val="none"/>
        </w:rPr>
        <w:t>主要标准参数及检查方法：</w:t>
      </w:r>
    </w:p>
    <w:p w14:paraId="1328BE57">
      <w:pPr>
        <w:pStyle w:val="12"/>
        <w:ind w:firstLine="420"/>
        <w:rPr>
          <w:rFonts w:hint="eastAsia" w:ascii="宋体" w:hAnsi="宋体" w:eastAsia="宋体" w:cs="宋体"/>
          <w:kern w:val="0"/>
          <w:szCs w:val="21"/>
          <w14:ligatures w14:val="none"/>
        </w:rPr>
      </w:pPr>
      <w:r>
        <w:rPr>
          <w:rFonts w:hint="eastAsia" w:ascii="宋体" w:hAnsi="宋体" w:eastAsia="宋体" w:cs="宋体"/>
          <w:kern w:val="0"/>
          <w:szCs w:val="21"/>
          <w14:ligatures w14:val="none"/>
        </w:rPr>
        <w:t>表面平整度误差1~3mm，用2m靠尺和楔形塞尺检查；缝格平直误差不超过2mm拉5m线，不足5m拉通线和尺量检查；接缝高低差误差0.5mm内尺量和楔形塞尺检查；板块间隙宽度不大于2mm尺量检查或按设计要求。</w:t>
      </w:r>
    </w:p>
    <w:p w14:paraId="41A6EBD4">
      <w:pPr>
        <w:pStyle w:val="4"/>
        <w:rPr>
          <w:rFonts w:hint="eastAsia" w:ascii="宋体" w:hAnsi="宋体" w:eastAsia="宋体" w:cs="宋体"/>
        </w:rPr>
      </w:pPr>
      <w:bookmarkStart w:id="80" w:name="_Toc28723"/>
      <w:bookmarkStart w:id="81" w:name="_Toc175980396"/>
      <w:bookmarkStart w:id="82" w:name="_Toc30334"/>
      <w:r>
        <w:rPr>
          <w:rFonts w:hint="eastAsia" w:ascii="宋体" w:hAnsi="宋体" w:eastAsia="宋体" w:cs="宋体"/>
        </w:rPr>
        <w:t>种植</w:t>
      </w:r>
      <w:bookmarkEnd w:id="80"/>
      <w:bookmarkEnd w:id="81"/>
      <w:bookmarkEnd w:id="82"/>
    </w:p>
    <w:p w14:paraId="3BB1EBB9">
      <w:pPr>
        <w:pStyle w:val="5"/>
        <w:rPr>
          <w:rFonts w:hint="eastAsia" w:ascii="宋体" w:hAnsi="宋体" w:eastAsia="宋体" w:cs="宋体"/>
        </w:rPr>
      </w:pPr>
      <w:bookmarkStart w:id="83" w:name="_Toc175980087"/>
      <w:bookmarkEnd w:id="83"/>
      <w:bookmarkStart w:id="84" w:name="_Toc175937592"/>
      <w:bookmarkEnd w:id="84"/>
      <w:bookmarkStart w:id="85" w:name="_Toc175980095"/>
      <w:bookmarkEnd w:id="85"/>
      <w:bookmarkStart w:id="86" w:name="_Toc516663376"/>
      <w:bookmarkEnd w:id="86"/>
      <w:bookmarkStart w:id="87" w:name="_Toc516496777"/>
      <w:bookmarkEnd w:id="87"/>
      <w:bookmarkStart w:id="88" w:name="_Toc175957033"/>
      <w:bookmarkEnd w:id="88"/>
      <w:bookmarkStart w:id="89" w:name="_Toc175957182"/>
      <w:bookmarkEnd w:id="89"/>
      <w:bookmarkStart w:id="90" w:name="_Toc175950099"/>
      <w:bookmarkEnd w:id="90"/>
      <w:bookmarkStart w:id="91" w:name="_Toc175950107"/>
      <w:bookmarkEnd w:id="91"/>
      <w:bookmarkStart w:id="92" w:name="_Toc175980397"/>
      <w:bookmarkEnd w:id="92"/>
      <w:bookmarkStart w:id="93" w:name="_Toc516587213"/>
      <w:bookmarkEnd w:id="93"/>
      <w:bookmarkStart w:id="94" w:name="_Toc175980405"/>
      <w:bookmarkEnd w:id="94"/>
      <w:bookmarkStart w:id="95" w:name="_Toc516488833"/>
      <w:bookmarkEnd w:id="95"/>
      <w:bookmarkStart w:id="96" w:name="_Toc175957041"/>
      <w:bookmarkEnd w:id="96"/>
      <w:bookmarkStart w:id="97" w:name="_Toc516480246"/>
      <w:bookmarkEnd w:id="97"/>
      <w:bookmarkStart w:id="98" w:name="_Toc516585602"/>
      <w:bookmarkEnd w:id="98"/>
      <w:bookmarkStart w:id="99" w:name="_Toc175957174"/>
      <w:bookmarkEnd w:id="99"/>
      <w:bookmarkStart w:id="100" w:name="_Toc175980406"/>
      <w:bookmarkStart w:id="101" w:name="_Toc15227"/>
      <w:bookmarkStart w:id="102" w:name="_Toc4924"/>
      <w:r>
        <w:rPr>
          <w:rFonts w:hint="eastAsia" w:ascii="宋体" w:hAnsi="宋体" w:eastAsia="宋体" w:cs="宋体"/>
        </w:rPr>
        <w:t>整地</w:t>
      </w:r>
      <w:bookmarkEnd w:id="100"/>
      <w:bookmarkEnd w:id="101"/>
      <w:bookmarkEnd w:id="102"/>
    </w:p>
    <w:p w14:paraId="33ACEB87">
      <w:pPr>
        <w:pStyle w:val="12"/>
        <w:numPr>
          <w:ilvl w:val="0"/>
          <w:numId w:val="23"/>
        </w:numPr>
        <w:ind w:left="0" w:firstLine="0" w:firstLineChars="0"/>
        <w:rPr>
          <w:rFonts w:hint="eastAsia" w:ascii="宋体" w:hAnsi="宋体" w:eastAsia="宋体" w:cs="宋体"/>
          <w:kern w:val="0"/>
          <w:szCs w:val="21"/>
          <w14:ligatures w14:val="none"/>
        </w:rPr>
      </w:pPr>
      <w:r>
        <w:rPr>
          <w:rFonts w:hint="eastAsia" w:ascii="宋体" w:hAnsi="宋体" w:eastAsia="宋体" w:cs="宋体"/>
          <w:kern w:val="0"/>
          <w:szCs w:val="21"/>
          <w14:ligatures w14:val="none"/>
        </w:rPr>
        <w:t>表层种植土：</w:t>
      </w:r>
    </w:p>
    <w:p w14:paraId="0BD47349">
      <w:pPr>
        <w:pStyle w:val="12"/>
        <w:ind w:firstLine="420"/>
        <w:rPr>
          <w:rFonts w:hint="eastAsia" w:ascii="宋体" w:hAnsi="宋体" w:eastAsia="宋体" w:cs="宋体"/>
          <w:kern w:val="0"/>
          <w:szCs w:val="21"/>
          <w14:ligatures w14:val="none"/>
        </w:rPr>
      </w:pPr>
      <w:r>
        <w:rPr>
          <w:rFonts w:hint="eastAsia" w:ascii="宋体" w:hAnsi="宋体" w:eastAsia="宋体" w:cs="宋体"/>
          <w:kern w:val="0"/>
          <w:szCs w:val="21"/>
          <w14:ligatures w14:val="none"/>
        </w:rPr>
        <w:t>在实土上种植时，须保证园林植物生长所必需的最低种植土层厚度。草本花卉和草本地被要求不低于300mm厚，小灌木要求不低于</w:t>
      </w:r>
      <w:r>
        <w:rPr>
          <w:rFonts w:hint="eastAsia" w:ascii="宋体" w:hAnsi="宋体" w:eastAsia="宋体" w:cs="宋体"/>
          <w:kern w:val="0"/>
          <w:szCs w:val="21"/>
          <w:lang w:val="en-US" w:eastAsia="zh-CN"/>
          <w14:ligatures w14:val="none"/>
        </w:rPr>
        <w:t>8</w:t>
      </w:r>
      <w:r>
        <w:rPr>
          <w:rFonts w:hint="eastAsia" w:ascii="宋体" w:hAnsi="宋体" w:eastAsia="宋体" w:cs="宋体"/>
          <w:kern w:val="0"/>
          <w:szCs w:val="21"/>
          <w14:ligatures w14:val="none"/>
        </w:rPr>
        <w:t>00mm厚，浅根乔木不低于900mm厚，大乔木不低于1500mm厚。</w:t>
      </w:r>
    </w:p>
    <w:p w14:paraId="705777CE">
      <w:pPr>
        <w:pStyle w:val="12"/>
        <w:numPr>
          <w:ilvl w:val="0"/>
          <w:numId w:val="23"/>
        </w:numPr>
        <w:ind w:left="0" w:firstLine="0" w:firstLineChars="0"/>
        <w:rPr>
          <w:rFonts w:hint="eastAsia" w:ascii="宋体" w:hAnsi="宋体" w:eastAsia="宋体" w:cs="宋体"/>
          <w:kern w:val="0"/>
          <w:szCs w:val="21"/>
          <w14:ligatures w14:val="none"/>
        </w:rPr>
      </w:pPr>
      <w:r>
        <w:rPr>
          <w:rFonts w:hint="eastAsia" w:ascii="宋体" w:hAnsi="宋体" w:eastAsia="宋体" w:cs="宋体"/>
          <w:kern w:val="0"/>
          <w:szCs w:val="21"/>
          <w14:ligatures w14:val="none"/>
        </w:rPr>
        <w:t>土壤改良：</w:t>
      </w:r>
    </w:p>
    <w:p w14:paraId="669C1431">
      <w:pPr>
        <w:pStyle w:val="12"/>
        <w:ind w:firstLine="420"/>
        <w:rPr>
          <w:rFonts w:hint="eastAsia" w:ascii="宋体" w:hAnsi="宋体" w:eastAsia="宋体" w:cs="宋体"/>
          <w:kern w:val="0"/>
          <w:szCs w:val="21"/>
          <w14:ligatures w14:val="none"/>
        </w:rPr>
      </w:pPr>
      <w:r>
        <w:rPr>
          <w:rFonts w:hint="eastAsia" w:ascii="宋体" w:hAnsi="宋体" w:eastAsia="宋体" w:cs="宋体"/>
          <w:kern w:val="0"/>
          <w:szCs w:val="21"/>
          <w14:ligatures w14:val="none"/>
        </w:rPr>
        <w:t>若现状土不满足种植要求时，应换填种植土。乔木换填区域，以种植点为中心，半径5m的范围。在灌木点植换填区域，以种植点为中心，半径2m的范围。在花卉、地被和片植灌木区域，应整体换土。换填深度大于等于最低种植土层厚度。客土或回填土需进行土壤营养改良，一般采用有机腐殖土、有机化肥掺拌方式进行改良。</w:t>
      </w:r>
    </w:p>
    <w:p w14:paraId="0CBF8D78">
      <w:pPr>
        <w:pStyle w:val="5"/>
        <w:rPr>
          <w:rFonts w:hint="eastAsia" w:ascii="宋体" w:hAnsi="宋体" w:eastAsia="宋体" w:cs="宋体"/>
        </w:rPr>
      </w:pPr>
      <w:bookmarkStart w:id="103" w:name="_Toc18479"/>
      <w:bookmarkStart w:id="104" w:name="_Toc175980407"/>
      <w:bookmarkStart w:id="105" w:name="_Toc28196"/>
      <w:r>
        <w:rPr>
          <w:rFonts w:hint="eastAsia" w:ascii="宋体" w:hAnsi="宋体" w:eastAsia="宋体" w:cs="宋体"/>
        </w:rPr>
        <w:t>选苗</w:t>
      </w:r>
      <w:bookmarkEnd w:id="103"/>
      <w:bookmarkEnd w:id="104"/>
      <w:bookmarkEnd w:id="105"/>
    </w:p>
    <w:p w14:paraId="2BA2FD20">
      <w:pPr>
        <w:pStyle w:val="12"/>
        <w:numPr>
          <w:ilvl w:val="0"/>
          <w:numId w:val="24"/>
        </w:numPr>
        <w:ind w:left="0" w:firstLine="0" w:firstLineChars="0"/>
        <w:rPr>
          <w:rFonts w:hint="eastAsia" w:ascii="宋体" w:hAnsi="宋体" w:eastAsia="宋体" w:cs="宋体"/>
          <w:kern w:val="0"/>
          <w:szCs w:val="21"/>
          <w14:ligatures w14:val="none"/>
        </w:rPr>
      </w:pPr>
      <w:r>
        <w:rPr>
          <w:rFonts w:hint="eastAsia" w:ascii="宋体" w:hAnsi="宋体" w:eastAsia="宋体" w:cs="宋体"/>
          <w:kern w:val="0"/>
          <w:szCs w:val="21"/>
          <w14:ligatures w14:val="none"/>
        </w:rPr>
        <w:t>施工勘苗时，树种及规格应根据苗木表及设计说明的要求进行选定，并加以编号。</w:t>
      </w:r>
    </w:p>
    <w:p w14:paraId="26D587DF">
      <w:pPr>
        <w:pStyle w:val="12"/>
        <w:numPr>
          <w:ilvl w:val="0"/>
          <w:numId w:val="24"/>
        </w:numPr>
        <w:ind w:left="0" w:firstLine="0" w:firstLineChars="0"/>
        <w:rPr>
          <w:rFonts w:hint="eastAsia" w:ascii="宋体" w:hAnsi="宋体" w:eastAsia="宋体" w:cs="宋体"/>
          <w:kern w:val="0"/>
          <w:szCs w:val="21"/>
          <w14:ligatures w14:val="none"/>
        </w:rPr>
      </w:pPr>
      <w:r>
        <w:rPr>
          <w:rFonts w:hint="eastAsia" w:ascii="宋体" w:hAnsi="宋体" w:eastAsia="宋体" w:cs="宋体"/>
          <w:kern w:val="0"/>
          <w:szCs w:val="21"/>
          <w14:ligatures w14:val="none"/>
        </w:rPr>
        <w:t>应选用高质量的苗木。根系发达而完整，主根短直，接近根颈范围内要有较多的侧根和须根。主侧枝分布均匀，能构成完美树冠。其中，常绿针叶树，下部枝叶不枯落成裸干状。其中干性强并无潜伏芽的针叶树,中央领导枝要有较强优势,侧芽发育饱满,顶芽占有优势。无病虫害和机械损伤。</w:t>
      </w:r>
    </w:p>
    <w:p w14:paraId="68CA4848">
      <w:pPr>
        <w:pStyle w:val="12"/>
        <w:numPr>
          <w:ilvl w:val="0"/>
          <w:numId w:val="24"/>
        </w:numPr>
        <w:ind w:left="0" w:firstLine="0" w:firstLineChars="0"/>
        <w:rPr>
          <w:rFonts w:hint="eastAsia" w:ascii="宋体" w:hAnsi="宋体" w:eastAsia="宋体" w:cs="宋体"/>
          <w:kern w:val="0"/>
          <w:szCs w:val="21"/>
          <w14:ligatures w14:val="none"/>
        </w:rPr>
      </w:pPr>
      <w:r>
        <w:rPr>
          <w:rFonts w:hint="eastAsia" w:ascii="宋体" w:hAnsi="宋体" w:eastAsia="宋体" w:cs="宋体"/>
          <w:kern w:val="0"/>
          <w:szCs w:val="21"/>
          <w14:ligatures w14:val="none"/>
        </w:rPr>
        <w:t>应优先选用经多次移植的大规格苗木。若选用实生苗或野生苗，需经1～2次“断根缩坨”处理，或移置圃地培养才可应用，以保证成活率。</w:t>
      </w:r>
    </w:p>
    <w:p w14:paraId="3343DCEE">
      <w:pPr>
        <w:pStyle w:val="5"/>
        <w:rPr>
          <w:rFonts w:hint="eastAsia" w:ascii="宋体" w:hAnsi="宋体" w:eastAsia="宋体" w:cs="宋体"/>
        </w:rPr>
      </w:pPr>
      <w:bookmarkStart w:id="106" w:name="_Toc18060"/>
      <w:bookmarkStart w:id="107" w:name="_Toc14841"/>
      <w:bookmarkStart w:id="108" w:name="_Toc175980408"/>
      <w:r>
        <w:rPr>
          <w:rFonts w:hint="eastAsia" w:ascii="宋体" w:hAnsi="宋体" w:eastAsia="宋体" w:cs="宋体"/>
        </w:rPr>
        <w:t>栽植</w:t>
      </w:r>
      <w:bookmarkEnd w:id="106"/>
      <w:bookmarkEnd w:id="107"/>
      <w:bookmarkEnd w:id="108"/>
    </w:p>
    <w:p w14:paraId="4D7F6A15">
      <w:pPr>
        <w:pStyle w:val="12"/>
        <w:numPr>
          <w:ilvl w:val="0"/>
          <w:numId w:val="25"/>
        </w:numPr>
        <w:ind w:left="0" w:firstLine="0" w:firstLineChars="0"/>
        <w:rPr>
          <w:rFonts w:hint="eastAsia" w:ascii="宋体" w:hAnsi="宋体" w:eastAsia="宋体" w:cs="宋体"/>
          <w:kern w:val="0"/>
          <w:szCs w:val="21"/>
          <w14:ligatures w14:val="none"/>
        </w:rPr>
      </w:pPr>
      <w:r>
        <w:rPr>
          <w:rFonts w:hint="eastAsia" w:ascii="宋体" w:hAnsi="宋体" w:eastAsia="宋体" w:cs="宋体"/>
          <w:kern w:val="0"/>
          <w:szCs w:val="21"/>
          <w14:ligatures w14:val="none"/>
        </w:rPr>
        <w:t>放线定点</w:t>
      </w:r>
    </w:p>
    <w:p w14:paraId="2C157661">
      <w:pPr>
        <w:pStyle w:val="12"/>
        <w:ind w:firstLine="420"/>
        <w:rPr>
          <w:rFonts w:hint="eastAsia" w:ascii="宋体" w:hAnsi="宋体" w:eastAsia="宋体" w:cs="宋体"/>
          <w:kern w:val="0"/>
          <w:szCs w:val="21"/>
          <w14:ligatures w14:val="none"/>
        </w:rPr>
      </w:pPr>
      <w:r>
        <w:rPr>
          <w:rFonts w:hint="eastAsia" w:ascii="宋体" w:hAnsi="宋体" w:eastAsia="宋体" w:cs="宋体"/>
          <w:kern w:val="0"/>
          <w:szCs w:val="21"/>
          <w14:ligatures w14:val="none"/>
        </w:rPr>
        <w:t>自然式种植区域，按照种植平面图网格定位。</w:t>
      </w:r>
    </w:p>
    <w:p w14:paraId="4E6B3D68">
      <w:pPr>
        <w:pStyle w:val="12"/>
        <w:ind w:firstLine="420"/>
        <w:rPr>
          <w:rFonts w:hint="eastAsia" w:ascii="宋体" w:hAnsi="宋体" w:eastAsia="宋体" w:cs="宋体"/>
          <w:kern w:val="0"/>
          <w:szCs w:val="21"/>
          <w14:ligatures w14:val="none"/>
        </w:rPr>
      </w:pPr>
      <w:r>
        <w:rPr>
          <w:rFonts w:hint="eastAsia" w:ascii="宋体" w:hAnsi="宋体" w:eastAsia="宋体" w:cs="宋体"/>
          <w:kern w:val="0"/>
          <w:szCs w:val="21"/>
          <w14:ligatures w14:val="none"/>
        </w:rPr>
        <w:t>行列式种植区域，按照种植平面图尺寸标注定位。</w:t>
      </w:r>
    </w:p>
    <w:p w14:paraId="031F9447">
      <w:pPr>
        <w:pStyle w:val="12"/>
        <w:ind w:firstLine="420"/>
        <w:rPr>
          <w:rFonts w:hint="eastAsia" w:ascii="宋体" w:hAnsi="宋体" w:eastAsia="宋体" w:cs="宋体"/>
          <w:kern w:val="0"/>
          <w:szCs w:val="21"/>
          <w14:ligatures w14:val="none"/>
        </w:rPr>
      </w:pPr>
      <w:r>
        <w:rPr>
          <w:rFonts w:hint="eastAsia" w:ascii="宋体" w:hAnsi="宋体" w:eastAsia="宋体" w:cs="宋体"/>
          <w:kern w:val="0"/>
          <w:szCs w:val="21"/>
          <w14:ligatures w14:val="none"/>
        </w:rPr>
        <w:t>现场定点后应由设计人员验点。修剪种植严格按图中所示标高和形状修剪，保证树梢平齐。如遇与设计不符的现场情况（有地下管线、地物障碍等）时，应找设计人员和有关部门协商解决。</w:t>
      </w:r>
    </w:p>
    <w:p w14:paraId="6D8824EF">
      <w:pPr>
        <w:pStyle w:val="12"/>
        <w:numPr>
          <w:ilvl w:val="0"/>
          <w:numId w:val="25"/>
        </w:numPr>
        <w:ind w:left="0" w:firstLine="0" w:firstLineChars="0"/>
        <w:rPr>
          <w:rFonts w:hint="eastAsia" w:ascii="宋体" w:hAnsi="宋体" w:eastAsia="宋体" w:cs="宋体"/>
          <w:kern w:val="0"/>
          <w:szCs w:val="21"/>
          <w14:ligatures w14:val="none"/>
        </w:rPr>
      </w:pPr>
      <w:r>
        <w:rPr>
          <w:rFonts w:hint="eastAsia" w:ascii="宋体" w:hAnsi="宋体" w:eastAsia="宋体" w:cs="宋体"/>
          <w:kern w:val="0"/>
          <w:szCs w:val="21"/>
          <w14:ligatures w14:val="none"/>
        </w:rPr>
        <w:t>挖穴</w:t>
      </w:r>
    </w:p>
    <w:p w14:paraId="1AFDC70F">
      <w:pPr>
        <w:pStyle w:val="12"/>
        <w:ind w:firstLine="420"/>
        <w:rPr>
          <w:rFonts w:hint="eastAsia" w:ascii="宋体" w:hAnsi="宋体" w:eastAsia="宋体" w:cs="宋体"/>
          <w:kern w:val="0"/>
          <w:szCs w:val="21"/>
          <w14:ligatures w14:val="none"/>
        </w:rPr>
      </w:pPr>
      <w:r>
        <w:rPr>
          <w:rFonts w:hint="eastAsia" w:ascii="宋体" w:hAnsi="宋体" w:eastAsia="宋体" w:cs="宋体"/>
          <w:kern w:val="0"/>
          <w:szCs w:val="21"/>
          <w14:ligatures w14:val="none"/>
        </w:rPr>
        <w:t>种植穴应比规定根幅范围宽400～1000mm，加深200～400mm。表土与底土分别放置。种植穴上口沿与底边垂直，大小一致，切忌挖成上大下小的锥形或锅底形。在建筑道路附近的种植穴，应挖成上小下大的梯形穴。挖穴时如发现电缆、管道时，应停止操作，及时找设计人员与有关部门协商解决。挖穴后，要求按规格验收。</w:t>
      </w:r>
    </w:p>
    <w:p w14:paraId="14CA59F3">
      <w:pPr>
        <w:pStyle w:val="12"/>
        <w:numPr>
          <w:ilvl w:val="0"/>
          <w:numId w:val="25"/>
        </w:numPr>
        <w:ind w:left="0" w:firstLine="0" w:firstLineChars="0"/>
        <w:rPr>
          <w:rFonts w:hint="eastAsia" w:ascii="宋体" w:hAnsi="宋体" w:eastAsia="宋体" w:cs="宋体"/>
          <w:kern w:val="0"/>
          <w:szCs w:val="21"/>
          <w14:ligatures w14:val="none"/>
        </w:rPr>
      </w:pPr>
      <w:r>
        <w:rPr>
          <w:rFonts w:hint="eastAsia" w:ascii="宋体" w:hAnsi="宋体" w:eastAsia="宋体" w:cs="宋体"/>
          <w:kern w:val="0"/>
          <w:szCs w:val="21"/>
          <w14:ligatures w14:val="none"/>
        </w:rPr>
        <w:t>栽植修剪</w:t>
      </w:r>
    </w:p>
    <w:p w14:paraId="31E98E67">
      <w:pPr>
        <w:pStyle w:val="12"/>
        <w:ind w:firstLine="420"/>
        <w:rPr>
          <w:rFonts w:hint="eastAsia" w:ascii="宋体" w:hAnsi="宋体" w:eastAsia="宋体" w:cs="宋体"/>
          <w:kern w:val="0"/>
          <w:szCs w:val="21"/>
          <w14:ligatures w14:val="none"/>
        </w:rPr>
      </w:pPr>
      <w:r>
        <w:rPr>
          <w:rFonts w:hint="eastAsia" w:ascii="宋体" w:hAnsi="宋体" w:eastAsia="宋体" w:cs="宋体"/>
          <w:kern w:val="0"/>
          <w:szCs w:val="21"/>
          <w14:ligatures w14:val="none"/>
        </w:rPr>
        <w:t>树木均要求全冠移植。可以对树冠在不影响树形美观的前提下进行适当修剪，以提高成活率和培养树形，同时减少自然伤害。栽植时，对已劈裂严重磨损和生长不正常的偏根及过长根进行修剪，保证规则种植的树木生长后大小整齐。</w:t>
      </w:r>
    </w:p>
    <w:p w14:paraId="6808D810">
      <w:pPr>
        <w:pStyle w:val="12"/>
        <w:numPr>
          <w:ilvl w:val="0"/>
          <w:numId w:val="25"/>
        </w:numPr>
        <w:ind w:left="0" w:firstLine="0" w:firstLineChars="0"/>
        <w:rPr>
          <w:rFonts w:hint="eastAsia" w:ascii="宋体" w:hAnsi="宋体" w:eastAsia="宋体" w:cs="宋体"/>
          <w:kern w:val="0"/>
          <w:szCs w:val="21"/>
          <w14:ligatures w14:val="none"/>
        </w:rPr>
      </w:pPr>
      <w:r>
        <w:rPr>
          <w:rFonts w:hint="eastAsia" w:ascii="宋体" w:hAnsi="宋体" w:eastAsia="宋体" w:cs="宋体"/>
          <w:kern w:val="0"/>
          <w:szCs w:val="21"/>
          <w14:ligatures w14:val="none"/>
        </w:rPr>
        <w:t>配苗</w:t>
      </w:r>
    </w:p>
    <w:p w14:paraId="3655C511">
      <w:pPr>
        <w:pStyle w:val="12"/>
        <w:ind w:firstLine="420"/>
        <w:rPr>
          <w:rFonts w:hint="eastAsia" w:ascii="宋体" w:hAnsi="宋体" w:eastAsia="宋体" w:cs="宋体"/>
          <w:kern w:val="0"/>
          <w:szCs w:val="21"/>
          <w14:ligatures w14:val="none"/>
        </w:rPr>
      </w:pPr>
      <w:r>
        <w:rPr>
          <w:rFonts w:hint="eastAsia" w:ascii="宋体" w:hAnsi="宋体" w:eastAsia="宋体" w:cs="宋体"/>
          <w:kern w:val="0"/>
          <w:szCs w:val="21"/>
          <w14:ligatures w14:val="none"/>
        </w:rPr>
        <w:t>对规则种植的苗木，栽前按大小分级，使相邻近的苗木保持栽后大小一致，相邻同种苗的高度要求相差不超过500mm，干径差不超过100mm。对常绿树，应把树形最好的一面朝向主要观赏面。树皮薄干外露的孤植树，最好保持原来的阴阳面，以免引起日灼。</w:t>
      </w:r>
    </w:p>
    <w:p w14:paraId="1375DC32">
      <w:pPr>
        <w:pStyle w:val="12"/>
        <w:numPr>
          <w:ilvl w:val="0"/>
          <w:numId w:val="25"/>
        </w:numPr>
        <w:ind w:left="0" w:firstLine="0" w:firstLineChars="0"/>
        <w:rPr>
          <w:rFonts w:hint="eastAsia" w:ascii="宋体" w:hAnsi="宋体" w:eastAsia="宋体" w:cs="宋体"/>
          <w:kern w:val="0"/>
          <w:szCs w:val="21"/>
          <w14:ligatures w14:val="none"/>
        </w:rPr>
      </w:pPr>
      <w:r>
        <w:rPr>
          <w:rFonts w:hint="eastAsia" w:ascii="宋体" w:hAnsi="宋体" w:eastAsia="宋体" w:cs="宋体"/>
          <w:kern w:val="0"/>
          <w:szCs w:val="21"/>
          <w14:ligatures w14:val="none"/>
        </w:rPr>
        <w:t>栽种</w:t>
      </w:r>
    </w:p>
    <w:p w14:paraId="2B8D146D">
      <w:pPr>
        <w:pStyle w:val="12"/>
        <w:ind w:firstLine="420"/>
        <w:rPr>
          <w:rFonts w:hint="eastAsia" w:ascii="宋体" w:hAnsi="宋体" w:eastAsia="宋体" w:cs="宋体"/>
          <w:kern w:val="0"/>
          <w:szCs w:val="21"/>
          <w14:ligatures w14:val="none"/>
        </w:rPr>
      </w:pPr>
      <w:r>
        <w:rPr>
          <w:rFonts w:hint="eastAsia" w:ascii="宋体" w:hAnsi="宋体" w:eastAsia="宋体" w:cs="宋体"/>
          <w:kern w:val="0"/>
          <w:szCs w:val="21"/>
          <w14:ligatures w14:val="none"/>
        </w:rPr>
        <w:t>行列式栽植应保持整齐。如有弯杆之苗，应弯向行内，左右相差不超过树干的一半。对大规格苗木为防灌水后土塌树歪，应立支柱。支柱以能支撑树的1/3到2/3处即可。后打支柱时，注意不要打在根上和损坏土球。</w:t>
      </w:r>
    </w:p>
    <w:p w14:paraId="5E555E28">
      <w:pPr>
        <w:pStyle w:val="12"/>
        <w:numPr>
          <w:ilvl w:val="0"/>
          <w:numId w:val="25"/>
        </w:numPr>
        <w:ind w:left="0" w:firstLine="0" w:firstLineChars="0"/>
        <w:rPr>
          <w:rFonts w:hint="eastAsia" w:ascii="宋体" w:hAnsi="宋体" w:eastAsia="宋体" w:cs="宋体"/>
          <w:kern w:val="0"/>
          <w:szCs w:val="21"/>
          <w14:ligatures w14:val="none"/>
        </w:rPr>
      </w:pPr>
      <w:r>
        <w:rPr>
          <w:rFonts w:hint="eastAsia" w:ascii="宋体" w:hAnsi="宋体" w:eastAsia="宋体" w:cs="宋体"/>
          <w:kern w:val="0"/>
          <w:szCs w:val="21"/>
          <w14:ligatures w14:val="none"/>
        </w:rPr>
        <w:t>栽后管理</w:t>
      </w:r>
    </w:p>
    <w:p w14:paraId="0C0A0617">
      <w:pPr>
        <w:pStyle w:val="12"/>
        <w:ind w:firstLine="420"/>
        <w:rPr>
          <w:rFonts w:hint="eastAsia" w:ascii="宋体" w:hAnsi="宋体" w:eastAsia="宋体" w:cs="宋体"/>
          <w:kern w:val="0"/>
          <w:szCs w:val="21"/>
          <w14:ligatures w14:val="none"/>
        </w:rPr>
      </w:pPr>
      <w:r>
        <w:rPr>
          <w:rFonts w:hint="eastAsia" w:ascii="宋体" w:hAnsi="宋体" w:eastAsia="宋体" w:cs="宋体"/>
          <w:kern w:val="0"/>
          <w:szCs w:val="21"/>
          <w14:ligatures w14:val="none"/>
        </w:rPr>
        <w:t>栽后应加强养护管理。在封堰后，堰内按种植设计补种草或花卉，与四周连成一片。并再次为乔灌木修枝整形。</w:t>
      </w:r>
    </w:p>
    <w:p w14:paraId="779866DC">
      <w:pPr>
        <w:pStyle w:val="5"/>
        <w:rPr>
          <w:rFonts w:hint="eastAsia" w:ascii="宋体" w:hAnsi="宋体" w:eastAsia="宋体" w:cs="宋体"/>
        </w:rPr>
      </w:pPr>
      <w:bookmarkStart w:id="109" w:name="_Toc175980409"/>
      <w:bookmarkStart w:id="110" w:name="_Toc14206"/>
      <w:bookmarkStart w:id="111" w:name="_Toc18557"/>
      <w:r>
        <w:rPr>
          <w:rFonts w:hint="eastAsia" w:ascii="宋体" w:hAnsi="宋体" w:eastAsia="宋体" w:cs="宋体"/>
        </w:rPr>
        <w:t>大树移植的特殊要求</w:t>
      </w:r>
      <w:bookmarkEnd w:id="109"/>
      <w:bookmarkEnd w:id="110"/>
      <w:bookmarkEnd w:id="111"/>
    </w:p>
    <w:p w14:paraId="2CAF0334">
      <w:pPr>
        <w:pStyle w:val="12"/>
        <w:ind w:firstLine="420"/>
        <w:rPr>
          <w:rFonts w:hint="eastAsia" w:ascii="宋体" w:hAnsi="宋体" w:eastAsia="宋体" w:cs="宋体"/>
          <w:kern w:val="0"/>
          <w:szCs w:val="21"/>
          <w14:ligatures w14:val="none"/>
        </w:rPr>
      </w:pPr>
      <w:r>
        <w:rPr>
          <w:rFonts w:hint="eastAsia" w:ascii="宋体" w:hAnsi="宋体" w:eastAsia="宋体" w:cs="宋体"/>
          <w:kern w:val="0"/>
          <w:szCs w:val="21"/>
          <w14:ligatures w14:val="none"/>
        </w:rPr>
        <w:t>本项目为了短期成景，选用了大规格苗木。移栽前应做好断根缩砣，要求带较大土球，树冠在保证整体效果时可进行适当疏剪。栽植坑深度大小应依据土球大小确定，以保证乔木成活。</w:t>
      </w:r>
    </w:p>
    <w:p w14:paraId="511AB057">
      <w:pPr>
        <w:pStyle w:val="12"/>
        <w:ind w:firstLine="420"/>
        <w:rPr>
          <w:rFonts w:hint="eastAsia" w:ascii="宋体" w:hAnsi="宋体" w:eastAsia="宋体" w:cs="宋体"/>
          <w:kern w:val="0"/>
          <w:szCs w:val="21"/>
          <w14:ligatures w14:val="none"/>
        </w:rPr>
      </w:pPr>
      <w:r>
        <w:rPr>
          <w:rFonts w:hint="eastAsia" w:ascii="宋体" w:hAnsi="宋体" w:eastAsia="宋体" w:cs="宋体"/>
          <w:snapToGrid w:val="0"/>
          <w:kern w:val="0"/>
          <w:szCs w:val="21"/>
          <w14:ligatures w14:val="none"/>
        </w:rPr>
        <w:t>施工顺序：</w:t>
      </w:r>
      <w:r>
        <w:rPr>
          <w:rFonts w:hint="eastAsia" w:ascii="宋体" w:hAnsi="宋体" w:eastAsia="宋体" w:cs="宋体"/>
          <w:kern w:val="0"/>
          <w:szCs w:val="21"/>
          <w14:ligatures w14:val="none"/>
        </w:rPr>
        <w:t>种植工程宜在道路等土建施工完后进场，如有交叉施工应采取措施保证种植质量。</w:t>
      </w:r>
    </w:p>
    <w:p w14:paraId="07EBDA44">
      <w:pPr>
        <w:pStyle w:val="12"/>
        <w:ind w:firstLine="420"/>
        <w:rPr>
          <w:rFonts w:hint="eastAsia" w:ascii="宋体" w:hAnsi="宋体" w:eastAsia="宋体" w:cs="宋体"/>
          <w:snapToGrid w:val="0"/>
          <w:kern w:val="0"/>
          <w:szCs w:val="21"/>
          <w14:ligatures w14:val="none"/>
        </w:rPr>
      </w:pPr>
      <w:r>
        <w:rPr>
          <w:rFonts w:hint="eastAsia" w:ascii="宋体" w:hAnsi="宋体" w:eastAsia="宋体" w:cs="宋体"/>
          <w:snapToGrid w:val="0"/>
          <w:kern w:val="0"/>
          <w:szCs w:val="21"/>
          <w14:ligatures w14:val="none"/>
        </w:rPr>
        <w:t>苗木品种及数量、出圃要求详见“苗木表”。</w:t>
      </w:r>
    </w:p>
    <w:p w14:paraId="7E212250">
      <w:pPr>
        <w:pStyle w:val="12"/>
        <w:ind w:firstLine="420"/>
        <w:rPr>
          <w:rFonts w:hint="eastAsia" w:ascii="宋体" w:hAnsi="宋体" w:eastAsia="宋体" w:cs="宋体"/>
          <w:kern w:val="0"/>
          <w:szCs w:val="21"/>
          <w14:ligatures w14:val="none"/>
        </w:rPr>
      </w:pPr>
      <w:r>
        <w:rPr>
          <w:rFonts w:hint="eastAsia" w:ascii="宋体" w:hAnsi="宋体" w:eastAsia="宋体" w:cs="宋体"/>
          <w:snapToGrid w:val="0"/>
          <w:kern w:val="0"/>
          <w:szCs w:val="21"/>
          <w14:ligatures w14:val="none"/>
        </w:rPr>
        <w:t>如乔木种植与场地管线</w:t>
      </w:r>
      <w:r>
        <w:rPr>
          <w:rFonts w:hint="eastAsia" w:ascii="宋体" w:hAnsi="宋体" w:eastAsia="宋体" w:cs="宋体"/>
          <w:kern w:val="0"/>
          <w:szCs w:val="21"/>
          <w14:ligatures w14:val="none"/>
        </w:rPr>
        <w:t>交叉，应合理避让管线，如需保证特殊景观效果，请相关专业进行管线协调。</w:t>
      </w:r>
    </w:p>
    <w:p w14:paraId="582E5F6E">
      <w:pPr>
        <w:pStyle w:val="4"/>
        <w:rPr>
          <w:rFonts w:hint="eastAsia" w:ascii="宋体" w:hAnsi="宋体" w:eastAsia="宋体" w:cs="宋体"/>
        </w:rPr>
      </w:pPr>
      <w:bookmarkStart w:id="112" w:name="_Toc11095"/>
      <w:bookmarkStart w:id="113" w:name="_Toc3527"/>
      <w:bookmarkStart w:id="114" w:name="_Toc175980410"/>
      <w:r>
        <w:rPr>
          <w:rFonts w:hint="eastAsia" w:ascii="宋体" w:hAnsi="宋体" w:eastAsia="宋体" w:cs="宋体"/>
        </w:rPr>
        <w:t>景观照明</w:t>
      </w:r>
      <w:bookmarkEnd w:id="112"/>
      <w:bookmarkEnd w:id="113"/>
      <w:bookmarkEnd w:id="114"/>
    </w:p>
    <w:p w14:paraId="060FEF48">
      <w:pPr>
        <w:pStyle w:val="12"/>
        <w:ind w:firstLine="420"/>
        <w:rPr>
          <w:rFonts w:hint="eastAsia" w:ascii="宋体" w:hAnsi="宋体" w:eastAsia="宋体" w:cs="宋体"/>
          <w:kern w:val="0"/>
          <w:szCs w:val="21"/>
          <w14:ligatures w14:val="none"/>
        </w:rPr>
      </w:pPr>
      <w:r>
        <w:rPr>
          <w:rFonts w:hint="eastAsia" w:ascii="宋体" w:hAnsi="宋体" w:eastAsia="宋体" w:cs="宋体"/>
          <w:kern w:val="0"/>
          <w:szCs w:val="21"/>
          <w14:ligatures w14:val="none"/>
        </w:rPr>
        <w:t>本工程按照建设单位要求布置了照明灯具，选择要求详见</w:t>
      </w:r>
      <w:r>
        <w:rPr>
          <w:rFonts w:hint="eastAsia" w:ascii="宋体" w:hAnsi="宋体" w:eastAsia="宋体" w:cs="宋体"/>
          <w:kern w:val="0"/>
          <w:szCs w:val="21"/>
          <w:lang w:eastAsia="zh"/>
          <w14:ligatures w14:val="none"/>
        </w:rPr>
        <w:t>DS-01.1_景观电气设计说明</w:t>
      </w:r>
      <w:r>
        <w:rPr>
          <w:rFonts w:hint="eastAsia" w:ascii="宋体" w:hAnsi="宋体" w:eastAsia="宋体" w:cs="宋体"/>
          <w:kern w:val="0"/>
          <w:szCs w:val="21"/>
          <w14:ligatures w14:val="none"/>
        </w:rPr>
        <w:t>。</w:t>
      </w:r>
    </w:p>
    <w:p w14:paraId="2C5B5B59">
      <w:pPr>
        <w:pStyle w:val="12"/>
        <w:ind w:firstLine="420"/>
        <w:rPr>
          <w:rFonts w:hint="eastAsia" w:ascii="宋体" w:hAnsi="宋体" w:eastAsia="宋体" w:cs="宋体"/>
          <w:kern w:val="0"/>
          <w:szCs w:val="21"/>
          <w14:ligatures w14:val="none"/>
        </w:rPr>
      </w:pPr>
      <w:r>
        <w:rPr>
          <w:rFonts w:hint="eastAsia" w:ascii="宋体" w:hAnsi="宋体" w:eastAsia="宋体" w:cs="宋体"/>
          <w:kern w:val="0"/>
          <w:szCs w:val="21"/>
          <w14:ligatures w14:val="none"/>
        </w:rPr>
        <w:t>灯具应严格按照表中要求选用，并经设计方确认后，方可安装。</w:t>
      </w:r>
    </w:p>
    <w:p w14:paraId="47CC3608">
      <w:pPr>
        <w:pStyle w:val="12"/>
        <w:ind w:firstLine="420"/>
        <w:rPr>
          <w:rFonts w:hint="eastAsia" w:ascii="宋体" w:hAnsi="宋体" w:eastAsia="宋体" w:cs="宋体"/>
          <w:kern w:val="0"/>
          <w:szCs w:val="21"/>
          <w14:ligatures w14:val="none"/>
        </w:rPr>
      </w:pPr>
      <w:r>
        <w:rPr>
          <w:rFonts w:hint="eastAsia" w:ascii="宋体" w:hAnsi="宋体" w:eastAsia="宋体" w:cs="宋体"/>
          <w:kern w:val="0"/>
          <w:szCs w:val="21"/>
          <w14:ligatures w14:val="none"/>
        </w:rPr>
        <w:t>本套施工图不涉及建筑泛光照明灯具，仅提供场地功能照明。</w:t>
      </w:r>
    </w:p>
    <w:p w14:paraId="00419C70">
      <w:pPr>
        <w:pStyle w:val="12"/>
        <w:ind w:firstLine="420"/>
        <w:rPr>
          <w:rFonts w:hint="eastAsia" w:ascii="宋体" w:hAnsi="宋体" w:eastAsia="宋体" w:cs="宋体"/>
          <w:kern w:val="0"/>
          <w:szCs w:val="21"/>
          <w14:ligatures w14:val="none"/>
        </w:rPr>
      </w:pPr>
      <w:r>
        <w:rPr>
          <w:rFonts w:hint="eastAsia" w:ascii="宋体" w:hAnsi="宋体" w:eastAsia="宋体" w:cs="宋体"/>
          <w:kern w:val="0"/>
          <w:szCs w:val="21"/>
          <w14:ligatures w14:val="none"/>
        </w:rPr>
        <w:t>灯具等电器必须安装牢固、安全，严格按照国家有关电器安装规定执行，并注</w:t>
      </w:r>
    </w:p>
    <w:p w14:paraId="701B2BC2">
      <w:pPr>
        <w:pStyle w:val="12"/>
        <w:ind w:firstLine="420"/>
        <w:rPr>
          <w:rFonts w:hint="eastAsia" w:ascii="宋体" w:hAnsi="宋体" w:eastAsia="宋体" w:cs="宋体"/>
          <w:kern w:val="0"/>
          <w:szCs w:val="21"/>
          <w14:ligatures w14:val="none"/>
        </w:rPr>
      </w:pPr>
      <w:r>
        <w:rPr>
          <w:rFonts w:hint="eastAsia" w:ascii="宋体" w:hAnsi="宋体" w:eastAsia="宋体" w:cs="宋体"/>
          <w:kern w:val="0"/>
          <w:szCs w:val="21"/>
          <w14:ligatures w14:val="none"/>
        </w:rPr>
        <w:t>意与装修面配合严密、美观。</w:t>
      </w:r>
    </w:p>
    <w:p w14:paraId="5D6A9EB9">
      <w:pPr>
        <w:pStyle w:val="12"/>
        <w:ind w:firstLine="420"/>
        <w:rPr>
          <w:rFonts w:hint="eastAsia" w:ascii="宋体" w:hAnsi="宋体" w:eastAsia="宋体" w:cs="宋体"/>
          <w:kern w:val="0"/>
          <w:szCs w:val="21"/>
          <w14:ligatures w14:val="none"/>
        </w:rPr>
      </w:pPr>
      <w:r>
        <w:rPr>
          <w:rFonts w:hint="eastAsia" w:ascii="宋体" w:hAnsi="宋体" w:eastAsia="宋体" w:cs="宋体"/>
          <w:kern w:val="0"/>
          <w:szCs w:val="21"/>
          <w14:ligatures w14:val="none"/>
        </w:rPr>
        <w:t>灯具的安全要求和防护等极严格遵照灯具表中的要求，保证安全。</w:t>
      </w:r>
    </w:p>
    <w:p w14:paraId="5E5800FD">
      <w:pPr>
        <w:pStyle w:val="12"/>
        <w:ind w:firstLine="420"/>
        <w:rPr>
          <w:rFonts w:hint="eastAsia" w:ascii="宋体" w:hAnsi="宋体" w:eastAsia="宋体" w:cs="宋体"/>
          <w:kern w:val="0"/>
          <w:szCs w:val="21"/>
          <w14:ligatures w14:val="none"/>
        </w:rPr>
      </w:pPr>
      <w:r>
        <w:rPr>
          <w:rFonts w:hint="eastAsia" w:ascii="宋体" w:hAnsi="宋体" w:eastAsia="宋体" w:cs="宋体"/>
          <w:kern w:val="0"/>
          <w:szCs w:val="21"/>
          <w14:ligatures w14:val="none"/>
        </w:rPr>
        <w:t>灯具、五金等相应产品由专业厂家配合进行二次深化设计。</w:t>
      </w:r>
    </w:p>
    <w:p w14:paraId="712AC552">
      <w:pPr>
        <w:pStyle w:val="12"/>
        <w:ind w:firstLine="420"/>
        <w:rPr>
          <w:rFonts w:hint="eastAsia" w:ascii="宋体" w:hAnsi="宋体" w:eastAsia="宋体" w:cs="宋体"/>
          <w:kern w:val="0"/>
          <w:szCs w:val="21"/>
          <w14:ligatures w14:val="none"/>
        </w:rPr>
      </w:pPr>
      <w:r>
        <w:rPr>
          <w:rFonts w:hint="eastAsia" w:ascii="宋体" w:hAnsi="宋体" w:eastAsia="宋体" w:cs="宋体"/>
          <w:kern w:val="0"/>
          <w:szCs w:val="21"/>
          <w14:ligatures w14:val="none"/>
        </w:rPr>
        <w:t>灯具选择：节能灯配电子镇流器，cosΦ≥0.90；金属卤化物灯配节能型电感镇流器，并设就地补偿cosΦ≥0.85，LED灯由灯具厂家自带电源转换模块。</w:t>
      </w:r>
    </w:p>
    <w:p w14:paraId="10E0CBB6">
      <w:pPr>
        <w:pStyle w:val="12"/>
        <w:ind w:firstLine="420"/>
        <w:rPr>
          <w:rFonts w:hint="eastAsia" w:ascii="宋体" w:hAnsi="宋体" w:eastAsia="宋体" w:cs="宋体"/>
          <w:kern w:val="0"/>
          <w:szCs w:val="21"/>
          <w14:ligatures w14:val="none"/>
        </w:rPr>
      </w:pPr>
      <w:r>
        <w:rPr>
          <w:rFonts w:hint="eastAsia" w:ascii="宋体" w:hAnsi="宋体" w:eastAsia="宋体" w:cs="宋体"/>
          <w:kern w:val="0"/>
          <w:szCs w:val="21"/>
          <w14:ligatures w14:val="none"/>
        </w:rPr>
        <w:t>照明控制：采用智能照明控制系统，根据不同需求、不同时段及不同开灯场景设定多场景模式；可对每个控制节点单独设置开关时间，在中央控制室集中控制。本设计只预留模块，具体型号待招标后确定。</w:t>
      </w:r>
    </w:p>
    <w:p w14:paraId="1AF3AE68">
      <w:pPr>
        <w:pStyle w:val="12"/>
        <w:ind w:firstLine="420"/>
        <w:rPr>
          <w:rFonts w:hint="eastAsia" w:ascii="宋体" w:hAnsi="宋体" w:eastAsia="宋体" w:cs="宋体"/>
          <w:kern w:val="0"/>
          <w:szCs w:val="21"/>
          <w14:ligatures w14:val="none"/>
        </w:rPr>
      </w:pPr>
      <w:r>
        <w:rPr>
          <w:rFonts w:hint="eastAsia" w:ascii="宋体" w:hAnsi="宋体" w:eastAsia="宋体" w:cs="宋体"/>
          <w:kern w:val="0"/>
          <w:szCs w:val="21"/>
          <w14:ligatures w14:val="none"/>
        </w:rPr>
        <w:t>照明配电：根据灯具类型、分布及控制要求的不同分别划分为不同回路进行供电。</w:t>
      </w:r>
    </w:p>
    <w:p w14:paraId="1176827B">
      <w:pPr>
        <w:pStyle w:val="4"/>
        <w:rPr>
          <w:rFonts w:hint="eastAsia" w:ascii="宋体" w:hAnsi="宋体" w:eastAsia="宋体" w:cs="宋体"/>
        </w:rPr>
      </w:pPr>
      <w:bookmarkStart w:id="115" w:name="_Toc175980411"/>
      <w:bookmarkStart w:id="116" w:name="_Toc6371"/>
      <w:bookmarkStart w:id="117" w:name="_Toc10366"/>
      <w:r>
        <w:rPr>
          <w:rFonts w:hint="eastAsia" w:ascii="宋体" w:hAnsi="宋体" w:eastAsia="宋体" w:cs="宋体"/>
        </w:rPr>
        <w:t>喷灌施工</w:t>
      </w:r>
      <w:bookmarkEnd w:id="115"/>
      <w:bookmarkEnd w:id="116"/>
      <w:bookmarkEnd w:id="117"/>
    </w:p>
    <w:p w14:paraId="0A787317">
      <w:pPr>
        <w:pStyle w:val="5"/>
        <w:rPr>
          <w:rFonts w:hint="eastAsia" w:ascii="宋体" w:hAnsi="宋体" w:eastAsia="宋体" w:cs="宋体"/>
        </w:rPr>
      </w:pPr>
      <w:r>
        <w:rPr>
          <w:rFonts w:hint="eastAsia" w:ascii="宋体" w:hAnsi="宋体" w:eastAsia="宋体" w:cs="宋体"/>
        </w:rPr>
        <w:t>开挖</w:t>
      </w:r>
    </w:p>
    <w:p w14:paraId="49E3FAFE">
      <w:pPr>
        <w:pStyle w:val="12"/>
        <w:ind w:firstLine="420"/>
        <w:rPr>
          <w:rFonts w:hint="eastAsia" w:ascii="宋体" w:hAnsi="宋体" w:eastAsia="宋体" w:cs="宋体"/>
          <w:kern w:val="0"/>
          <w:szCs w:val="21"/>
          <w14:ligatures w14:val="none"/>
        </w:rPr>
      </w:pPr>
      <w:r>
        <w:rPr>
          <w:rFonts w:hint="eastAsia" w:ascii="宋体" w:hAnsi="宋体" w:eastAsia="宋体" w:cs="宋体"/>
          <w:kern w:val="0"/>
          <w:szCs w:val="21"/>
          <w14:ligatures w14:val="none"/>
        </w:rPr>
        <w:t>首先按施工图要求测出管道的坐标及标高后，再按图示方位放线，确定沟槽位置、宽度和深度。后进行开挖沟槽。</w:t>
      </w:r>
    </w:p>
    <w:p w14:paraId="4A20C09C">
      <w:pPr>
        <w:pStyle w:val="5"/>
        <w:rPr>
          <w:rFonts w:hint="eastAsia" w:ascii="宋体" w:hAnsi="宋体" w:eastAsia="宋体" w:cs="宋体"/>
        </w:rPr>
      </w:pPr>
      <w:r>
        <w:rPr>
          <w:rFonts w:hint="eastAsia" w:ascii="宋体" w:hAnsi="宋体" w:eastAsia="宋体" w:cs="宋体"/>
        </w:rPr>
        <w:t>管道的清冼</w:t>
      </w:r>
    </w:p>
    <w:p w14:paraId="6589EE72">
      <w:pPr>
        <w:pStyle w:val="12"/>
        <w:ind w:firstLine="420"/>
        <w:rPr>
          <w:rFonts w:hint="eastAsia" w:ascii="宋体" w:hAnsi="宋体" w:eastAsia="宋体" w:cs="宋体"/>
          <w:kern w:val="0"/>
          <w:szCs w:val="21"/>
          <w14:ligatures w14:val="none"/>
        </w:rPr>
      </w:pPr>
      <w:r>
        <w:rPr>
          <w:rFonts w:hint="eastAsia" w:ascii="宋体" w:hAnsi="宋体" w:eastAsia="宋体" w:cs="宋体"/>
          <w:kern w:val="0"/>
          <w:szCs w:val="21"/>
          <w14:ligatures w14:val="none"/>
        </w:rPr>
        <w:t>将管道骨的杂物理干净，并检查管道有无裂缝和砂眼。</w:t>
      </w:r>
    </w:p>
    <w:p w14:paraId="778D7A15">
      <w:pPr>
        <w:pStyle w:val="5"/>
        <w:rPr>
          <w:rFonts w:hint="eastAsia" w:ascii="宋体" w:hAnsi="宋体" w:eastAsia="宋体" w:cs="宋体"/>
        </w:rPr>
      </w:pPr>
      <w:r>
        <w:rPr>
          <w:rFonts w:hint="eastAsia" w:ascii="宋体" w:hAnsi="宋体" w:eastAsia="宋体" w:cs="宋体"/>
        </w:rPr>
        <w:t>管道的就位及连接</w:t>
      </w:r>
    </w:p>
    <w:p w14:paraId="09915C56">
      <w:pPr>
        <w:pStyle w:val="12"/>
        <w:ind w:firstLine="420"/>
        <w:rPr>
          <w:rFonts w:hint="eastAsia" w:ascii="宋体" w:hAnsi="宋体" w:eastAsia="宋体" w:cs="宋体"/>
          <w:kern w:val="0"/>
          <w:szCs w:val="21"/>
          <w14:ligatures w14:val="none"/>
        </w:rPr>
      </w:pPr>
      <w:r>
        <w:rPr>
          <w:rFonts w:hint="eastAsia" w:ascii="宋体" w:hAnsi="宋体" w:eastAsia="宋体" w:cs="宋体"/>
          <w:kern w:val="0"/>
          <w:szCs w:val="21"/>
          <w14:ligatures w14:val="none"/>
        </w:rPr>
        <w:t>把各规格的管道先放置于相应的沟槽里，再连接安装相应的管道、管件和阀门。</w:t>
      </w:r>
    </w:p>
    <w:p w14:paraId="28900784">
      <w:pPr>
        <w:pStyle w:val="12"/>
        <w:ind w:firstLine="420"/>
        <w:rPr>
          <w:rFonts w:hint="eastAsia" w:ascii="宋体" w:hAnsi="宋体" w:eastAsia="宋体" w:cs="宋体"/>
          <w:kern w:val="0"/>
          <w:szCs w:val="21"/>
          <w14:ligatures w14:val="none"/>
        </w:rPr>
      </w:pPr>
      <w:r>
        <w:rPr>
          <w:rFonts w:hint="eastAsia" w:ascii="宋体" w:hAnsi="宋体" w:eastAsia="宋体" w:cs="宋体"/>
          <w:kern w:val="0"/>
          <w:szCs w:val="21"/>
          <w14:ligatures w14:val="none"/>
        </w:rPr>
        <w:t>试验：A、先接好试压装置；B、接通水源，并挖通好排水沟槽；C、向管内灌水，同时打开放气阀，放气阀连续出水，表明管内空气已排尽，水灌满后，均可进行打压。D、升压前应检查各接口、支撑和堵板，有问题要处理好后才能升压。E、升压时应缓慢，每次升压0.2Mpa左右为好,并应观察各接口是否渗漏；无问题再继续升压至主动验压力，停泵检查，压力表10分钟内压降不超过0.05Mpa管道、附件和接口等未漏裂情况，证明强度试验合格，后将压力降至工作压力进行严密性试验。</w:t>
      </w:r>
    </w:p>
    <w:p w14:paraId="387D163D">
      <w:pPr>
        <w:pStyle w:val="5"/>
        <w:rPr>
          <w:rFonts w:hint="eastAsia" w:ascii="宋体" w:hAnsi="宋体" w:eastAsia="宋体" w:cs="宋体"/>
        </w:rPr>
      </w:pPr>
      <w:r>
        <w:rPr>
          <w:rFonts w:hint="eastAsia" w:ascii="宋体" w:hAnsi="宋体" w:eastAsia="宋体" w:cs="宋体"/>
        </w:rPr>
        <w:t>管道的冲洗消毒</w:t>
      </w:r>
    </w:p>
    <w:p w14:paraId="31CB0059">
      <w:pPr>
        <w:pStyle w:val="12"/>
        <w:ind w:firstLine="420"/>
        <w:rPr>
          <w:rFonts w:hint="eastAsia" w:ascii="宋体" w:hAnsi="宋体" w:eastAsia="宋体" w:cs="宋体"/>
          <w:kern w:val="0"/>
          <w:szCs w:val="21"/>
          <w14:ligatures w14:val="none"/>
        </w:rPr>
      </w:pPr>
      <w:r>
        <w:rPr>
          <w:rFonts w:hint="eastAsia" w:ascii="宋体" w:hAnsi="宋体" w:eastAsia="宋体" w:cs="宋体"/>
          <w:kern w:val="0"/>
          <w:szCs w:val="21"/>
          <w14:ligatures w14:val="none"/>
        </w:rPr>
        <w:t>消毒前，先用高速水流冲洗水管，在管道末端选择几点将冲洗水排出，冲洗到年排出的水内不含杂质时，即可进行消毒处理。</w:t>
      </w:r>
    </w:p>
    <w:p w14:paraId="53D9162C">
      <w:pPr>
        <w:pStyle w:val="5"/>
        <w:rPr>
          <w:rFonts w:hint="eastAsia" w:ascii="宋体" w:hAnsi="宋体" w:eastAsia="宋体" w:cs="宋体"/>
        </w:rPr>
      </w:pPr>
      <w:r>
        <w:rPr>
          <w:rFonts w:hint="eastAsia" w:ascii="宋体" w:hAnsi="宋体" w:eastAsia="宋体" w:cs="宋体"/>
        </w:rPr>
        <w:t>回填土</w:t>
      </w:r>
    </w:p>
    <w:p w14:paraId="4A346688">
      <w:pPr>
        <w:pStyle w:val="12"/>
        <w:ind w:firstLine="420"/>
        <w:rPr>
          <w:rFonts w:hint="eastAsia" w:ascii="宋体" w:hAnsi="宋体" w:eastAsia="宋体" w:cs="宋体"/>
          <w:kern w:val="0"/>
          <w:szCs w:val="21"/>
          <w14:ligatures w14:val="none"/>
        </w:rPr>
      </w:pPr>
      <w:r>
        <w:rPr>
          <w:rFonts w:hint="eastAsia" w:ascii="宋体" w:hAnsi="宋体" w:eastAsia="宋体" w:cs="宋体"/>
          <w:kern w:val="0"/>
          <w:szCs w:val="21"/>
          <w14:ligatures w14:val="none"/>
        </w:rPr>
        <w:t>回填土时不允许含有直径大于100mm的块石。</w:t>
      </w:r>
    </w:p>
    <w:p w14:paraId="574E535C">
      <w:pPr>
        <w:pStyle w:val="5"/>
        <w:rPr>
          <w:rFonts w:hint="eastAsia" w:ascii="宋体" w:hAnsi="宋体" w:eastAsia="宋体" w:cs="宋体"/>
        </w:rPr>
      </w:pPr>
      <w:r>
        <w:rPr>
          <w:rFonts w:hint="eastAsia" w:ascii="宋体" w:hAnsi="宋体" w:eastAsia="宋体" w:cs="宋体"/>
        </w:rPr>
        <w:t>喷头安装</w:t>
      </w:r>
    </w:p>
    <w:p w14:paraId="72E0D619">
      <w:pPr>
        <w:pStyle w:val="12"/>
        <w:ind w:firstLine="420"/>
        <w:rPr>
          <w:rFonts w:hint="eastAsia" w:ascii="宋体" w:hAnsi="宋体" w:eastAsia="宋体" w:cs="宋体"/>
          <w:kern w:val="0"/>
          <w:szCs w:val="21"/>
          <w14:ligatures w14:val="none"/>
        </w:rPr>
      </w:pPr>
      <w:r>
        <w:rPr>
          <w:rFonts w:hint="eastAsia" w:ascii="宋体" w:hAnsi="宋体" w:eastAsia="宋体" w:cs="宋体"/>
          <w:kern w:val="0"/>
          <w:szCs w:val="21"/>
          <w14:ligatures w14:val="none"/>
        </w:rPr>
        <w:t>喷头的布置间距必须按设计间距安装，不能擅自改变，以确保灌溉的均匀性.</w:t>
      </w:r>
    </w:p>
    <w:p w14:paraId="36826994">
      <w:pPr>
        <w:pStyle w:val="12"/>
        <w:ind w:firstLine="420"/>
        <w:rPr>
          <w:rFonts w:hint="eastAsia" w:ascii="宋体" w:hAnsi="宋体" w:eastAsia="宋体" w:cs="宋体"/>
          <w:kern w:val="0"/>
          <w:szCs w:val="21"/>
          <w14:ligatures w14:val="none"/>
        </w:rPr>
      </w:pPr>
      <w:r>
        <w:rPr>
          <w:rFonts w:hint="eastAsia" w:ascii="宋体" w:hAnsi="宋体" w:eastAsia="宋体" w:cs="宋体"/>
          <w:kern w:val="0"/>
          <w:szCs w:val="21"/>
          <w14:ligatures w14:val="none"/>
        </w:rPr>
        <w:t>喷头通过铰接管与管路连接，铰接接头螺纹必须与喷头螺纹匹配.</w:t>
      </w:r>
    </w:p>
    <w:p w14:paraId="44192D34">
      <w:pPr>
        <w:pStyle w:val="12"/>
        <w:ind w:firstLine="420"/>
        <w:rPr>
          <w:rFonts w:hint="eastAsia" w:ascii="宋体" w:hAnsi="宋体" w:eastAsia="宋体" w:cs="宋体"/>
          <w:kern w:val="0"/>
          <w:szCs w:val="21"/>
          <w14:ligatures w14:val="none"/>
        </w:rPr>
      </w:pPr>
      <w:r>
        <w:rPr>
          <w:rFonts w:hint="eastAsia" w:ascii="宋体" w:hAnsi="宋体" w:eastAsia="宋体" w:cs="宋体"/>
          <w:kern w:val="0"/>
          <w:szCs w:val="21"/>
          <w14:ligatures w14:val="none"/>
        </w:rPr>
        <w:t>喷头顶部必须与地面齐。</w:t>
      </w:r>
    </w:p>
    <w:p w14:paraId="14E806F3">
      <w:pPr>
        <w:pStyle w:val="12"/>
        <w:ind w:firstLine="420"/>
        <w:rPr>
          <w:rFonts w:hint="eastAsia" w:ascii="宋体" w:hAnsi="宋体" w:eastAsia="宋体" w:cs="宋体"/>
          <w:kern w:val="0"/>
          <w:szCs w:val="21"/>
          <w14:ligatures w14:val="none"/>
        </w:rPr>
      </w:pPr>
      <w:r>
        <w:rPr>
          <w:rFonts w:hint="eastAsia" w:ascii="宋体" w:hAnsi="宋体" w:eastAsia="宋体" w:cs="宋体"/>
          <w:kern w:val="0"/>
          <w:szCs w:val="21"/>
          <w14:ligatures w14:val="none"/>
        </w:rPr>
        <w:t>喷头必须与地面垂直，周围要用细土回填，并充分夯实，保证喷头稳固。</w:t>
      </w:r>
    </w:p>
    <w:p w14:paraId="245F50B3">
      <w:pPr>
        <w:pStyle w:val="12"/>
        <w:ind w:firstLine="420"/>
        <w:rPr>
          <w:rFonts w:hint="eastAsia" w:ascii="宋体" w:hAnsi="宋体" w:eastAsia="宋体" w:cs="宋体"/>
          <w:kern w:val="0"/>
          <w:szCs w:val="21"/>
          <w14:ligatures w14:val="none"/>
        </w:rPr>
      </w:pPr>
      <w:r>
        <w:rPr>
          <w:rFonts w:hint="eastAsia" w:ascii="宋体" w:hAnsi="宋体" w:eastAsia="宋体" w:cs="宋体"/>
          <w:kern w:val="0"/>
          <w:szCs w:val="21"/>
          <w14:ligatures w14:val="none"/>
        </w:rPr>
        <w:t>灌木区喷头安装铰接管长度为灌木定植高度，用螺纹钢固定喷头，喷头顶部与灌木平齐。</w:t>
      </w:r>
    </w:p>
    <w:p w14:paraId="01F799BD">
      <w:pPr>
        <w:pStyle w:val="3"/>
        <w:rPr>
          <w:rFonts w:hint="eastAsia" w:ascii="宋体" w:hAnsi="宋体" w:eastAsia="宋体" w:cs="宋体"/>
        </w:rPr>
      </w:pPr>
      <w:bookmarkStart w:id="118" w:name="_Toc175980419"/>
      <w:bookmarkStart w:id="119" w:name="_Toc23450"/>
      <w:bookmarkStart w:id="120" w:name="_Toc10344"/>
      <w:r>
        <w:rPr>
          <w:rFonts w:hint="eastAsia" w:ascii="宋体" w:hAnsi="宋体" w:eastAsia="宋体" w:cs="宋体"/>
        </w:rPr>
        <w:t>标识技术规范</w:t>
      </w:r>
      <w:bookmarkEnd w:id="118"/>
      <w:bookmarkEnd w:id="119"/>
      <w:bookmarkEnd w:id="120"/>
    </w:p>
    <w:p w14:paraId="12D1A46E">
      <w:pPr>
        <w:pStyle w:val="4"/>
        <w:rPr>
          <w:rFonts w:hint="eastAsia" w:ascii="宋体" w:hAnsi="宋体" w:eastAsia="宋体" w:cs="宋体"/>
        </w:rPr>
      </w:pPr>
      <w:bookmarkStart w:id="121" w:name="_Toc175980420"/>
      <w:bookmarkStart w:id="122" w:name="_Toc9018"/>
      <w:bookmarkStart w:id="123" w:name="_Toc13951"/>
      <w:r>
        <w:rPr>
          <w:rFonts w:hint="eastAsia" w:ascii="宋体" w:hAnsi="宋体" w:eastAsia="宋体" w:cs="宋体"/>
        </w:rPr>
        <w:t>设计依据</w:t>
      </w:r>
      <w:bookmarkEnd w:id="121"/>
      <w:bookmarkEnd w:id="122"/>
      <w:bookmarkEnd w:id="123"/>
    </w:p>
    <w:p w14:paraId="0F9DCF5B">
      <w:pPr>
        <w:pStyle w:val="12"/>
        <w:ind w:firstLine="420"/>
        <w:rPr>
          <w:rFonts w:hint="eastAsia" w:ascii="宋体" w:hAnsi="宋体" w:eastAsia="宋体" w:cs="宋体"/>
          <w:szCs w:val="21"/>
          <w14:ligatures w14:val="none"/>
        </w:rPr>
      </w:pPr>
      <w:r>
        <w:rPr>
          <w:rFonts w:hint="eastAsia" w:ascii="宋体" w:hAnsi="宋体" w:eastAsia="宋体" w:cs="宋体"/>
          <w:szCs w:val="21"/>
          <w14:ligatures w14:val="none"/>
        </w:rPr>
        <w:t>除图纸和特别要求外，所有设备及部件的设计、制造、测试和安装应采用中国国家标准或其他公认的国家（部颁行业）标准、国际标准化组织及等效或优于的其他国家的权威性标准和规范。如果这些标准内容有矛盾，应按最新的条款执行。</w:t>
      </w:r>
    </w:p>
    <w:p w14:paraId="342893CD">
      <w:pPr>
        <w:pStyle w:val="12"/>
        <w:ind w:firstLine="420"/>
        <w:rPr>
          <w:rFonts w:hint="eastAsia" w:ascii="宋体" w:hAnsi="宋体" w:eastAsia="宋体" w:cs="宋体"/>
          <w:szCs w:val="21"/>
          <w14:ligatures w14:val="none"/>
        </w:rPr>
      </w:pPr>
      <w:r>
        <w:rPr>
          <w:rFonts w:hint="eastAsia" w:ascii="宋体" w:hAnsi="宋体" w:eastAsia="宋体" w:cs="宋体"/>
          <w:szCs w:val="21"/>
          <w14:ligatures w14:val="none"/>
        </w:rPr>
        <w:t>在项目执行过程中，所引用的标准或规范如果有局部修订或新颁，在报经</w:t>
      </w:r>
      <w:r>
        <w:rPr>
          <w:rFonts w:hint="eastAsia" w:ascii="宋体" w:hAnsi="宋体" w:eastAsia="宋体" w:cs="宋体"/>
          <w:szCs w:val="21"/>
          <w:lang w:eastAsia="zh-CN"/>
          <w14:ligatures w14:val="none"/>
        </w:rPr>
        <w:t>建设单位</w:t>
      </w:r>
      <w:r>
        <w:rPr>
          <w:rFonts w:hint="eastAsia" w:ascii="宋体" w:hAnsi="宋体" w:eastAsia="宋体" w:cs="宋体"/>
          <w:szCs w:val="21"/>
          <w14:ligatures w14:val="none"/>
        </w:rPr>
        <w:t>及设计方批准后，标识施工方应执行新的标准或规范。</w:t>
      </w:r>
    </w:p>
    <w:p w14:paraId="13BAECBA">
      <w:pPr>
        <w:pStyle w:val="12"/>
        <w:ind w:firstLine="420"/>
        <w:rPr>
          <w:rFonts w:hint="eastAsia" w:ascii="宋体" w:hAnsi="宋体" w:eastAsia="宋体" w:cs="宋体"/>
          <w:szCs w:val="21"/>
          <w14:ligatures w14:val="none"/>
        </w:rPr>
      </w:pPr>
      <w:r>
        <w:rPr>
          <w:rFonts w:hint="eastAsia" w:ascii="宋体" w:hAnsi="宋体" w:eastAsia="宋体" w:cs="宋体"/>
          <w:szCs w:val="21"/>
          <w14:ligatures w14:val="none"/>
        </w:rPr>
        <w:t>在项目执行以下技术规范和施工与验收时必须达到以下最新版的国家标准/规范和工作准则等有关法规的要求。</w:t>
      </w:r>
    </w:p>
    <w:p w14:paraId="05185977">
      <w:pPr>
        <w:pStyle w:val="12"/>
        <w:ind w:firstLine="420"/>
        <w:rPr>
          <w:rFonts w:hint="eastAsia" w:ascii="宋体" w:hAnsi="宋体" w:eastAsia="宋体" w:cs="宋体"/>
          <w:szCs w:val="21"/>
          <w14:ligatures w14:val="none"/>
        </w:rPr>
      </w:pPr>
      <w:r>
        <w:rPr>
          <w:rFonts w:hint="eastAsia" w:ascii="宋体" w:hAnsi="宋体" w:eastAsia="宋体" w:cs="宋体"/>
          <w:szCs w:val="21"/>
          <w14:ligatures w14:val="none"/>
        </w:rPr>
        <w:t>当标准、规范与</w:t>
      </w:r>
      <w:r>
        <w:rPr>
          <w:rFonts w:hint="eastAsia" w:ascii="宋体" w:hAnsi="宋体" w:eastAsia="宋体" w:cs="宋体"/>
          <w:szCs w:val="21"/>
          <w:lang w:eastAsia="zh-CN"/>
          <w14:ligatures w14:val="none"/>
        </w:rPr>
        <w:t>建设单位</w:t>
      </w:r>
      <w:r>
        <w:rPr>
          <w:rFonts w:hint="eastAsia" w:ascii="宋体" w:hAnsi="宋体" w:eastAsia="宋体" w:cs="宋体"/>
          <w:szCs w:val="21"/>
          <w14:ligatures w14:val="none"/>
        </w:rPr>
        <w:t>需求书要求之间发生冲突时，应采用其中最为严格的要求。</w:t>
      </w:r>
    </w:p>
    <w:p w14:paraId="122CDF0F">
      <w:pPr>
        <w:pStyle w:val="12"/>
        <w:ind w:firstLine="420"/>
        <w:rPr>
          <w:rFonts w:hint="eastAsia" w:ascii="宋体" w:hAnsi="宋体" w:eastAsia="宋体" w:cs="宋体"/>
          <w:szCs w:val="21"/>
          <w14:ligatures w14:val="none"/>
        </w:rPr>
      </w:pPr>
      <w:r>
        <w:rPr>
          <w:rFonts w:hint="eastAsia" w:ascii="宋体" w:hAnsi="宋体" w:eastAsia="宋体" w:cs="宋体"/>
          <w:szCs w:val="21"/>
          <w14:ligatures w14:val="none"/>
        </w:rPr>
        <w:t>本项目引用国家及有关部委颁布的标准、规范和章程：</w:t>
      </w:r>
    </w:p>
    <w:p w14:paraId="5E75F819">
      <w:pPr>
        <w:pStyle w:val="12"/>
        <w:ind w:firstLine="420"/>
        <w:rPr>
          <w:rFonts w:hint="eastAsia" w:ascii="宋体" w:hAnsi="宋体" w:eastAsia="宋体" w:cs="宋体"/>
          <w:szCs w:val="21"/>
          <w14:ligatures w14:val="none"/>
        </w:rPr>
      </w:pPr>
      <w:r>
        <w:rPr>
          <w:rFonts w:hint="eastAsia" w:ascii="宋体" w:hAnsi="宋体" w:eastAsia="宋体" w:cs="宋体"/>
          <w:szCs w:val="21"/>
          <w14:ligatures w14:val="none"/>
        </w:rPr>
        <w:t>GB50016《建筑设计防火规范》</w:t>
      </w:r>
    </w:p>
    <w:p w14:paraId="6EBBB304">
      <w:pPr>
        <w:pStyle w:val="12"/>
        <w:ind w:firstLine="420"/>
        <w:rPr>
          <w:rFonts w:hint="eastAsia" w:ascii="宋体" w:hAnsi="宋体" w:eastAsia="宋体" w:cs="宋体"/>
          <w:szCs w:val="21"/>
          <w14:ligatures w14:val="none"/>
        </w:rPr>
      </w:pPr>
      <w:r>
        <w:rPr>
          <w:rFonts w:hint="eastAsia" w:ascii="宋体" w:hAnsi="宋体" w:eastAsia="宋体" w:cs="宋体"/>
          <w:szCs w:val="21"/>
          <w14:ligatures w14:val="none"/>
        </w:rPr>
        <w:t>GB50222《建筑内部装修设计防火规范》</w:t>
      </w:r>
    </w:p>
    <w:p w14:paraId="31CF9BC9">
      <w:pPr>
        <w:pStyle w:val="12"/>
        <w:ind w:firstLine="420"/>
        <w:rPr>
          <w:rFonts w:hint="eastAsia" w:ascii="宋体" w:hAnsi="宋体" w:eastAsia="宋体" w:cs="宋体"/>
          <w:szCs w:val="21"/>
          <w14:ligatures w14:val="none"/>
        </w:rPr>
      </w:pPr>
      <w:r>
        <w:rPr>
          <w:rFonts w:hint="eastAsia" w:ascii="宋体" w:hAnsi="宋体" w:eastAsia="宋体" w:cs="宋体"/>
          <w:szCs w:val="21"/>
          <w14:ligatures w14:val="none"/>
        </w:rPr>
        <w:t>GB50210《建筑装饰装修工程质量验收规范》</w:t>
      </w:r>
    </w:p>
    <w:p w14:paraId="04984743">
      <w:pPr>
        <w:pStyle w:val="12"/>
        <w:ind w:firstLine="420"/>
        <w:rPr>
          <w:rFonts w:hint="eastAsia" w:ascii="宋体" w:hAnsi="宋体" w:eastAsia="宋体" w:cs="宋体"/>
          <w:szCs w:val="21"/>
          <w14:ligatures w14:val="none"/>
        </w:rPr>
      </w:pPr>
      <w:r>
        <w:rPr>
          <w:rFonts w:hint="eastAsia" w:ascii="宋体" w:hAnsi="宋体" w:eastAsia="宋体" w:cs="宋体"/>
          <w:szCs w:val="21"/>
          <w14:ligatures w14:val="none"/>
        </w:rPr>
        <w:t>GB50300《建筑工程质量验收规范》</w:t>
      </w:r>
    </w:p>
    <w:p w14:paraId="60F295A0">
      <w:pPr>
        <w:pStyle w:val="12"/>
        <w:ind w:firstLine="420"/>
        <w:rPr>
          <w:rFonts w:hint="eastAsia" w:ascii="宋体" w:hAnsi="宋体" w:eastAsia="宋体" w:cs="宋体"/>
          <w:szCs w:val="21"/>
          <w14:ligatures w14:val="none"/>
        </w:rPr>
      </w:pPr>
      <w:r>
        <w:rPr>
          <w:rFonts w:hint="eastAsia" w:ascii="宋体" w:hAnsi="宋体" w:eastAsia="宋体" w:cs="宋体"/>
          <w:szCs w:val="21"/>
          <w14:ligatures w14:val="none"/>
        </w:rPr>
        <w:t>GB50254《电气装置安装工程低压电气施工及验收规范》</w:t>
      </w:r>
    </w:p>
    <w:p w14:paraId="5563157B">
      <w:pPr>
        <w:pStyle w:val="12"/>
        <w:ind w:firstLine="420"/>
        <w:rPr>
          <w:rFonts w:hint="eastAsia" w:ascii="宋体" w:hAnsi="宋体" w:eastAsia="宋体" w:cs="宋体"/>
          <w:szCs w:val="21"/>
          <w14:ligatures w14:val="none"/>
        </w:rPr>
      </w:pPr>
      <w:r>
        <w:rPr>
          <w:rFonts w:hint="eastAsia" w:ascii="宋体" w:hAnsi="宋体" w:eastAsia="宋体" w:cs="宋体"/>
          <w:szCs w:val="21"/>
          <w14:ligatures w14:val="none"/>
        </w:rPr>
        <w:t>J22401《电气设备安装施工工艺标准》</w:t>
      </w:r>
    </w:p>
    <w:p w14:paraId="553C0146">
      <w:pPr>
        <w:pStyle w:val="12"/>
        <w:ind w:firstLine="420"/>
        <w:rPr>
          <w:rFonts w:hint="eastAsia" w:ascii="宋体" w:hAnsi="宋体" w:eastAsia="宋体" w:cs="宋体"/>
          <w:szCs w:val="21"/>
          <w14:ligatures w14:val="none"/>
        </w:rPr>
      </w:pPr>
      <w:r>
        <w:rPr>
          <w:rFonts w:hint="eastAsia" w:ascii="宋体" w:hAnsi="宋体" w:eastAsia="宋体" w:cs="宋体"/>
          <w:szCs w:val="21"/>
          <w14:ligatures w14:val="none"/>
        </w:rPr>
        <w:t>GB50009《建筑结构荷载规范》</w:t>
      </w:r>
    </w:p>
    <w:p w14:paraId="7A09C25A">
      <w:pPr>
        <w:pStyle w:val="12"/>
        <w:ind w:firstLine="420"/>
        <w:rPr>
          <w:rFonts w:hint="eastAsia" w:ascii="宋体" w:hAnsi="宋体" w:eastAsia="宋体" w:cs="宋体"/>
          <w:szCs w:val="21"/>
          <w14:ligatures w14:val="none"/>
        </w:rPr>
      </w:pPr>
      <w:r>
        <w:rPr>
          <w:rFonts w:hint="eastAsia" w:ascii="宋体" w:hAnsi="宋体" w:eastAsia="宋体" w:cs="宋体"/>
          <w:szCs w:val="21"/>
          <w14:ligatures w14:val="none"/>
        </w:rPr>
        <w:t>GB50168《电气装置安装工程电缆线路施工及验收规范》</w:t>
      </w:r>
    </w:p>
    <w:p w14:paraId="6371F46C">
      <w:pPr>
        <w:pStyle w:val="12"/>
        <w:ind w:firstLine="420"/>
        <w:rPr>
          <w:rFonts w:hint="eastAsia" w:ascii="宋体" w:hAnsi="宋体" w:eastAsia="宋体" w:cs="宋体"/>
          <w:szCs w:val="21"/>
          <w14:ligatures w14:val="none"/>
        </w:rPr>
      </w:pPr>
      <w:r>
        <w:rPr>
          <w:rFonts w:hint="eastAsia" w:ascii="宋体" w:hAnsi="宋体" w:eastAsia="宋体" w:cs="宋体"/>
          <w:szCs w:val="21"/>
          <w14:ligatures w14:val="none"/>
        </w:rPr>
        <w:t>GB50055《通用用电设备配电设计规范》</w:t>
      </w:r>
    </w:p>
    <w:p w14:paraId="25BACBA5">
      <w:pPr>
        <w:pStyle w:val="12"/>
        <w:ind w:firstLine="420"/>
        <w:rPr>
          <w:rFonts w:hint="eastAsia" w:ascii="宋体" w:hAnsi="宋体" w:eastAsia="宋体" w:cs="宋体"/>
          <w:szCs w:val="21"/>
          <w14:ligatures w14:val="none"/>
        </w:rPr>
      </w:pPr>
      <w:r>
        <w:rPr>
          <w:rFonts w:hint="eastAsia" w:ascii="宋体" w:hAnsi="宋体" w:eastAsia="宋体" w:cs="宋体"/>
          <w:szCs w:val="21"/>
          <w14:ligatures w14:val="none"/>
        </w:rPr>
        <w:t>GB50169《电气装置安装接待装置施工及验收规范》</w:t>
      </w:r>
    </w:p>
    <w:p w14:paraId="0A234ED0">
      <w:pPr>
        <w:pStyle w:val="12"/>
        <w:ind w:firstLine="420"/>
        <w:rPr>
          <w:rFonts w:hint="eastAsia" w:ascii="宋体" w:hAnsi="宋体" w:eastAsia="宋体" w:cs="宋体"/>
          <w:szCs w:val="21"/>
          <w14:ligatures w14:val="none"/>
        </w:rPr>
      </w:pPr>
      <w:r>
        <w:rPr>
          <w:rFonts w:hint="eastAsia" w:ascii="宋体" w:hAnsi="宋体" w:eastAsia="宋体" w:cs="宋体"/>
          <w:szCs w:val="21"/>
          <w14:ligatures w14:val="none"/>
        </w:rPr>
        <w:t>GB/T 3880《一般工业用铝合金板、带材》</w:t>
      </w:r>
    </w:p>
    <w:p w14:paraId="07933B30">
      <w:pPr>
        <w:pStyle w:val="12"/>
        <w:ind w:firstLine="420"/>
        <w:rPr>
          <w:rFonts w:hint="eastAsia" w:ascii="宋体" w:hAnsi="宋体" w:eastAsia="宋体" w:cs="宋体"/>
          <w:szCs w:val="21"/>
          <w14:ligatures w14:val="none"/>
        </w:rPr>
      </w:pPr>
      <w:r>
        <w:rPr>
          <w:rFonts w:hint="eastAsia" w:ascii="宋体" w:hAnsi="宋体" w:eastAsia="宋体" w:cs="宋体"/>
          <w:szCs w:val="21"/>
          <w14:ligatures w14:val="none"/>
        </w:rPr>
        <w:t>CECS148《户外广告设施钢结构技术规范》</w:t>
      </w:r>
    </w:p>
    <w:p w14:paraId="365247B3">
      <w:pPr>
        <w:pStyle w:val="12"/>
        <w:ind w:firstLine="420"/>
        <w:rPr>
          <w:rFonts w:hint="eastAsia" w:ascii="宋体" w:hAnsi="宋体" w:eastAsia="宋体" w:cs="宋体"/>
          <w:szCs w:val="21"/>
          <w14:ligatures w14:val="none"/>
        </w:rPr>
      </w:pPr>
      <w:r>
        <w:rPr>
          <w:rFonts w:hint="eastAsia" w:ascii="宋体" w:hAnsi="宋体" w:eastAsia="宋体" w:cs="宋体"/>
          <w:szCs w:val="21"/>
          <w14:ligatures w14:val="none"/>
        </w:rPr>
        <w:t>BSS5493《防止钢结构和铁锈蚀操作规范》</w:t>
      </w:r>
    </w:p>
    <w:p w14:paraId="0D957EC3">
      <w:pPr>
        <w:pStyle w:val="12"/>
        <w:ind w:firstLine="420"/>
        <w:rPr>
          <w:rFonts w:hint="eastAsia" w:ascii="宋体" w:hAnsi="宋体" w:eastAsia="宋体" w:cs="宋体"/>
          <w:szCs w:val="21"/>
          <w14:ligatures w14:val="none"/>
        </w:rPr>
      </w:pPr>
      <w:r>
        <w:rPr>
          <w:rFonts w:hint="eastAsia" w:ascii="宋体" w:hAnsi="宋体" w:eastAsia="宋体" w:cs="宋体"/>
          <w:szCs w:val="21"/>
          <w14:ligatures w14:val="none"/>
        </w:rPr>
        <w:t>GB50007《建筑地基基础设计规范》</w:t>
      </w:r>
    </w:p>
    <w:p w14:paraId="3B2CC56C">
      <w:pPr>
        <w:pStyle w:val="12"/>
        <w:ind w:firstLine="420"/>
        <w:rPr>
          <w:rFonts w:hint="eastAsia" w:ascii="宋体" w:hAnsi="宋体" w:eastAsia="宋体" w:cs="宋体"/>
          <w:szCs w:val="21"/>
          <w14:ligatures w14:val="none"/>
        </w:rPr>
      </w:pPr>
      <w:r>
        <w:rPr>
          <w:rFonts w:hint="eastAsia" w:ascii="宋体" w:hAnsi="宋体" w:eastAsia="宋体" w:cs="宋体"/>
          <w:szCs w:val="21"/>
          <w14:ligatures w14:val="none"/>
        </w:rPr>
        <w:t>GB50010《混凝土结构设计规范》</w:t>
      </w:r>
    </w:p>
    <w:p w14:paraId="3F9E9E1F">
      <w:pPr>
        <w:pStyle w:val="12"/>
        <w:ind w:firstLine="420"/>
        <w:rPr>
          <w:rFonts w:hint="eastAsia" w:ascii="宋体" w:hAnsi="宋体" w:eastAsia="宋体" w:cs="宋体"/>
          <w:szCs w:val="21"/>
          <w14:ligatures w14:val="none"/>
        </w:rPr>
      </w:pPr>
      <w:r>
        <w:rPr>
          <w:rFonts w:hint="eastAsia" w:ascii="宋体" w:hAnsi="宋体" w:eastAsia="宋体" w:cs="宋体"/>
          <w:szCs w:val="21"/>
          <w14:ligatures w14:val="none"/>
        </w:rPr>
        <w:t>JGJ100《汽车库建筑设计规范》</w:t>
      </w:r>
    </w:p>
    <w:p w14:paraId="4324D597">
      <w:pPr>
        <w:pStyle w:val="12"/>
        <w:ind w:firstLine="420"/>
        <w:rPr>
          <w:rFonts w:hint="eastAsia" w:ascii="宋体" w:hAnsi="宋体" w:eastAsia="宋体" w:cs="宋体"/>
          <w:szCs w:val="21"/>
          <w14:ligatures w14:val="none"/>
        </w:rPr>
      </w:pPr>
      <w:r>
        <w:rPr>
          <w:rFonts w:hint="eastAsia" w:ascii="宋体" w:hAnsi="宋体" w:eastAsia="宋体" w:cs="宋体"/>
          <w:szCs w:val="21"/>
          <w14:ligatures w14:val="none"/>
        </w:rPr>
        <w:t>GB50067《汽车库、修车库、停车场设计防火规范》</w:t>
      </w:r>
    </w:p>
    <w:p w14:paraId="7722E2E2">
      <w:pPr>
        <w:pStyle w:val="12"/>
        <w:ind w:firstLine="420"/>
        <w:rPr>
          <w:rFonts w:hint="eastAsia" w:ascii="宋体" w:hAnsi="宋体" w:eastAsia="宋体" w:cs="宋体"/>
          <w:szCs w:val="21"/>
          <w14:ligatures w14:val="none"/>
        </w:rPr>
      </w:pPr>
      <w:r>
        <w:rPr>
          <w:rFonts w:hint="eastAsia" w:ascii="宋体" w:hAnsi="宋体" w:eastAsia="宋体" w:cs="宋体"/>
          <w:szCs w:val="21"/>
          <w14:ligatures w14:val="none"/>
        </w:rPr>
        <w:t>GB5768《道路交通标志和标线》</w:t>
      </w:r>
    </w:p>
    <w:p w14:paraId="106700ED">
      <w:pPr>
        <w:pStyle w:val="12"/>
        <w:ind w:firstLine="420"/>
        <w:rPr>
          <w:rFonts w:hint="eastAsia" w:ascii="宋体" w:hAnsi="宋体" w:eastAsia="宋体" w:cs="宋体"/>
          <w:szCs w:val="21"/>
          <w14:ligatures w14:val="none"/>
        </w:rPr>
      </w:pPr>
      <w:r>
        <w:rPr>
          <w:rFonts w:hint="eastAsia" w:ascii="宋体" w:hAnsi="宋体" w:eastAsia="宋体" w:cs="宋体"/>
          <w:szCs w:val="21"/>
          <w14:ligatures w14:val="none"/>
        </w:rPr>
        <w:t>GB/T10001《标识用公用信息图形符号》（系列）</w:t>
      </w:r>
    </w:p>
    <w:p w14:paraId="5A9B2B49">
      <w:pPr>
        <w:pStyle w:val="12"/>
        <w:ind w:firstLine="420"/>
        <w:rPr>
          <w:rFonts w:hint="eastAsia" w:ascii="宋体" w:hAnsi="宋体" w:eastAsia="宋体" w:cs="宋体"/>
          <w:szCs w:val="21"/>
          <w14:ligatures w14:val="none"/>
        </w:rPr>
      </w:pPr>
      <w:r>
        <w:rPr>
          <w:rFonts w:hint="eastAsia" w:ascii="宋体" w:hAnsi="宋体" w:eastAsia="宋体" w:cs="宋体"/>
          <w:szCs w:val="21"/>
          <w14:ligatures w14:val="none"/>
        </w:rPr>
        <w:t>GB/T15566《公共信息导向系统》（系列）</w:t>
      </w:r>
    </w:p>
    <w:p w14:paraId="0DD86949">
      <w:pPr>
        <w:pStyle w:val="12"/>
        <w:ind w:firstLine="420"/>
        <w:rPr>
          <w:rFonts w:hint="eastAsia" w:ascii="宋体" w:hAnsi="宋体" w:eastAsia="宋体" w:cs="宋体"/>
          <w:szCs w:val="21"/>
          <w14:ligatures w14:val="none"/>
        </w:rPr>
      </w:pPr>
      <w:r>
        <w:rPr>
          <w:rFonts w:hint="eastAsia" w:ascii="宋体" w:hAnsi="宋体" w:eastAsia="宋体" w:cs="宋体"/>
          <w:szCs w:val="21"/>
          <w14:ligatures w14:val="none"/>
        </w:rPr>
        <w:t>GB/T20501《公共信息导向系统》（系列）</w:t>
      </w:r>
    </w:p>
    <w:p w14:paraId="424BE039">
      <w:pPr>
        <w:pStyle w:val="12"/>
        <w:ind w:firstLine="420"/>
        <w:rPr>
          <w:rFonts w:hint="eastAsia" w:ascii="宋体" w:hAnsi="宋体" w:eastAsia="宋体" w:cs="宋体"/>
          <w:szCs w:val="21"/>
          <w14:ligatures w14:val="none"/>
        </w:rPr>
      </w:pPr>
      <w:r>
        <w:rPr>
          <w:rFonts w:hint="eastAsia" w:ascii="宋体" w:hAnsi="宋体" w:eastAsia="宋体" w:cs="宋体"/>
          <w:szCs w:val="21"/>
          <w14:ligatures w14:val="none"/>
        </w:rPr>
        <w:t>BG/T8416《视觉信号表面色》</w:t>
      </w:r>
    </w:p>
    <w:p w14:paraId="73E5C837">
      <w:pPr>
        <w:pStyle w:val="12"/>
        <w:ind w:firstLine="420"/>
        <w:rPr>
          <w:rFonts w:hint="eastAsia" w:ascii="宋体" w:hAnsi="宋体" w:eastAsia="宋体" w:cs="宋体"/>
          <w:szCs w:val="21"/>
          <w14:ligatures w14:val="none"/>
        </w:rPr>
      </w:pPr>
      <w:r>
        <w:rPr>
          <w:rFonts w:hint="eastAsia" w:ascii="宋体" w:hAnsi="宋体" w:eastAsia="宋体" w:cs="宋体"/>
          <w:szCs w:val="21"/>
          <w14:ligatures w14:val="none"/>
        </w:rPr>
        <w:t>GB2893《安全色》</w:t>
      </w:r>
    </w:p>
    <w:p w14:paraId="513EDA32">
      <w:pPr>
        <w:pStyle w:val="12"/>
        <w:ind w:firstLine="420"/>
        <w:rPr>
          <w:rFonts w:hint="eastAsia" w:ascii="宋体" w:hAnsi="宋体" w:eastAsia="宋体" w:cs="宋体"/>
          <w:szCs w:val="21"/>
          <w14:ligatures w14:val="none"/>
        </w:rPr>
      </w:pPr>
      <w:r>
        <w:rPr>
          <w:rFonts w:hint="eastAsia" w:ascii="宋体" w:hAnsi="宋体" w:eastAsia="宋体" w:cs="宋体"/>
          <w:szCs w:val="21"/>
          <w14:ligatures w14:val="none"/>
        </w:rPr>
        <w:t>GB13495《消防安全标志》</w:t>
      </w:r>
    </w:p>
    <w:p w14:paraId="73457F83">
      <w:pPr>
        <w:pStyle w:val="12"/>
        <w:ind w:firstLine="420"/>
        <w:rPr>
          <w:rFonts w:hint="eastAsia" w:ascii="宋体" w:hAnsi="宋体" w:eastAsia="宋体" w:cs="宋体"/>
          <w:szCs w:val="21"/>
          <w14:ligatures w14:val="none"/>
        </w:rPr>
      </w:pPr>
      <w:r>
        <w:rPr>
          <w:rFonts w:hint="eastAsia" w:ascii="宋体" w:hAnsi="宋体" w:eastAsia="宋体" w:cs="宋体"/>
          <w:szCs w:val="21"/>
          <w14:ligatures w14:val="none"/>
        </w:rPr>
        <w:t>DBJ01-611《消防安全疏散标志设置标准》</w:t>
      </w:r>
    </w:p>
    <w:p w14:paraId="4C39AC24">
      <w:pPr>
        <w:pStyle w:val="12"/>
        <w:ind w:firstLine="420"/>
        <w:rPr>
          <w:rFonts w:hint="eastAsia" w:ascii="宋体" w:hAnsi="宋体" w:eastAsia="宋体" w:cs="宋体"/>
          <w:szCs w:val="21"/>
          <w14:ligatures w14:val="none"/>
        </w:rPr>
      </w:pPr>
      <w:r>
        <w:rPr>
          <w:rFonts w:hint="eastAsia" w:ascii="宋体" w:hAnsi="宋体" w:eastAsia="宋体" w:cs="宋体"/>
          <w:szCs w:val="21"/>
          <w14:ligatures w14:val="none"/>
        </w:rPr>
        <w:t>GB7000.1《灯具一般安全要求与试验》</w:t>
      </w:r>
    </w:p>
    <w:p w14:paraId="5B8DBC1D">
      <w:pPr>
        <w:pStyle w:val="12"/>
        <w:ind w:firstLine="420"/>
        <w:rPr>
          <w:rFonts w:hint="eastAsia" w:ascii="宋体" w:hAnsi="宋体" w:eastAsia="宋体" w:cs="宋体"/>
          <w:szCs w:val="21"/>
          <w14:ligatures w14:val="none"/>
        </w:rPr>
      </w:pPr>
      <w:r>
        <w:rPr>
          <w:rFonts w:hint="eastAsia" w:ascii="宋体" w:hAnsi="宋体" w:eastAsia="宋体" w:cs="宋体"/>
          <w:szCs w:val="21"/>
          <w14:ligatures w14:val="none"/>
        </w:rPr>
        <w:t>G/T9174一般货物运输包装通用技术条件</w:t>
      </w:r>
    </w:p>
    <w:p w14:paraId="677698F9">
      <w:pPr>
        <w:pStyle w:val="12"/>
        <w:ind w:firstLine="420"/>
        <w:rPr>
          <w:rFonts w:hint="eastAsia" w:ascii="宋体" w:hAnsi="宋体" w:eastAsia="宋体" w:cs="宋体"/>
          <w:szCs w:val="21"/>
          <w14:ligatures w14:val="none"/>
        </w:rPr>
      </w:pPr>
      <w:r>
        <w:rPr>
          <w:rFonts w:hint="eastAsia" w:ascii="宋体" w:hAnsi="宋体" w:eastAsia="宋体" w:cs="宋体"/>
          <w:szCs w:val="21"/>
          <w14:ligatures w14:val="none"/>
        </w:rPr>
        <w:t>GB/T1720《漆膜附着力测定法》</w:t>
      </w:r>
    </w:p>
    <w:p w14:paraId="4BD76CA3">
      <w:pPr>
        <w:pStyle w:val="12"/>
        <w:ind w:firstLine="420"/>
        <w:rPr>
          <w:rFonts w:hint="eastAsia" w:ascii="宋体" w:hAnsi="宋体" w:eastAsia="宋体" w:cs="宋体"/>
          <w:szCs w:val="21"/>
          <w14:ligatures w14:val="none"/>
        </w:rPr>
      </w:pPr>
      <w:r>
        <w:rPr>
          <w:rFonts w:hint="eastAsia" w:ascii="宋体" w:hAnsi="宋体" w:eastAsia="宋体" w:cs="宋体"/>
          <w:szCs w:val="21"/>
          <w14:ligatures w14:val="none"/>
        </w:rPr>
        <w:t>GB-T9755合成树脂乳液外墙涂料</w:t>
      </w:r>
    </w:p>
    <w:p w14:paraId="226F7D70">
      <w:pPr>
        <w:pStyle w:val="12"/>
        <w:ind w:firstLine="420"/>
        <w:rPr>
          <w:rFonts w:hint="eastAsia" w:ascii="宋体" w:hAnsi="宋体" w:eastAsia="宋体" w:cs="宋体"/>
          <w:szCs w:val="21"/>
          <w14:ligatures w14:val="none"/>
        </w:rPr>
      </w:pPr>
      <w:r>
        <w:rPr>
          <w:rFonts w:hint="eastAsia" w:ascii="宋体" w:hAnsi="宋体" w:eastAsia="宋体" w:cs="宋体"/>
          <w:szCs w:val="21"/>
          <w14:ligatures w14:val="none"/>
        </w:rPr>
        <w:t>GB-T9756合成树脂乳液内墙涂料</w:t>
      </w:r>
    </w:p>
    <w:p w14:paraId="2A2BEB75">
      <w:pPr>
        <w:pStyle w:val="12"/>
        <w:ind w:firstLine="420"/>
        <w:rPr>
          <w:rFonts w:hint="eastAsia" w:ascii="宋体" w:hAnsi="宋体" w:eastAsia="宋体" w:cs="宋体"/>
          <w:szCs w:val="21"/>
          <w14:ligatures w14:val="none"/>
        </w:rPr>
      </w:pPr>
      <w:r>
        <w:rPr>
          <w:rFonts w:hint="eastAsia" w:ascii="宋体" w:hAnsi="宋体" w:eastAsia="宋体" w:cs="宋体"/>
          <w:szCs w:val="21"/>
          <w14:ligatures w14:val="none"/>
        </w:rPr>
        <w:t>注：以上标准为现行国家或行业标准</w:t>
      </w:r>
    </w:p>
    <w:p w14:paraId="71F4C310">
      <w:pPr>
        <w:pStyle w:val="4"/>
        <w:rPr>
          <w:rFonts w:hint="eastAsia" w:ascii="宋体" w:hAnsi="宋体" w:eastAsia="宋体" w:cs="宋体"/>
        </w:rPr>
      </w:pPr>
      <w:bookmarkStart w:id="124" w:name="_Toc24839"/>
      <w:bookmarkStart w:id="125" w:name="_Toc4957"/>
      <w:r>
        <w:rPr>
          <w:rFonts w:hint="eastAsia" w:ascii="宋体" w:hAnsi="宋体" w:eastAsia="宋体" w:cs="宋体"/>
        </w:rPr>
        <w:t>系统描述</w:t>
      </w:r>
      <w:bookmarkEnd w:id="124"/>
      <w:bookmarkEnd w:id="125"/>
    </w:p>
    <w:p w14:paraId="55EC3BAA">
      <w:pPr>
        <w:pStyle w:val="5"/>
        <w:rPr>
          <w:rFonts w:hint="eastAsia" w:ascii="宋体" w:hAnsi="宋体" w:eastAsia="宋体" w:cs="宋体"/>
        </w:rPr>
      </w:pPr>
      <w:r>
        <w:rPr>
          <w:rFonts w:hint="eastAsia" w:ascii="宋体" w:hAnsi="宋体" w:eastAsia="宋体" w:cs="宋体"/>
        </w:rPr>
        <w:t>深化设计要求</w:t>
      </w:r>
    </w:p>
    <w:p w14:paraId="62B9D687">
      <w:pPr>
        <w:pStyle w:val="12"/>
        <w:numPr>
          <w:ilvl w:val="1"/>
          <w:numId w:val="26"/>
        </w:numPr>
        <w:ind w:left="0" w:firstLine="0" w:firstLineChars="0"/>
        <w:rPr>
          <w:rFonts w:hint="eastAsia" w:ascii="宋体" w:hAnsi="宋体" w:eastAsia="宋体" w:cs="宋体"/>
          <w:szCs w:val="21"/>
          <w14:ligatures w14:val="none"/>
        </w:rPr>
      </w:pPr>
      <w:r>
        <w:rPr>
          <w:rFonts w:hint="eastAsia" w:ascii="宋体" w:hAnsi="宋体" w:eastAsia="宋体" w:cs="宋体"/>
          <w:szCs w:val="21"/>
          <w14:ligatures w14:val="none"/>
        </w:rPr>
        <w:t>概述：设计方案图纸所表达的设计方案，目的在于传达设计意图，这些文件应做为施工图深化设计的指导和依据。最终的施工图纸由标识施工方深化完成。标识施工方需根据设计方案图纸和被确认的施工图纸，完成标识的制造及安装。</w:t>
      </w:r>
    </w:p>
    <w:p w14:paraId="0E67D6DB">
      <w:pPr>
        <w:pStyle w:val="12"/>
        <w:numPr>
          <w:ilvl w:val="1"/>
          <w:numId w:val="26"/>
        </w:numPr>
        <w:ind w:left="0" w:firstLine="0" w:firstLineChars="0"/>
        <w:rPr>
          <w:rFonts w:hint="eastAsia" w:ascii="宋体" w:hAnsi="宋体" w:eastAsia="宋体" w:cs="宋体"/>
          <w:szCs w:val="21"/>
          <w14:ligatures w14:val="none"/>
        </w:rPr>
      </w:pPr>
      <w:r>
        <w:rPr>
          <w:rFonts w:hint="eastAsia" w:ascii="宋体" w:hAnsi="宋体" w:eastAsia="宋体" w:cs="宋体"/>
          <w:szCs w:val="21"/>
          <w14:ligatures w14:val="none"/>
        </w:rPr>
        <w:t>字体、标志基本要素：设计方案中使用的所有具有相关知识产权的标志，仅供定位和确定体量，由</w:t>
      </w:r>
      <w:r>
        <w:rPr>
          <w:rFonts w:hint="eastAsia" w:ascii="宋体" w:hAnsi="宋体" w:eastAsia="宋体" w:cs="宋体"/>
          <w:szCs w:val="21"/>
          <w:lang w:eastAsia="zh-CN"/>
          <w14:ligatures w14:val="none"/>
        </w:rPr>
        <w:t>建设单位</w:t>
      </w:r>
      <w:r>
        <w:rPr>
          <w:rFonts w:hint="eastAsia" w:ascii="宋体" w:hAnsi="宋体" w:eastAsia="宋体" w:cs="宋体"/>
          <w:szCs w:val="21"/>
          <w14:ligatures w14:val="none"/>
        </w:rPr>
        <w:t>提供实物标志。设计方案中使用的中英文字体，目的在于传达设计意图，相关的中英文字体，需由</w:t>
      </w:r>
      <w:r>
        <w:rPr>
          <w:rFonts w:hint="eastAsia" w:ascii="宋体" w:hAnsi="宋体" w:eastAsia="宋体" w:cs="宋体"/>
          <w:szCs w:val="21"/>
          <w:lang w:eastAsia="zh-CN"/>
          <w14:ligatures w14:val="none"/>
        </w:rPr>
        <w:t>建设单位</w:t>
      </w:r>
      <w:r>
        <w:rPr>
          <w:rFonts w:hint="eastAsia" w:ascii="宋体" w:hAnsi="宋体" w:eastAsia="宋体" w:cs="宋体"/>
          <w:szCs w:val="21"/>
          <w14:ligatures w14:val="none"/>
        </w:rPr>
        <w:t>提供。</w:t>
      </w:r>
    </w:p>
    <w:p w14:paraId="40AA52EB">
      <w:pPr>
        <w:pStyle w:val="12"/>
        <w:numPr>
          <w:ilvl w:val="1"/>
          <w:numId w:val="26"/>
        </w:numPr>
        <w:ind w:left="0" w:firstLine="0" w:firstLineChars="0"/>
        <w:rPr>
          <w:rFonts w:hint="eastAsia" w:ascii="宋体" w:hAnsi="宋体" w:eastAsia="宋体" w:cs="宋体"/>
          <w:szCs w:val="21"/>
          <w14:ligatures w14:val="none"/>
        </w:rPr>
      </w:pPr>
      <w:r>
        <w:rPr>
          <w:rFonts w:hint="eastAsia" w:ascii="宋体" w:hAnsi="宋体" w:eastAsia="宋体" w:cs="宋体"/>
          <w:szCs w:val="21"/>
          <w14:ligatures w14:val="none"/>
        </w:rPr>
        <w:t>标识规划布置设计要素：标识施工方根据设计方提供的《招标图册》标识布置点位进行现场踏勘，经</w:t>
      </w:r>
      <w:r>
        <w:rPr>
          <w:rFonts w:hint="eastAsia" w:ascii="宋体" w:hAnsi="宋体" w:eastAsia="宋体" w:cs="宋体"/>
          <w:szCs w:val="21"/>
          <w:lang w:eastAsia="zh-CN"/>
          <w14:ligatures w14:val="none"/>
        </w:rPr>
        <w:t>建设单位</w:t>
      </w:r>
      <w:r>
        <w:rPr>
          <w:rFonts w:hint="eastAsia" w:ascii="宋体" w:hAnsi="宋体" w:eastAsia="宋体" w:cs="宋体"/>
          <w:szCs w:val="21"/>
          <w14:ligatures w14:val="none"/>
        </w:rPr>
        <w:t>、设计方确认无误后方可实施。设计方用DWG格式提供。</w:t>
      </w:r>
    </w:p>
    <w:p w14:paraId="613BE686">
      <w:pPr>
        <w:pStyle w:val="12"/>
        <w:numPr>
          <w:ilvl w:val="1"/>
          <w:numId w:val="26"/>
        </w:numPr>
        <w:ind w:left="0" w:firstLine="0" w:firstLineChars="0"/>
        <w:rPr>
          <w:rFonts w:hint="eastAsia" w:ascii="宋体" w:hAnsi="宋体" w:eastAsia="宋体" w:cs="宋体"/>
          <w:szCs w:val="21"/>
          <w14:ligatures w14:val="none"/>
        </w:rPr>
      </w:pPr>
      <w:r>
        <w:rPr>
          <w:rFonts w:hint="eastAsia" w:ascii="宋体" w:hAnsi="宋体" w:eastAsia="宋体" w:cs="宋体"/>
          <w:szCs w:val="21"/>
          <w14:ligatures w14:val="none"/>
        </w:rPr>
        <w:t>规范与审批：标识施工方必须向</w:t>
      </w:r>
      <w:r>
        <w:rPr>
          <w:rFonts w:hint="eastAsia" w:ascii="宋体" w:hAnsi="宋体" w:eastAsia="宋体" w:cs="宋体"/>
          <w:szCs w:val="21"/>
          <w:lang w:eastAsia="zh-CN"/>
          <w14:ligatures w14:val="none"/>
        </w:rPr>
        <w:t>建设单位</w:t>
      </w:r>
      <w:r>
        <w:rPr>
          <w:rFonts w:hint="eastAsia" w:ascii="宋体" w:hAnsi="宋体" w:eastAsia="宋体" w:cs="宋体"/>
          <w:szCs w:val="21"/>
          <w14:ligatures w14:val="none"/>
        </w:rPr>
        <w:t>确认当地所有适用的相关标准及技术规范；施工方与</w:t>
      </w:r>
      <w:r>
        <w:rPr>
          <w:rFonts w:hint="eastAsia" w:ascii="宋体" w:hAnsi="宋体" w:eastAsia="宋体" w:cs="宋体"/>
          <w:szCs w:val="21"/>
          <w:lang w:eastAsia="zh-CN"/>
          <w14:ligatures w14:val="none"/>
        </w:rPr>
        <w:t>建设单位</w:t>
      </w:r>
      <w:r>
        <w:rPr>
          <w:rFonts w:hint="eastAsia" w:ascii="宋体" w:hAnsi="宋体" w:eastAsia="宋体" w:cs="宋体"/>
          <w:szCs w:val="21"/>
          <w14:ligatures w14:val="none"/>
        </w:rPr>
        <w:t>协调并配合完成所有需要政府部门审批的工作。</w:t>
      </w:r>
    </w:p>
    <w:p w14:paraId="520784C3">
      <w:pPr>
        <w:pStyle w:val="12"/>
        <w:numPr>
          <w:ilvl w:val="1"/>
          <w:numId w:val="26"/>
        </w:numPr>
        <w:ind w:left="0" w:firstLine="0" w:firstLineChars="0"/>
        <w:rPr>
          <w:rFonts w:hint="eastAsia" w:ascii="宋体" w:hAnsi="宋体" w:eastAsia="宋体" w:cs="宋体"/>
          <w:szCs w:val="21"/>
          <w14:ligatures w14:val="none"/>
        </w:rPr>
      </w:pPr>
      <w:r>
        <w:rPr>
          <w:rFonts w:hint="eastAsia" w:ascii="宋体" w:hAnsi="宋体" w:eastAsia="宋体" w:cs="宋体"/>
          <w:szCs w:val="21"/>
          <w14:ligatures w14:val="none"/>
        </w:rPr>
        <w:t>施工图深化设计：标识施工方必须对项目工程中所有标识的外形、外观、电气及结构设计负全部责任，包括所有的结构部分和扣件。所有关于结构计算部分，需标识施工方和相关结构设计院现场核实标识结构及结构基座。所有关于电气部分，标识施工方除符合相关规范要求外并按可以隐藏的尽量隐藏，不能隐藏的按整齐理性的原则进行布置。</w:t>
      </w:r>
    </w:p>
    <w:p w14:paraId="057CFDC4">
      <w:pPr>
        <w:pStyle w:val="12"/>
        <w:numPr>
          <w:ilvl w:val="1"/>
          <w:numId w:val="26"/>
        </w:numPr>
        <w:ind w:left="0" w:firstLine="0" w:firstLineChars="0"/>
        <w:rPr>
          <w:rFonts w:hint="eastAsia" w:ascii="宋体" w:hAnsi="宋体" w:eastAsia="宋体" w:cs="宋体"/>
          <w:szCs w:val="21"/>
          <w14:ligatures w14:val="none"/>
        </w:rPr>
      </w:pPr>
      <w:r>
        <w:rPr>
          <w:rFonts w:hint="eastAsia" w:ascii="宋体" w:hAnsi="宋体" w:eastAsia="宋体" w:cs="宋体"/>
          <w:szCs w:val="21"/>
          <w14:ligatures w14:val="none"/>
        </w:rPr>
        <w:t>修改与变更：标识施工方应做好准备以应对所有可能发生的修改或变更，如标识的版面内容、设置位置及朝向等，并且紧密配合</w:t>
      </w:r>
      <w:r>
        <w:rPr>
          <w:rFonts w:hint="eastAsia" w:ascii="宋体" w:hAnsi="宋体" w:eastAsia="宋体" w:cs="宋体"/>
          <w:szCs w:val="21"/>
          <w:lang w:eastAsia="zh-CN"/>
          <w14:ligatures w14:val="none"/>
        </w:rPr>
        <w:t>建设单位</w:t>
      </w:r>
      <w:r>
        <w:rPr>
          <w:rFonts w:hint="eastAsia" w:ascii="宋体" w:hAnsi="宋体" w:eastAsia="宋体" w:cs="宋体"/>
          <w:szCs w:val="21"/>
          <w14:ligatures w14:val="none"/>
        </w:rPr>
        <w:t>工作，不得延误工期。</w:t>
      </w:r>
    </w:p>
    <w:p w14:paraId="27200246">
      <w:pPr>
        <w:pStyle w:val="12"/>
        <w:numPr>
          <w:ilvl w:val="1"/>
          <w:numId w:val="26"/>
        </w:numPr>
        <w:ind w:left="0" w:firstLine="0" w:firstLineChars="0"/>
        <w:rPr>
          <w:rFonts w:hint="eastAsia" w:ascii="宋体" w:hAnsi="宋体" w:eastAsia="宋体" w:cs="宋体"/>
          <w:szCs w:val="21"/>
          <w14:ligatures w14:val="none"/>
        </w:rPr>
      </w:pPr>
      <w:r>
        <w:rPr>
          <w:rFonts w:hint="eastAsia" w:ascii="宋体" w:hAnsi="宋体" w:eastAsia="宋体" w:cs="宋体"/>
          <w:szCs w:val="21"/>
          <w14:ligatures w14:val="none"/>
        </w:rPr>
        <w:t>施工协调：标识施工方全权负责与工作有关的所有其它专业协调，以确保操作有序。根据要求提供所需的预埋、锚固、扣件和嵌装等项目，不得延误工期。</w:t>
      </w:r>
    </w:p>
    <w:p w14:paraId="12040881">
      <w:pPr>
        <w:pStyle w:val="5"/>
        <w:rPr>
          <w:rFonts w:hint="eastAsia" w:ascii="宋体" w:hAnsi="宋体" w:eastAsia="宋体" w:cs="宋体"/>
        </w:rPr>
      </w:pPr>
      <w:r>
        <w:rPr>
          <w:rFonts w:hint="eastAsia" w:ascii="宋体" w:hAnsi="宋体" w:eastAsia="宋体" w:cs="宋体"/>
        </w:rPr>
        <w:t>性能要求</w:t>
      </w:r>
    </w:p>
    <w:p w14:paraId="3FC704DF">
      <w:pPr>
        <w:pStyle w:val="12"/>
        <w:numPr>
          <w:ilvl w:val="1"/>
          <w:numId w:val="27"/>
        </w:numPr>
        <w:ind w:left="0" w:firstLine="0" w:firstLineChars="0"/>
        <w:rPr>
          <w:rFonts w:hint="eastAsia" w:ascii="宋体" w:hAnsi="宋体" w:eastAsia="宋体" w:cs="宋体"/>
          <w:szCs w:val="21"/>
          <w14:ligatures w14:val="none"/>
        </w:rPr>
      </w:pPr>
      <w:r>
        <w:rPr>
          <w:rFonts w:hint="eastAsia" w:ascii="宋体" w:hAnsi="宋体" w:eastAsia="宋体" w:cs="宋体"/>
          <w:szCs w:val="21"/>
          <w14:ligatures w14:val="none"/>
        </w:rPr>
        <w:t>设计修改：只允许符合设计标准而需要的修改。标识施工方必须递交修改后的详图和相关材料样板供</w:t>
      </w:r>
      <w:r>
        <w:rPr>
          <w:rFonts w:hint="eastAsia" w:ascii="宋体" w:hAnsi="宋体" w:eastAsia="宋体" w:cs="宋体"/>
          <w:szCs w:val="21"/>
          <w:lang w:eastAsia="zh-CN"/>
          <w14:ligatures w14:val="none"/>
        </w:rPr>
        <w:t>建设单位</w:t>
      </w:r>
      <w:r>
        <w:rPr>
          <w:rFonts w:hint="eastAsia" w:ascii="宋体" w:hAnsi="宋体" w:eastAsia="宋体" w:cs="宋体"/>
          <w:szCs w:val="21"/>
          <w14:ligatures w14:val="none"/>
        </w:rPr>
        <w:t>、设计方审批。施工方在进行深化设计时必须保持总体的设计概念，不得更改外形或外观且必须保证材料强度及标识的耐久性。</w:t>
      </w:r>
    </w:p>
    <w:p w14:paraId="5112A7D7">
      <w:pPr>
        <w:pStyle w:val="12"/>
        <w:numPr>
          <w:ilvl w:val="1"/>
          <w:numId w:val="27"/>
        </w:numPr>
        <w:ind w:left="0" w:firstLine="0" w:firstLineChars="0"/>
        <w:rPr>
          <w:rFonts w:hint="eastAsia" w:ascii="宋体" w:hAnsi="宋体" w:eastAsia="宋体" w:cs="宋体"/>
          <w:szCs w:val="21"/>
          <w14:ligatures w14:val="none"/>
        </w:rPr>
      </w:pPr>
      <w:r>
        <w:rPr>
          <w:rFonts w:hint="eastAsia" w:ascii="宋体" w:hAnsi="宋体" w:eastAsia="宋体" w:cs="宋体"/>
          <w:szCs w:val="21"/>
          <w14:ligatures w14:val="none"/>
        </w:rPr>
        <w:t>热胀冷缩：必须保证标识在高温（周围温度40℃和表面温度82℃）环境内伸缩不会产生褶皱，承受压力时不会变形，以及产生其它不良影响。</w:t>
      </w:r>
    </w:p>
    <w:p w14:paraId="53BDD239">
      <w:pPr>
        <w:pStyle w:val="12"/>
        <w:numPr>
          <w:ilvl w:val="1"/>
          <w:numId w:val="27"/>
        </w:numPr>
        <w:ind w:left="0" w:firstLine="0" w:firstLineChars="0"/>
        <w:rPr>
          <w:rFonts w:hint="eastAsia" w:ascii="宋体" w:hAnsi="宋体" w:eastAsia="宋体" w:cs="宋体"/>
          <w:szCs w:val="21"/>
          <w14:ligatures w14:val="none"/>
        </w:rPr>
      </w:pPr>
      <w:r>
        <w:rPr>
          <w:rFonts w:hint="eastAsia" w:ascii="宋体" w:hAnsi="宋体" w:eastAsia="宋体" w:cs="宋体"/>
          <w:szCs w:val="21"/>
          <w14:ligatures w14:val="none"/>
        </w:rPr>
        <w:t>设计安全系数：各种材料及工艺应按照行业标准设计程序及安全系数来完成。并保证在设计荷载下限的1.5 倍时，不能出现永久变形、焊接或扣件失效，组成结构脱离或破损。永久变形指破损、脱离或位移而且不能恢复原状。</w:t>
      </w:r>
    </w:p>
    <w:p w14:paraId="3436BCDC">
      <w:pPr>
        <w:pStyle w:val="5"/>
        <w:rPr>
          <w:rFonts w:hint="eastAsia" w:ascii="宋体" w:hAnsi="宋体" w:eastAsia="宋体" w:cs="宋体"/>
        </w:rPr>
      </w:pPr>
      <w:r>
        <w:rPr>
          <w:rFonts w:hint="eastAsia" w:ascii="宋体" w:hAnsi="宋体" w:eastAsia="宋体" w:cs="宋体"/>
        </w:rPr>
        <w:t>提交文件</w:t>
      </w:r>
    </w:p>
    <w:p w14:paraId="32F809D5">
      <w:pPr>
        <w:pStyle w:val="12"/>
        <w:numPr>
          <w:ilvl w:val="0"/>
          <w:numId w:val="28"/>
        </w:numPr>
        <w:ind w:left="0" w:firstLine="0" w:firstLineChars="0"/>
        <w:rPr>
          <w:rFonts w:hint="eastAsia" w:ascii="宋体" w:hAnsi="宋体" w:eastAsia="宋体" w:cs="宋体"/>
          <w:szCs w:val="21"/>
          <w14:ligatures w14:val="none"/>
        </w:rPr>
      </w:pPr>
      <w:r>
        <w:rPr>
          <w:rFonts w:hint="eastAsia" w:ascii="宋体" w:hAnsi="宋体" w:eastAsia="宋体" w:cs="宋体"/>
          <w:szCs w:val="21"/>
          <w14:ligatures w14:val="none"/>
        </w:rPr>
        <w:t>产品资料：标识施工方必须提供深化设计图纸供项目公司、设计方审核，除深化设计图纸外，需包括但不限于材料说明书、检验报告、数据、产品性能和工作中使用产品的安装指南；</w:t>
      </w:r>
    </w:p>
    <w:p w14:paraId="709DF5E9">
      <w:pPr>
        <w:pStyle w:val="12"/>
        <w:numPr>
          <w:ilvl w:val="0"/>
          <w:numId w:val="28"/>
        </w:numPr>
        <w:ind w:left="0" w:firstLine="0" w:firstLineChars="0"/>
        <w:rPr>
          <w:rFonts w:hint="eastAsia" w:ascii="宋体" w:hAnsi="宋体" w:eastAsia="宋体" w:cs="宋体"/>
          <w:szCs w:val="21"/>
          <w14:ligatures w14:val="none"/>
        </w:rPr>
      </w:pPr>
      <w:r>
        <w:rPr>
          <w:rFonts w:hint="eastAsia" w:ascii="宋体" w:hAnsi="宋体" w:eastAsia="宋体" w:cs="宋体"/>
          <w:szCs w:val="21"/>
          <w14:ligatures w14:val="none"/>
        </w:rPr>
        <w:t>深化图纸：包括但不限于平面图，立面图；尺寸、剖面图、详图和固定方法；所有标识及其组成部分的固定位置、颜色和材料。显示锚固、加固、附件、布局和安装详图。标识施工方应踏勘标识规划位置的现场条件，并在编制深化图纸前进行现场测量。</w:t>
      </w:r>
    </w:p>
    <w:p w14:paraId="76EFDB0F">
      <w:pPr>
        <w:pStyle w:val="12"/>
        <w:numPr>
          <w:ilvl w:val="0"/>
          <w:numId w:val="28"/>
        </w:numPr>
        <w:ind w:left="0" w:firstLine="0" w:firstLineChars="0"/>
        <w:rPr>
          <w:rFonts w:hint="eastAsia" w:ascii="宋体" w:hAnsi="宋体" w:eastAsia="宋体" w:cs="宋体"/>
          <w:szCs w:val="21"/>
          <w14:ligatures w14:val="none"/>
        </w:rPr>
      </w:pPr>
      <w:r>
        <w:rPr>
          <w:rFonts w:hint="eastAsia" w:ascii="宋体" w:hAnsi="宋体" w:eastAsia="宋体" w:cs="宋体"/>
          <w:szCs w:val="21"/>
          <w14:ligatures w14:val="none"/>
        </w:rPr>
        <w:t>结构工程设计计算书：标识施工方应递交关于标识系统的完整的设计计算书。设计计算书包括但不局限于：设计标准和应用规范、参考标准、材料、计算荷载（包括风力、施加力、自重等其他荷载），以及设计分析和标识框架、基座和连接图纸。计算书应有页数和目录。计算书上应有相关专业执照和相关经验的结构工程师的签字，并加盖所在单位的公章。</w:t>
      </w:r>
    </w:p>
    <w:p w14:paraId="6AB3D28C">
      <w:pPr>
        <w:pStyle w:val="5"/>
        <w:rPr>
          <w:rFonts w:hint="eastAsia" w:ascii="宋体" w:hAnsi="宋体" w:eastAsia="宋体" w:cs="宋体"/>
        </w:rPr>
      </w:pPr>
      <w:r>
        <w:rPr>
          <w:rFonts w:hint="eastAsia" w:ascii="宋体" w:hAnsi="宋体" w:eastAsia="宋体" w:cs="宋体"/>
        </w:rPr>
        <w:t>维护计划书</w:t>
      </w:r>
    </w:p>
    <w:p w14:paraId="0FA127B1">
      <w:pPr>
        <w:pStyle w:val="12"/>
        <w:ind w:firstLine="420"/>
        <w:rPr>
          <w:rFonts w:hint="eastAsia" w:ascii="宋体" w:hAnsi="宋体" w:eastAsia="宋体" w:cs="宋体"/>
          <w:szCs w:val="21"/>
          <w14:ligatures w14:val="none"/>
        </w:rPr>
      </w:pPr>
      <w:r>
        <w:rPr>
          <w:rFonts w:hint="eastAsia" w:ascii="宋体" w:hAnsi="宋体" w:eastAsia="宋体" w:cs="宋体"/>
          <w:szCs w:val="21"/>
          <w14:ligatures w14:val="none"/>
        </w:rPr>
        <w:t>标识施工方必须提供</w:t>
      </w:r>
      <w:r>
        <w:rPr>
          <w:rFonts w:hint="eastAsia" w:ascii="宋体" w:hAnsi="宋体" w:eastAsia="宋体" w:cs="宋体"/>
          <w:szCs w:val="21"/>
          <w:lang w:eastAsia="zh-CN"/>
          <w14:ligatures w14:val="none"/>
        </w:rPr>
        <w:t>建设单位</w:t>
      </w:r>
      <w:r>
        <w:rPr>
          <w:rFonts w:hint="eastAsia" w:ascii="宋体" w:hAnsi="宋体" w:eastAsia="宋体" w:cs="宋体"/>
          <w:szCs w:val="21"/>
          <w14:ligatures w14:val="none"/>
        </w:rPr>
        <w:t>整个导向系统的运营维护计划。包括但不限于：</w:t>
      </w:r>
    </w:p>
    <w:p w14:paraId="347C7B2E">
      <w:pPr>
        <w:pStyle w:val="12"/>
        <w:numPr>
          <w:ilvl w:val="0"/>
          <w:numId w:val="29"/>
        </w:numPr>
        <w:ind w:left="0" w:firstLine="420"/>
        <w:rPr>
          <w:rFonts w:hint="eastAsia" w:ascii="宋体" w:hAnsi="宋体" w:eastAsia="宋体" w:cs="宋体"/>
          <w:szCs w:val="21"/>
          <w14:ligatures w14:val="none"/>
        </w:rPr>
      </w:pPr>
      <w:r>
        <w:rPr>
          <w:rFonts w:hint="eastAsia" w:ascii="宋体" w:hAnsi="宋体" w:eastAsia="宋体" w:cs="宋体"/>
          <w:szCs w:val="21"/>
          <w14:ligatures w14:val="none"/>
        </w:rPr>
        <w:t>标识制造、安装的竣工图纸；</w:t>
      </w:r>
    </w:p>
    <w:p w14:paraId="268E714C">
      <w:pPr>
        <w:pStyle w:val="12"/>
        <w:numPr>
          <w:ilvl w:val="0"/>
          <w:numId w:val="29"/>
        </w:numPr>
        <w:ind w:left="0" w:firstLine="420"/>
        <w:rPr>
          <w:rFonts w:hint="eastAsia" w:ascii="宋体" w:hAnsi="宋体" w:eastAsia="宋体" w:cs="宋体"/>
          <w:szCs w:val="21"/>
          <w14:ligatures w14:val="none"/>
        </w:rPr>
      </w:pPr>
      <w:r>
        <w:rPr>
          <w:rFonts w:hint="eastAsia" w:ascii="宋体" w:hAnsi="宋体" w:eastAsia="宋体" w:cs="宋体"/>
          <w:szCs w:val="21"/>
          <w14:ligatures w14:val="none"/>
        </w:rPr>
        <w:t>标识的配件清单及供应商列表；</w:t>
      </w:r>
    </w:p>
    <w:p w14:paraId="419D456E">
      <w:pPr>
        <w:pStyle w:val="12"/>
        <w:numPr>
          <w:ilvl w:val="0"/>
          <w:numId w:val="29"/>
        </w:numPr>
        <w:ind w:left="0" w:firstLine="420"/>
        <w:rPr>
          <w:rFonts w:hint="eastAsia" w:ascii="宋体" w:hAnsi="宋体" w:eastAsia="宋体" w:cs="宋体"/>
          <w:szCs w:val="21"/>
          <w14:ligatures w14:val="none"/>
        </w:rPr>
      </w:pPr>
      <w:r>
        <w:rPr>
          <w:rFonts w:hint="eastAsia" w:ascii="宋体" w:hAnsi="宋体" w:eastAsia="宋体" w:cs="宋体"/>
          <w:szCs w:val="21"/>
          <w14:ligatures w14:val="none"/>
        </w:rPr>
        <w:t>备品、备件清单；</w:t>
      </w:r>
    </w:p>
    <w:p w14:paraId="497D581D">
      <w:pPr>
        <w:pStyle w:val="12"/>
        <w:numPr>
          <w:ilvl w:val="0"/>
          <w:numId w:val="29"/>
        </w:numPr>
        <w:ind w:left="0" w:firstLine="420"/>
        <w:rPr>
          <w:rFonts w:hint="eastAsia" w:ascii="宋体" w:hAnsi="宋体" w:eastAsia="宋体" w:cs="宋体"/>
          <w:szCs w:val="21"/>
          <w14:ligatures w14:val="none"/>
        </w:rPr>
      </w:pPr>
      <w:r>
        <w:rPr>
          <w:rFonts w:hint="eastAsia" w:ascii="宋体" w:hAnsi="宋体" w:eastAsia="宋体" w:cs="宋体"/>
          <w:szCs w:val="21"/>
          <w14:ligatures w14:val="none"/>
        </w:rPr>
        <w:t>维护及信息内容更换的操作说明；</w:t>
      </w:r>
    </w:p>
    <w:p w14:paraId="68AA317D">
      <w:pPr>
        <w:pStyle w:val="12"/>
        <w:numPr>
          <w:ilvl w:val="0"/>
          <w:numId w:val="29"/>
        </w:numPr>
        <w:ind w:left="0" w:firstLine="420"/>
        <w:rPr>
          <w:rFonts w:hint="eastAsia" w:ascii="宋体" w:hAnsi="宋体" w:eastAsia="宋体" w:cs="宋体"/>
          <w:szCs w:val="21"/>
          <w14:ligatures w14:val="none"/>
        </w:rPr>
      </w:pPr>
      <w:r>
        <w:rPr>
          <w:rFonts w:hint="eastAsia" w:ascii="宋体" w:hAnsi="宋体" w:eastAsia="宋体" w:cs="宋体"/>
          <w:szCs w:val="21"/>
          <w14:ligatures w14:val="none"/>
        </w:rPr>
        <w:t>定期检查、清洗和饰面维修的详细程序及承诺书。</w:t>
      </w:r>
    </w:p>
    <w:p w14:paraId="64398A42">
      <w:pPr>
        <w:pStyle w:val="5"/>
        <w:rPr>
          <w:rFonts w:hint="eastAsia" w:ascii="宋体" w:hAnsi="宋体" w:eastAsia="宋体" w:cs="宋体"/>
        </w:rPr>
      </w:pPr>
      <w:r>
        <w:rPr>
          <w:rFonts w:hint="eastAsia" w:ascii="宋体" w:hAnsi="宋体" w:eastAsia="宋体" w:cs="宋体"/>
        </w:rPr>
        <w:t>质量保证</w:t>
      </w:r>
    </w:p>
    <w:p w14:paraId="3A5A26A1">
      <w:pPr>
        <w:pStyle w:val="12"/>
        <w:numPr>
          <w:ilvl w:val="0"/>
          <w:numId w:val="0"/>
        </w:numPr>
        <w:ind w:leftChars="0"/>
        <w:rPr>
          <w:rFonts w:hint="eastAsia" w:ascii="宋体" w:hAnsi="宋体" w:eastAsia="宋体" w:cs="宋体"/>
          <w:szCs w:val="21"/>
          <w14:ligatures w14:val="none"/>
        </w:rPr>
      </w:pPr>
      <w:r>
        <w:rPr>
          <w:rFonts w:hint="eastAsia" w:ascii="宋体" w:hAnsi="宋体" w:eastAsia="宋体" w:cs="宋体"/>
          <w:szCs w:val="21"/>
          <w:lang w:val="en-US" w:eastAsia="zh-CN"/>
          <w14:ligatures w14:val="none"/>
        </w:rPr>
        <w:t>1.</w:t>
      </w:r>
      <w:r>
        <w:rPr>
          <w:rFonts w:hint="eastAsia" w:ascii="宋体" w:hAnsi="宋体" w:eastAsia="宋体" w:cs="宋体"/>
          <w:szCs w:val="21"/>
          <w14:ligatures w14:val="none"/>
        </w:rPr>
        <w:t>实体样品打样，在加工件，和规定组件审核通过后，提供下列实体样板模型。</w:t>
      </w:r>
    </w:p>
    <w:p w14:paraId="2F88BBE4">
      <w:pPr>
        <w:pStyle w:val="12"/>
        <w:ind w:firstLine="420"/>
        <w:rPr>
          <w:rFonts w:hint="eastAsia" w:ascii="宋体" w:hAnsi="宋体" w:eastAsia="宋体" w:cs="宋体"/>
          <w:szCs w:val="21"/>
          <w14:ligatures w14:val="none"/>
        </w:rPr>
      </w:pPr>
      <w:r>
        <w:rPr>
          <w:rFonts w:hint="eastAsia" w:ascii="宋体" w:hAnsi="宋体" w:eastAsia="宋体" w:cs="宋体"/>
          <w:szCs w:val="21"/>
          <w14:ligatures w14:val="none"/>
        </w:rPr>
        <w:t>概述：实体样品必须使用经</w:t>
      </w:r>
      <w:r>
        <w:rPr>
          <w:rFonts w:hint="eastAsia" w:ascii="宋体" w:hAnsi="宋体" w:eastAsia="宋体" w:cs="宋体"/>
          <w:szCs w:val="21"/>
          <w:lang w:eastAsia="zh-CN"/>
          <w14:ligatures w14:val="none"/>
        </w:rPr>
        <w:t>建设单位</w:t>
      </w:r>
      <w:r>
        <w:rPr>
          <w:rFonts w:hint="eastAsia" w:ascii="宋体" w:hAnsi="宋体" w:eastAsia="宋体" w:cs="宋体"/>
          <w:szCs w:val="21"/>
          <w14:ligatures w14:val="none"/>
        </w:rPr>
        <w:t>确认的材料、颜色和饰面制作比例为1：1的实体样品。实体样品应尽可能接近实际施工的标识。如果设计中包括，相关的设备也应包括在内。实体样板需临时安装于现场的实际点位，供</w:t>
      </w:r>
      <w:r>
        <w:rPr>
          <w:rFonts w:hint="eastAsia" w:ascii="宋体" w:hAnsi="宋体" w:eastAsia="宋体" w:cs="宋体"/>
          <w:szCs w:val="21"/>
          <w:lang w:eastAsia="zh-CN"/>
          <w14:ligatures w14:val="none"/>
        </w:rPr>
        <w:t>建设单位</w:t>
      </w:r>
      <w:r>
        <w:rPr>
          <w:rFonts w:hint="eastAsia" w:ascii="宋体" w:hAnsi="宋体" w:eastAsia="宋体" w:cs="宋体"/>
          <w:szCs w:val="21"/>
          <w14:ligatures w14:val="none"/>
        </w:rPr>
        <w:t>和设计师审核，审核通过实体样品可作为工程的一部分。</w:t>
      </w:r>
    </w:p>
    <w:p w14:paraId="2B9CE5A8">
      <w:pPr>
        <w:pStyle w:val="5"/>
        <w:rPr>
          <w:rFonts w:hint="eastAsia" w:ascii="宋体" w:hAnsi="宋体" w:eastAsia="宋体" w:cs="宋体"/>
        </w:rPr>
      </w:pPr>
      <w:r>
        <w:rPr>
          <w:rFonts w:hint="eastAsia" w:ascii="宋体" w:hAnsi="宋体" w:eastAsia="宋体" w:cs="宋体"/>
        </w:rPr>
        <w:t>担保</w:t>
      </w:r>
    </w:p>
    <w:p w14:paraId="3D2330FA">
      <w:pPr>
        <w:pStyle w:val="12"/>
        <w:numPr>
          <w:ilvl w:val="0"/>
          <w:numId w:val="30"/>
        </w:numPr>
        <w:ind w:left="0" w:firstLine="0" w:firstLineChars="0"/>
        <w:rPr>
          <w:rFonts w:hint="eastAsia" w:ascii="宋体" w:hAnsi="宋体" w:eastAsia="宋体" w:cs="宋体"/>
          <w:szCs w:val="21"/>
          <w14:ligatures w14:val="none"/>
        </w:rPr>
      </w:pPr>
      <w:r>
        <w:rPr>
          <w:rFonts w:hint="eastAsia" w:ascii="宋体" w:hAnsi="宋体" w:eastAsia="宋体" w:cs="宋体"/>
          <w:szCs w:val="21"/>
          <w14:ligatures w14:val="none"/>
        </w:rPr>
        <w:t>概述：从项目投入运营起整体免费提供2 年质保。具体质保期限：</w:t>
      </w:r>
    </w:p>
    <w:p w14:paraId="0A1AC396">
      <w:pPr>
        <w:pStyle w:val="12"/>
        <w:numPr>
          <w:ilvl w:val="0"/>
          <w:numId w:val="31"/>
        </w:numPr>
        <w:ind w:left="0" w:firstLine="0" w:firstLineChars="0"/>
        <w:rPr>
          <w:rFonts w:hint="eastAsia" w:ascii="宋体" w:hAnsi="宋体" w:eastAsia="宋体" w:cs="宋体"/>
          <w:szCs w:val="21"/>
          <w14:ligatures w14:val="none"/>
        </w:rPr>
      </w:pPr>
      <w:r>
        <w:rPr>
          <w:rFonts w:hint="eastAsia" w:ascii="宋体" w:hAnsi="宋体" w:eastAsia="宋体" w:cs="宋体"/>
          <w:szCs w:val="21"/>
          <w14:ligatures w14:val="none"/>
        </w:rPr>
        <w:t>牌体板面信息使用年限5年，钢结构及型材部分保质15年</w:t>
      </w:r>
    </w:p>
    <w:p w14:paraId="3FCE0006">
      <w:pPr>
        <w:pStyle w:val="12"/>
        <w:numPr>
          <w:ilvl w:val="0"/>
          <w:numId w:val="31"/>
        </w:numPr>
        <w:ind w:left="0" w:firstLine="0" w:firstLineChars="0"/>
        <w:rPr>
          <w:rFonts w:hint="eastAsia" w:ascii="宋体" w:hAnsi="宋体" w:eastAsia="宋体" w:cs="宋体"/>
          <w:szCs w:val="21"/>
          <w14:ligatures w14:val="none"/>
        </w:rPr>
      </w:pPr>
      <w:r>
        <w:rPr>
          <w:rFonts w:hint="eastAsia" w:ascii="宋体" w:hAnsi="宋体" w:eastAsia="宋体" w:cs="宋体"/>
          <w:szCs w:val="21"/>
          <w14:ligatures w14:val="none"/>
        </w:rPr>
        <w:t>印刷文字内容及颜色保质10年</w:t>
      </w:r>
    </w:p>
    <w:p w14:paraId="5CE3B84D">
      <w:pPr>
        <w:pStyle w:val="12"/>
        <w:numPr>
          <w:ilvl w:val="0"/>
          <w:numId w:val="30"/>
        </w:numPr>
        <w:ind w:left="0" w:firstLine="0" w:firstLineChars="0"/>
        <w:rPr>
          <w:rFonts w:hint="eastAsia" w:ascii="宋体" w:hAnsi="宋体" w:eastAsia="宋体" w:cs="宋体"/>
          <w:szCs w:val="21"/>
          <w14:ligatures w14:val="none"/>
        </w:rPr>
      </w:pPr>
      <w:r>
        <w:rPr>
          <w:rFonts w:hint="eastAsia" w:ascii="宋体" w:hAnsi="宋体" w:eastAsia="宋体" w:cs="宋体"/>
          <w:szCs w:val="21"/>
          <w14:ligatures w14:val="none"/>
        </w:rPr>
        <w:t>褪色和施工：保养应包括但不局限于防退色或粉化及对装配施工的保养。</w:t>
      </w:r>
    </w:p>
    <w:p w14:paraId="27223ED0">
      <w:pPr>
        <w:pStyle w:val="12"/>
        <w:numPr>
          <w:ilvl w:val="0"/>
          <w:numId w:val="30"/>
        </w:numPr>
        <w:ind w:left="0" w:firstLine="0" w:firstLineChars="0"/>
        <w:rPr>
          <w:rFonts w:hint="eastAsia" w:ascii="宋体" w:hAnsi="宋体" w:eastAsia="宋体" w:cs="宋体"/>
          <w:szCs w:val="21"/>
          <w14:ligatures w14:val="none"/>
        </w:rPr>
      </w:pPr>
      <w:r>
        <w:rPr>
          <w:rFonts w:hint="eastAsia" w:ascii="宋体" w:hAnsi="宋体" w:eastAsia="宋体" w:cs="宋体"/>
          <w:szCs w:val="21"/>
          <w14:ligatures w14:val="none"/>
        </w:rPr>
        <w:t>不合格项：对于任何因不符合规定材料或人工引致的不合格项，应无偿替换，标识施工方有责任承担替换标识费用，并应负责修补因替换而受影响的其他饰面。</w:t>
      </w:r>
      <w:r>
        <w:rPr>
          <w:rFonts w:hint="eastAsia" w:ascii="宋体" w:hAnsi="宋体" w:eastAsia="宋体" w:cs="宋体"/>
          <w:szCs w:val="21"/>
          <w:lang w:eastAsia="zh-CN"/>
          <w14:ligatures w14:val="none"/>
        </w:rPr>
        <w:t>建设单位</w:t>
      </w:r>
      <w:r>
        <w:rPr>
          <w:rFonts w:hint="eastAsia" w:ascii="宋体" w:hAnsi="宋体" w:eastAsia="宋体" w:cs="宋体"/>
          <w:szCs w:val="21"/>
          <w14:ligatures w14:val="none"/>
        </w:rPr>
        <w:t>不需要负责任何费用。</w:t>
      </w:r>
    </w:p>
    <w:p w14:paraId="67D0670F">
      <w:pPr>
        <w:pStyle w:val="5"/>
        <w:rPr>
          <w:rFonts w:hint="eastAsia" w:ascii="宋体" w:hAnsi="宋体" w:eastAsia="宋体" w:cs="宋体"/>
        </w:rPr>
      </w:pPr>
      <w:r>
        <w:rPr>
          <w:rFonts w:hint="eastAsia" w:ascii="宋体" w:hAnsi="宋体" w:eastAsia="宋体" w:cs="宋体"/>
        </w:rPr>
        <w:t>递交、保护、搬运</w:t>
      </w:r>
    </w:p>
    <w:p w14:paraId="410E9ED0">
      <w:pPr>
        <w:pStyle w:val="12"/>
        <w:numPr>
          <w:ilvl w:val="0"/>
          <w:numId w:val="32"/>
        </w:numPr>
        <w:ind w:left="0" w:firstLine="0" w:firstLineChars="0"/>
        <w:rPr>
          <w:rFonts w:hint="eastAsia" w:ascii="宋体" w:hAnsi="宋体" w:eastAsia="宋体" w:cs="宋体"/>
          <w:szCs w:val="21"/>
          <w14:ligatures w14:val="none"/>
        </w:rPr>
      </w:pPr>
      <w:r>
        <w:rPr>
          <w:rFonts w:hint="eastAsia" w:ascii="宋体" w:hAnsi="宋体" w:eastAsia="宋体" w:cs="宋体"/>
          <w:szCs w:val="21"/>
          <w14:ligatures w14:val="none"/>
        </w:rPr>
        <w:t>递交：标识的材料、组成部分和制造成品运送到项目现场时，表面应符有标签以确保安装正确。</w:t>
      </w:r>
    </w:p>
    <w:p w14:paraId="68EF6EC5">
      <w:pPr>
        <w:pStyle w:val="12"/>
        <w:numPr>
          <w:ilvl w:val="0"/>
          <w:numId w:val="32"/>
        </w:numPr>
        <w:ind w:left="0" w:firstLine="0" w:firstLineChars="0"/>
        <w:rPr>
          <w:rFonts w:hint="eastAsia" w:ascii="宋体" w:hAnsi="宋体" w:eastAsia="宋体" w:cs="宋体"/>
          <w:szCs w:val="21"/>
          <w14:ligatures w14:val="none"/>
        </w:rPr>
      </w:pPr>
      <w:r>
        <w:rPr>
          <w:rFonts w:hint="eastAsia" w:ascii="宋体" w:hAnsi="宋体" w:eastAsia="宋体" w:cs="宋体"/>
          <w:szCs w:val="21"/>
          <w14:ligatures w14:val="none"/>
        </w:rPr>
        <w:t>保护：在运输、安装过程中保护产品避免损坏，避免产品受到气候损坏等一切外界因素，直到产品安装完毕。</w:t>
      </w:r>
    </w:p>
    <w:p w14:paraId="44797A45">
      <w:pPr>
        <w:pStyle w:val="12"/>
        <w:numPr>
          <w:ilvl w:val="0"/>
          <w:numId w:val="32"/>
        </w:numPr>
        <w:ind w:left="0" w:firstLine="0" w:firstLineChars="0"/>
        <w:rPr>
          <w:rFonts w:hint="eastAsia" w:ascii="宋体" w:hAnsi="宋体" w:eastAsia="宋体" w:cs="宋体"/>
          <w:szCs w:val="21"/>
          <w14:ligatures w14:val="none"/>
        </w:rPr>
      </w:pPr>
      <w:r>
        <w:rPr>
          <w:rFonts w:hint="eastAsia" w:ascii="宋体" w:hAnsi="宋体" w:eastAsia="宋体" w:cs="宋体"/>
          <w:szCs w:val="21"/>
          <w14:ligatures w14:val="none"/>
        </w:rPr>
        <w:t>搬运：小心处理产品，防止破损、表面摩擦、凹痕、玷污和其它瑕疵。</w:t>
      </w:r>
    </w:p>
    <w:p w14:paraId="035488D4">
      <w:pPr>
        <w:pStyle w:val="4"/>
        <w:rPr>
          <w:rFonts w:hint="eastAsia" w:ascii="宋体" w:hAnsi="宋体" w:eastAsia="宋体" w:cs="宋体"/>
        </w:rPr>
      </w:pPr>
      <w:bookmarkStart w:id="126" w:name="_Toc175980421"/>
      <w:bookmarkStart w:id="127" w:name="_Toc20300"/>
      <w:bookmarkStart w:id="128" w:name="_Toc773"/>
      <w:r>
        <w:rPr>
          <w:rFonts w:hint="eastAsia" w:ascii="宋体" w:hAnsi="宋体" w:eastAsia="宋体" w:cs="宋体"/>
        </w:rPr>
        <w:t>消防及结构安全要求</w:t>
      </w:r>
      <w:bookmarkEnd w:id="126"/>
      <w:bookmarkEnd w:id="127"/>
      <w:bookmarkEnd w:id="128"/>
    </w:p>
    <w:p w14:paraId="5D11E5BC">
      <w:pPr>
        <w:pStyle w:val="5"/>
        <w:rPr>
          <w:rFonts w:hint="eastAsia" w:ascii="宋体" w:hAnsi="宋体" w:eastAsia="宋体" w:cs="宋体"/>
        </w:rPr>
      </w:pPr>
      <w:r>
        <w:rPr>
          <w:rFonts w:hint="eastAsia" w:ascii="宋体" w:hAnsi="宋体" w:eastAsia="宋体" w:cs="宋体"/>
        </w:rPr>
        <w:t>通用要求</w:t>
      </w:r>
    </w:p>
    <w:p w14:paraId="12A74A66">
      <w:pPr>
        <w:pStyle w:val="12"/>
        <w:numPr>
          <w:ilvl w:val="0"/>
          <w:numId w:val="33"/>
        </w:numPr>
        <w:ind w:left="0" w:firstLine="0" w:firstLineChars="0"/>
        <w:rPr>
          <w:rFonts w:hint="eastAsia" w:ascii="宋体" w:hAnsi="宋体" w:eastAsia="宋体" w:cs="宋体"/>
          <w:szCs w:val="21"/>
          <w14:ligatures w14:val="none"/>
        </w:rPr>
      </w:pPr>
      <w:r>
        <w:rPr>
          <w:rFonts w:hint="eastAsia" w:ascii="宋体" w:hAnsi="宋体" w:eastAsia="宋体" w:cs="宋体"/>
          <w:szCs w:val="21"/>
          <w14:ligatures w14:val="none"/>
        </w:rPr>
        <w:t>本项目所采用的原材料、半成品材料等，施工方均需提供产品合格证、检验报告、说明书、数据、产品性能和产品使用指南等；</w:t>
      </w:r>
    </w:p>
    <w:p w14:paraId="36DDE127">
      <w:pPr>
        <w:pStyle w:val="12"/>
        <w:numPr>
          <w:ilvl w:val="0"/>
          <w:numId w:val="33"/>
        </w:numPr>
        <w:ind w:left="0" w:firstLine="0" w:firstLineChars="0"/>
        <w:rPr>
          <w:rFonts w:hint="eastAsia" w:ascii="宋体" w:hAnsi="宋体" w:eastAsia="宋体" w:cs="宋体"/>
          <w:szCs w:val="21"/>
          <w14:ligatures w14:val="none"/>
        </w:rPr>
      </w:pPr>
      <w:r>
        <w:rPr>
          <w:rFonts w:hint="eastAsia" w:ascii="宋体" w:hAnsi="宋体" w:eastAsia="宋体" w:cs="宋体"/>
          <w:szCs w:val="21"/>
          <w14:ligatures w14:val="none"/>
        </w:rPr>
        <w:t>所有材料的加工工艺必须符合相关规范，标识内部避免使用PVC板等燃点较低的材料；</w:t>
      </w:r>
    </w:p>
    <w:p w14:paraId="7913748C">
      <w:pPr>
        <w:pStyle w:val="12"/>
        <w:numPr>
          <w:ilvl w:val="0"/>
          <w:numId w:val="33"/>
        </w:numPr>
        <w:ind w:left="0" w:firstLine="0" w:firstLineChars="0"/>
        <w:rPr>
          <w:rFonts w:hint="eastAsia" w:ascii="宋体" w:hAnsi="宋体" w:eastAsia="宋体" w:cs="宋体"/>
          <w:szCs w:val="21"/>
          <w14:ligatures w14:val="none"/>
        </w:rPr>
      </w:pPr>
      <w:r>
        <w:rPr>
          <w:rFonts w:hint="eastAsia" w:ascii="宋体" w:hAnsi="宋体" w:eastAsia="宋体" w:cs="宋体"/>
          <w:szCs w:val="21"/>
          <w14:ligatures w14:val="none"/>
        </w:rPr>
        <w:t>对于热胀冷缩系数较高的材料预留热胀冷缩的空间，防止由于材料热胀冷缩造成材料变弄或脱落;</w:t>
      </w:r>
    </w:p>
    <w:p w14:paraId="7A6B27D3">
      <w:pPr>
        <w:pStyle w:val="12"/>
        <w:numPr>
          <w:ilvl w:val="0"/>
          <w:numId w:val="33"/>
        </w:numPr>
        <w:ind w:left="0" w:firstLine="0" w:firstLineChars="0"/>
        <w:rPr>
          <w:rFonts w:hint="eastAsia" w:ascii="宋体" w:hAnsi="宋体" w:eastAsia="宋体" w:cs="宋体"/>
          <w:szCs w:val="21"/>
          <w14:ligatures w14:val="none"/>
        </w:rPr>
      </w:pPr>
      <w:r>
        <w:rPr>
          <w:rFonts w:hint="eastAsia" w:ascii="宋体" w:hAnsi="宋体" w:eastAsia="宋体" w:cs="宋体"/>
          <w:szCs w:val="21"/>
          <w14:ligatures w14:val="none"/>
        </w:rPr>
        <w:t>所有承重结构的设计必须符合相关规范，并进行结构计算；</w:t>
      </w:r>
    </w:p>
    <w:p w14:paraId="7BE3CB5A">
      <w:pPr>
        <w:pStyle w:val="12"/>
        <w:numPr>
          <w:ilvl w:val="0"/>
          <w:numId w:val="33"/>
        </w:numPr>
        <w:ind w:left="0" w:firstLine="0" w:firstLineChars="0"/>
        <w:rPr>
          <w:rFonts w:hint="eastAsia" w:ascii="宋体" w:hAnsi="宋体" w:eastAsia="宋体" w:cs="宋体"/>
          <w:szCs w:val="21"/>
          <w14:ligatures w14:val="none"/>
        </w:rPr>
      </w:pPr>
      <w:r>
        <w:rPr>
          <w:rFonts w:hint="eastAsia" w:ascii="宋体" w:hAnsi="宋体" w:eastAsia="宋体" w:cs="宋体"/>
          <w:szCs w:val="21"/>
          <w14:ligatures w14:val="none"/>
        </w:rPr>
        <w:t>所有安装结构件的设计必须符合相关规范，并进行结构强度计算。</w:t>
      </w:r>
    </w:p>
    <w:p w14:paraId="6CFD25B7">
      <w:pPr>
        <w:pStyle w:val="5"/>
        <w:rPr>
          <w:rFonts w:hint="eastAsia" w:ascii="宋体" w:hAnsi="宋体" w:eastAsia="宋体" w:cs="宋体"/>
        </w:rPr>
      </w:pPr>
      <w:r>
        <w:rPr>
          <w:rFonts w:hint="eastAsia" w:ascii="宋体" w:hAnsi="宋体" w:eastAsia="宋体" w:cs="宋体"/>
        </w:rPr>
        <w:t>材料部分</w:t>
      </w:r>
    </w:p>
    <w:p w14:paraId="469CDE95">
      <w:pPr>
        <w:pStyle w:val="12"/>
        <w:numPr>
          <w:ilvl w:val="0"/>
          <w:numId w:val="34"/>
        </w:numPr>
        <w:ind w:left="0" w:firstLine="0" w:firstLineChars="0"/>
        <w:rPr>
          <w:rFonts w:hint="eastAsia" w:ascii="宋体" w:hAnsi="宋体" w:eastAsia="宋体" w:cs="宋体"/>
          <w:szCs w:val="21"/>
          <w14:ligatures w14:val="none"/>
        </w:rPr>
      </w:pPr>
      <w:r>
        <w:rPr>
          <w:rFonts w:hint="eastAsia" w:ascii="宋体" w:hAnsi="宋体" w:eastAsia="宋体" w:cs="宋体"/>
          <w:szCs w:val="21"/>
          <w14:ligatures w14:val="none"/>
        </w:rPr>
        <w:t>结构管材：采用Q235钢、Q345钢且需出具抗拉强度，伸长率、屈服强度和硫磷含量的合格保证，各类牌号的A级钢,一般不宜用于主要承重结构和直接承受动力作业的结构，对焊接结构须具有碳含量的合格保证，对重要的承重结构还应具有冷弯试验的合格保证,钢材的屈服强度实测值与抗拉强度实测值的比值不应大于0.85,钢材应有明显的屈服台阶，且伸长率不应小于20%,钢材应有良好的焊接性和合格的冲击韧性；所有结构连接点、基础底部结构均做防腐防锈处理；</w:t>
      </w:r>
    </w:p>
    <w:p w14:paraId="0B13D2C6">
      <w:pPr>
        <w:pStyle w:val="12"/>
        <w:numPr>
          <w:ilvl w:val="0"/>
          <w:numId w:val="34"/>
        </w:numPr>
        <w:ind w:left="0" w:firstLine="0" w:firstLineChars="0"/>
        <w:rPr>
          <w:rFonts w:hint="eastAsia" w:ascii="宋体" w:hAnsi="宋体" w:eastAsia="宋体" w:cs="宋体"/>
          <w:szCs w:val="21"/>
          <w14:ligatures w14:val="none"/>
        </w:rPr>
      </w:pPr>
      <w:r>
        <w:rPr>
          <w:rFonts w:hint="eastAsia" w:ascii="宋体" w:hAnsi="宋体" w:eastAsia="宋体" w:cs="宋体"/>
          <w:szCs w:val="21"/>
          <w14:ligatures w14:val="none"/>
        </w:rPr>
        <w:t>合金铝板：采用厚度不小于2mm板材，符合相关标准规范，符合工艺设计要求且只可用做于标识饰面材料不可作为结构材料使用；</w:t>
      </w:r>
    </w:p>
    <w:p w14:paraId="1289A4D7">
      <w:pPr>
        <w:pStyle w:val="12"/>
        <w:numPr>
          <w:ilvl w:val="0"/>
          <w:numId w:val="34"/>
        </w:numPr>
        <w:ind w:left="0" w:firstLine="0" w:firstLineChars="0"/>
        <w:rPr>
          <w:rFonts w:hint="eastAsia" w:ascii="宋体" w:hAnsi="宋体" w:eastAsia="宋体" w:cs="宋体"/>
          <w:szCs w:val="21"/>
          <w14:ligatures w14:val="none"/>
        </w:rPr>
      </w:pPr>
      <w:r>
        <w:rPr>
          <w:rFonts w:hint="eastAsia" w:ascii="宋体" w:hAnsi="宋体" w:eastAsia="宋体" w:cs="宋体"/>
          <w:szCs w:val="21"/>
          <w14:ligatures w14:val="none"/>
        </w:rPr>
        <w:t>合金铝型材：所有型材必须为建筑用高级产品，其容许加工误差应满足《GB/T 5237 - 铝合金建筑型材的规定》。其材料应达到《GB/T 3190 - 变形铝及铝合金化学成分的要求》。</w:t>
      </w:r>
    </w:p>
    <w:p w14:paraId="45857458">
      <w:pPr>
        <w:pStyle w:val="12"/>
        <w:numPr>
          <w:ilvl w:val="0"/>
          <w:numId w:val="34"/>
        </w:numPr>
        <w:ind w:left="0" w:firstLine="0" w:firstLineChars="0"/>
        <w:rPr>
          <w:rFonts w:hint="eastAsia" w:ascii="宋体" w:hAnsi="宋体" w:eastAsia="宋体" w:cs="宋体"/>
          <w:szCs w:val="21"/>
          <w14:ligatures w14:val="none"/>
        </w:rPr>
      </w:pPr>
      <w:r>
        <w:rPr>
          <w:rFonts w:hint="eastAsia" w:ascii="宋体" w:hAnsi="宋体" w:eastAsia="宋体" w:cs="宋体"/>
          <w:szCs w:val="21"/>
          <w14:ligatures w14:val="none"/>
        </w:rPr>
        <w:t>镀锌钢板：采用厚度不小于2mm的板材，要求符合相关标准规范，符合工艺设计要求且只可用于长江以北气候较为干燥地区的室内；</w:t>
      </w:r>
    </w:p>
    <w:p w14:paraId="2BCD1C34">
      <w:pPr>
        <w:pStyle w:val="12"/>
        <w:numPr>
          <w:ilvl w:val="0"/>
          <w:numId w:val="34"/>
        </w:numPr>
        <w:ind w:left="0" w:firstLine="0" w:firstLineChars="0"/>
        <w:rPr>
          <w:rFonts w:hint="eastAsia" w:ascii="宋体" w:hAnsi="宋体" w:eastAsia="宋体" w:cs="宋体"/>
          <w:szCs w:val="21"/>
          <w14:ligatures w14:val="none"/>
        </w:rPr>
      </w:pPr>
      <w:r>
        <w:rPr>
          <w:rFonts w:hint="eastAsia" w:ascii="宋体" w:hAnsi="宋体" w:eastAsia="宋体" w:cs="宋体"/>
          <w:szCs w:val="21"/>
          <w14:ligatures w14:val="none"/>
        </w:rPr>
        <w:t>结构连接件：根据结构设计的要求选用结构材料，包括但不限于角钢、槽钢、钢管、钢板等材料，要求符合相关标准规范，符合工艺设计要求；</w:t>
      </w:r>
    </w:p>
    <w:p w14:paraId="76BFAE42">
      <w:pPr>
        <w:pStyle w:val="12"/>
        <w:numPr>
          <w:ilvl w:val="0"/>
          <w:numId w:val="34"/>
        </w:numPr>
        <w:ind w:left="0" w:firstLine="0" w:firstLineChars="0"/>
        <w:rPr>
          <w:rFonts w:hint="eastAsia" w:ascii="宋体" w:hAnsi="宋体" w:eastAsia="宋体" w:cs="宋体"/>
          <w:szCs w:val="21"/>
          <w14:ligatures w14:val="none"/>
        </w:rPr>
      </w:pPr>
      <w:r>
        <w:rPr>
          <w:rFonts w:hint="eastAsia" w:ascii="宋体" w:hAnsi="宋体" w:eastAsia="宋体" w:cs="宋体"/>
          <w:szCs w:val="21"/>
          <w14:ligatures w14:val="none"/>
        </w:rPr>
        <w:t>螺栓及螺钉：螺栓的强度等级不得低于C级，所有螺钉均需采用国标不锈钢螺钉，金属螺杆均需进行热镀锌，镀锌厚度≥45μm，其材料的化学成分、机械性能、尺寸允许偏差、精度等级均要符合国家和行业现行标准（从高从严原则）；并且表面进行防腐防锈处理；</w:t>
      </w:r>
    </w:p>
    <w:p w14:paraId="328D2319">
      <w:pPr>
        <w:pStyle w:val="12"/>
        <w:numPr>
          <w:ilvl w:val="0"/>
          <w:numId w:val="34"/>
        </w:numPr>
        <w:ind w:left="0" w:firstLine="0" w:firstLineChars="0"/>
        <w:rPr>
          <w:rFonts w:hint="eastAsia" w:ascii="宋体" w:hAnsi="宋体" w:eastAsia="宋体" w:cs="宋体"/>
          <w:szCs w:val="21"/>
          <w14:ligatures w14:val="none"/>
        </w:rPr>
      </w:pPr>
      <w:r>
        <w:rPr>
          <w:rFonts w:hint="eastAsia" w:ascii="宋体" w:hAnsi="宋体" w:eastAsia="宋体" w:cs="宋体"/>
          <w:szCs w:val="21"/>
          <w14:ligatures w14:val="none"/>
        </w:rPr>
        <w:t>阳极氧化：被加工零件不允许有锐角、毛刺以及其它各种尖锐的有棱角的地方;不允许有烧焦或易搅拌的疏松膜层，也不允许因局部受热使氧化腐蚀的光亮斑点和边缘角部分膜层脱落的现象存在，表面不得有无氧化膜的地方；氧化膜厚度测试：皮膜厚度使用平均值，以防止合金导致的厚度不均。硬质氧化规格：标准50㎛，误差±10㎛。膜厚制定为100㎛时，误差范围不变。</w:t>
      </w:r>
    </w:p>
    <w:p w14:paraId="6B883924">
      <w:pPr>
        <w:pStyle w:val="12"/>
        <w:numPr>
          <w:ilvl w:val="0"/>
          <w:numId w:val="34"/>
        </w:numPr>
        <w:ind w:left="0" w:firstLine="0" w:firstLineChars="0"/>
        <w:rPr>
          <w:rFonts w:hint="eastAsia" w:ascii="宋体" w:hAnsi="宋体" w:eastAsia="宋体" w:cs="宋体"/>
          <w:szCs w:val="21"/>
          <w14:ligatures w14:val="none"/>
        </w:rPr>
      </w:pPr>
      <w:r>
        <w:rPr>
          <w:rFonts w:hint="eastAsia" w:ascii="宋体" w:hAnsi="宋体" w:eastAsia="宋体" w:cs="宋体"/>
          <w:szCs w:val="21"/>
          <w14:ligatures w14:val="none"/>
        </w:rPr>
        <w:t>玻璃材料：符合设计规定的各种厚度钢化或钢化夹胶玻璃，符合相关标准规范。表面外露的所有玻璃必须倒角处理，并且面层必须贴防爆膜；</w:t>
      </w:r>
    </w:p>
    <w:p w14:paraId="3052CA8F">
      <w:pPr>
        <w:pStyle w:val="12"/>
        <w:numPr>
          <w:ilvl w:val="0"/>
          <w:numId w:val="34"/>
        </w:numPr>
        <w:ind w:left="0" w:firstLine="0" w:firstLineChars="0"/>
        <w:rPr>
          <w:rFonts w:hint="eastAsia" w:ascii="宋体" w:hAnsi="宋体" w:eastAsia="宋体" w:cs="宋体"/>
          <w:szCs w:val="21"/>
          <w14:ligatures w14:val="none"/>
        </w:rPr>
      </w:pPr>
      <w:r>
        <w:rPr>
          <w:rFonts w:hint="eastAsia" w:ascii="宋体" w:hAnsi="宋体" w:eastAsia="宋体" w:cs="宋体"/>
          <w:szCs w:val="21"/>
          <w14:ligatures w14:val="none"/>
        </w:rPr>
        <w:t>亚克力材料：必须为浇铸板材，按照设计要求选用厚度及颜色。最低容许连续服务温度为80摄氏度，到93摄氏度时仍保持稳固，无变形、弯曲或破裂；使用无摩擦清洁剂清洁，对标牌表面不会产生模糊或破坏；</w:t>
      </w:r>
    </w:p>
    <w:p w14:paraId="53D295FA">
      <w:pPr>
        <w:pStyle w:val="12"/>
        <w:numPr>
          <w:ilvl w:val="0"/>
          <w:numId w:val="34"/>
        </w:numPr>
        <w:ind w:left="0" w:firstLine="0" w:firstLineChars="0"/>
        <w:rPr>
          <w:rFonts w:hint="eastAsia" w:ascii="宋体" w:hAnsi="宋体" w:eastAsia="宋体" w:cs="宋体"/>
          <w:szCs w:val="21"/>
          <w14:ligatures w14:val="none"/>
        </w:rPr>
      </w:pPr>
      <w:r>
        <w:rPr>
          <w:rFonts w:hint="eastAsia" w:ascii="宋体" w:hAnsi="宋体" w:eastAsia="宋体" w:cs="宋体"/>
          <w:szCs w:val="21"/>
          <w14:ligatures w14:val="none"/>
        </w:rPr>
        <w:t>混凝土：强度等级≥C25。</w:t>
      </w:r>
    </w:p>
    <w:p w14:paraId="50D06F69">
      <w:pPr>
        <w:pStyle w:val="5"/>
        <w:rPr>
          <w:rFonts w:hint="eastAsia" w:ascii="宋体" w:hAnsi="宋体" w:eastAsia="宋体" w:cs="宋体"/>
        </w:rPr>
      </w:pPr>
      <w:r>
        <w:rPr>
          <w:rFonts w:hint="eastAsia" w:ascii="宋体" w:hAnsi="宋体" w:eastAsia="宋体" w:cs="宋体"/>
        </w:rPr>
        <w:t>加工工艺部分</w:t>
      </w:r>
    </w:p>
    <w:p w14:paraId="674EF5F2">
      <w:pPr>
        <w:pStyle w:val="12"/>
        <w:numPr>
          <w:ilvl w:val="0"/>
          <w:numId w:val="35"/>
        </w:numPr>
        <w:ind w:left="0" w:firstLine="0" w:firstLineChars="0"/>
        <w:rPr>
          <w:rFonts w:hint="eastAsia" w:ascii="宋体" w:hAnsi="宋体" w:eastAsia="宋体" w:cs="宋体"/>
          <w:szCs w:val="21"/>
          <w14:ligatures w14:val="none"/>
        </w:rPr>
      </w:pPr>
      <w:r>
        <w:rPr>
          <w:rFonts w:hint="eastAsia" w:ascii="宋体" w:hAnsi="宋体" w:eastAsia="宋体" w:cs="宋体"/>
          <w:szCs w:val="21"/>
          <w14:ligatures w14:val="none"/>
        </w:rPr>
        <w:t>所有刨槽折弯的板材折弯后需在板材刨槽一面进行焊接，以保证标识在运输安装过程中不会破裂；</w:t>
      </w:r>
    </w:p>
    <w:p w14:paraId="5B3E26D8">
      <w:pPr>
        <w:pStyle w:val="12"/>
        <w:numPr>
          <w:ilvl w:val="0"/>
          <w:numId w:val="35"/>
        </w:numPr>
        <w:ind w:left="0" w:firstLine="0" w:firstLineChars="0"/>
        <w:rPr>
          <w:rFonts w:hint="eastAsia" w:ascii="宋体" w:hAnsi="宋体" w:eastAsia="宋体" w:cs="宋体"/>
          <w:szCs w:val="21"/>
          <w14:ligatures w14:val="none"/>
        </w:rPr>
      </w:pPr>
      <w:r>
        <w:rPr>
          <w:rFonts w:hint="eastAsia" w:ascii="宋体" w:hAnsi="宋体" w:eastAsia="宋体" w:cs="宋体"/>
          <w:szCs w:val="21"/>
          <w14:ligatures w14:val="none"/>
        </w:rPr>
        <w:t>亚克力板的安装方式除了采用3M双面胶、玻璃胶及玻璃结构胶粘接外，还需在金属板材上生钉，在亚克力板上开孔采用螺栓固定；</w:t>
      </w:r>
    </w:p>
    <w:p w14:paraId="7A6515D1">
      <w:pPr>
        <w:pStyle w:val="12"/>
        <w:numPr>
          <w:ilvl w:val="0"/>
          <w:numId w:val="35"/>
        </w:numPr>
        <w:ind w:left="0" w:firstLine="0" w:firstLineChars="0"/>
        <w:rPr>
          <w:rFonts w:hint="eastAsia" w:ascii="宋体" w:hAnsi="宋体" w:eastAsia="宋体" w:cs="宋体"/>
          <w:szCs w:val="21"/>
          <w14:ligatures w14:val="none"/>
        </w:rPr>
      </w:pPr>
      <w:r>
        <w:rPr>
          <w:rFonts w:hint="eastAsia" w:ascii="宋体" w:hAnsi="宋体" w:eastAsia="宋体" w:cs="宋体"/>
          <w:szCs w:val="21"/>
          <w14:ligatures w14:val="none"/>
        </w:rPr>
        <w:t>构件放样和号料时应根据工艺要求预留焊接收缩量和加工余量；</w:t>
      </w:r>
    </w:p>
    <w:p w14:paraId="1302DB9B">
      <w:pPr>
        <w:pStyle w:val="12"/>
        <w:numPr>
          <w:ilvl w:val="0"/>
          <w:numId w:val="35"/>
        </w:numPr>
        <w:ind w:left="0" w:firstLine="0" w:firstLineChars="0"/>
        <w:rPr>
          <w:rFonts w:hint="eastAsia" w:ascii="宋体" w:hAnsi="宋体" w:eastAsia="宋体" w:cs="宋体"/>
          <w:szCs w:val="21"/>
          <w14:ligatures w14:val="none"/>
        </w:rPr>
      </w:pPr>
      <w:r>
        <w:rPr>
          <w:rFonts w:hint="eastAsia" w:ascii="宋体" w:hAnsi="宋体" w:eastAsia="宋体" w:cs="宋体"/>
          <w:szCs w:val="21"/>
          <w14:ligatures w14:val="none"/>
        </w:rPr>
        <w:t>户外立地标识需制作防水槽，以免雨水进入标识内部引起标识电器设备短路；</w:t>
      </w:r>
    </w:p>
    <w:p w14:paraId="6FAF7357">
      <w:pPr>
        <w:pStyle w:val="12"/>
        <w:numPr>
          <w:ilvl w:val="0"/>
          <w:numId w:val="35"/>
        </w:numPr>
        <w:ind w:left="0" w:firstLine="0" w:firstLineChars="0"/>
        <w:rPr>
          <w:rFonts w:hint="eastAsia" w:ascii="宋体" w:hAnsi="宋体" w:eastAsia="宋体" w:cs="宋体"/>
          <w:szCs w:val="21"/>
          <w14:ligatures w14:val="none"/>
        </w:rPr>
      </w:pPr>
      <w:r>
        <w:rPr>
          <w:rFonts w:hint="eastAsia" w:ascii="宋体" w:hAnsi="宋体" w:eastAsia="宋体" w:cs="宋体"/>
          <w:szCs w:val="21"/>
          <w14:ligatures w14:val="none"/>
        </w:rPr>
        <w:t>内发光标识（尤其是户外）需制作散热孔，防止太阳直射照成标识内部蒸气对标识线路照成的影响；</w:t>
      </w:r>
    </w:p>
    <w:p w14:paraId="38E8CCFD">
      <w:pPr>
        <w:pStyle w:val="12"/>
        <w:numPr>
          <w:ilvl w:val="0"/>
          <w:numId w:val="35"/>
        </w:numPr>
        <w:ind w:left="0" w:firstLine="0" w:firstLineChars="0"/>
        <w:rPr>
          <w:rFonts w:hint="eastAsia" w:ascii="宋体" w:hAnsi="宋体" w:eastAsia="宋体" w:cs="宋体"/>
          <w:szCs w:val="21"/>
          <w14:ligatures w14:val="none"/>
        </w:rPr>
      </w:pPr>
      <w:r>
        <w:rPr>
          <w:rFonts w:hint="eastAsia" w:ascii="宋体" w:hAnsi="宋体" w:eastAsia="宋体" w:cs="宋体"/>
          <w:szCs w:val="21"/>
          <w14:ligatures w14:val="none"/>
        </w:rPr>
        <w:t>对于热胀冷缩系数较高的材料需预留热胀冷缩的空间，防止由于材料热胀冷缩造成材料变形和脱落；</w:t>
      </w:r>
    </w:p>
    <w:p w14:paraId="560CCD77">
      <w:pPr>
        <w:pStyle w:val="12"/>
        <w:numPr>
          <w:ilvl w:val="0"/>
          <w:numId w:val="35"/>
        </w:numPr>
        <w:ind w:left="0" w:firstLine="0" w:firstLineChars="0"/>
        <w:rPr>
          <w:rFonts w:hint="eastAsia" w:ascii="宋体" w:hAnsi="宋体" w:eastAsia="宋体" w:cs="宋体"/>
          <w:szCs w:val="21"/>
          <w14:ligatures w14:val="none"/>
        </w:rPr>
      </w:pPr>
      <w:r>
        <w:rPr>
          <w:rFonts w:hint="eastAsia" w:ascii="宋体" w:hAnsi="宋体" w:eastAsia="宋体" w:cs="宋体"/>
          <w:szCs w:val="21"/>
          <w14:ligatures w14:val="none"/>
        </w:rPr>
        <w:t>在完成的金属结构内必须进行完全的除锈及防锈喷涂处理；</w:t>
      </w:r>
    </w:p>
    <w:p w14:paraId="443339FA">
      <w:pPr>
        <w:pStyle w:val="12"/>
        <w:numPr>
          <w:ilvl w:val="0"/>
          <w:numId w:val="35"/>
        </w:numPr>
        <w:ind w:left="0" w:firstLine="0" w:firstLineChars="0"/>
        <w:rPr>
          <w:rFonts w:hint="eastAsia" w:ascii="宋体" w:hAnsi="宋体" w:eastAsia="宋体" w:cs="宋体"/>
          <w:szCs w:val="21"/>
          <w14:ligatures w14:val="none"/>
        </w:rPr>
      </w:pPr>
      <w:r>
        <w:rPr>
          <w:rFonts w:hint="eastAsia" w:ascii="宋体" w:hAnsi="宋体" w:eastAsia="宋体" w:cs="宋体"/>
          <w:szCs w:val="21"/>
          <w14:ligatures w14:val="none"/>
        </w:rPr>
        <w:t>主要承重构件进行焊接时，焊缝质量等级为二级，并应进行探伤检验；错层焊接应连续施焊，其中每一层焊缝焊完后，应及时清理，如发现有影响焊缝质量的缺陷，必须清除后再焊；</w:t>
      </w:r>
    </w:p>
    <w:p w14:paraId="7C440D4C">
      <w:pPr>
        <w:pStyle w:val="12"/>
        <w:numPr>
          <w:ilvl w:val="0"/>
          <w:numId w:val="35"/>
        </w:numPr>
        <w:ind w:left="0" w:firstLine="0" w:firstLineChars="0"/>
        <w:rPr>
          <w:rFonts w:hint="eastAsia" w:ascii="宋体" w:hAnsi="宋体" w:eastAsia="宋体" w:cs="宋体"/>
          <w:szCs w:val="21"/>
          <w14:ligatures w14:val="none"/>
        </w:rPr>
      </w:pPr>
      <w:r>
        <w:rPr>
          <w:rFonts w:hint="eastAsia" w:ascii="宋体" w:hAnsi="宋体" w:eastAsia="宋体" w:cs="宋体"/>
          <w:szCs w:val="21"/>
          <w14:ligatures w14:val="none"/>
        </w:rPr>
        <w:t>手工焊接的焊条需采用国家标准规定的焊条且焊条且要与主体金属强度相适应，工厂采用自动、半自动焊接时采用的焊条和焊剂应与主体金属强度相适应且符合《溶化焊用钢丝》的规定。</w:t>
      </w:r>
    </w:p>
    <w:p w14:paraId="59BF28E0">
      <w:pPr>
        <w:pStyle w:val="12"/>
        <w:numPr>
          <w:ilvl w:val="0"/>
          <w:numId w:val="35"/>
        </w:numPr>
        <w:ind w:left="0" w:firstLine="0" w:firstLineChars="0"/>
        <w:rPr>
          <w:rFonts w:hint="eastAsia" w:ascii="宋体" w:hAnsi="宋体" w:eastAsia="宋体" w:cs="宋体"/>
          <w:szCs w:val="21"/>
          <w14:ligatures w14:val="none"/>
        </w:rPr>
      </w:pPr>
      <w:r>
        <w:rPr>
          <w:rFonts w:hint="eastAsia" w:ascii="宋体" w:hAnsi="宋体" w:eastAsia="宋体" w:cs="宋体"/>
          <w:szCs w:val="21"/>
          <w14:ligatures w14:val="none"/>
        </w:rPr>
        <w:t>钢结构的防火涂料的粘结强度、抗压强度应符合国家现行标准《钢结构防火涂料应用技术规程》CECS24:90的规定；薄涂型防火涂层表面裂纹宽度不应大于0.5mm，厚涂型防火涂料涂层表面裂纹宽度不应大于1mm。</w:t>
      </w:r>
    </w:p>
    <w:p w14:paraId="158FF46A">
      <w:pPr>
        <w:pStyle w:val="5"/>
        <w:rPr>
          <w:rFonts w:hint="eastAsia" w:ascii="宋体" w:hAnsi="宋体" w:eastAsia="宋体" w:cs="宋体"/>
        </w:rPr>
      </w:pPr>
      <w:r>
        <w:rPr>
          <w:rFonts w:hint="eastAsia" w:ascii="宋体" w:hAnsi="宋体" w:eastAsia="宋体" w:cs="宋体"/>
        </w:rPr>
        <w:t>结构部分</w:t>
      </w:r>
    </w:p>
    <w:p w14:paraId="4EA05495">
      <w:pPr>
        <w:pStyle w:val="12"/>
        <w:ind w:firstLine="420"/>
        <w:rPr>
          <w:rFonts w:hint="eastAsia" w:ascii="宋体" w:hAnsi="宋体" w:eastAsia="宋体" w:cs="宋体"/>
          <w:szCs w:val="21"/>
          <w14:ligatures w14:val="none"/>
        </w:rPr>
      </w:pPr>
      <w:r>
        <w:rPr>
          <w:rFonts w:hint="eastAsia" w:ascii="宋体" w:hAnsi="宋体" w:eastAsia="宋体" w:cs="宋体"/>
          <w:szCs w:val="21"/>
          <w14:ligatures w14:val="none"/>
        </w:rPr>
        <w:t>标识施工方应递交关于标识系统的完整的设计计算书。设计计算书包括但不局限于：设计标准和应用规范、参考标准、材料、计算荷载（包括风力、施加力、自重等其他荷载），以及设计分析和标识框架、基座和连接图纸。计算书应有页数和目录。计算书上应有相关专业执照和相关经验的结构工程师的签字，并加盖所在单位的公章。</w:t>
      </w:r>
    </w:p>
    <w:p w14:paraId="77D9BC4E">
      <w:pPr>
        <w:pStyle w:val="5"/>
        <w:rPr>
          <w:rFonts w:hint="eastAsia" w:ascii="宋体" w:hAnsi="宋体" w:eastAsia="宋体" w:cs="宋体"/>
        </w:rPr>
      </w:pPr>
      <w:r>
        <w:rPr>
          <w:rFonts w:hint="eastAsia" w:ascii="宋体" w:hAnsi="宋体" w:eastAsia="宋体" w:cs="宋体"/>
        </w:rPr>
        <w:t>安装部分</w:t>
      </w:r>
    </w:p>
    <w:p w14:paraId="7719F6EA">
      <w:pPr>
        <w:pStyle w:val="12"/>
        <w:numPr>
          <w:ilvl w:val="0"/>
          <w:numId w:val="36"/>
        </w:numPr>
        <w:ind w:left="0" w:firstLine="0" w:firstLineChars="0"/>
        <w:rPr>
          <w:rFonts w:hint="eastAsia" w:ascii="宋体" w:hAnsi="宋体" w:eastAsia="宋体" w:cs="宋体"/>
          <w:szCs w:val="21"/>
          <w14:ligatures w14:val="none"/>
        </w:rPr>
      </w:pPr>
      <w:r>
        <w:rPr>
          <w:rFonts w:hint="eastAsia" w:ascii="宋体" w:hAnsi="宋体" w:eastAsia="宋体" w:cs="宋体"/>
          <w:szCs w:val="21"/>
          <w14:ligatures w14:val="none"/>
        </w:rPr>
        <w:t>标识的安装固定应严格按照计算书计算合格的方法进行安装，不得擅自更改；</w:t>
      </w:r>
    </w:p>
    <w:p w14:paraId="3A227581">
      <w:pPr>
        <w:pStyle w:val="12"/>
        <w:numPr>
          <w:ilvl w:val="0"/>
          <w:numId w:val="36"/>
        </w:numPr>
        <w:ind w:left="0" w:firstLine="0" w:firstLineChars="0"/>
        <w:rPr>
          <w:rFonts w:hint="eastAsia" w:ascii="宋体" w:hAnsi="宋体" w:eastAsia="宋体" w:cs="宋体"/>
          <w:szCs w:val="21"/>
          <w14:ligatures w14:val="none"/>
        </w:rPr>
      </w:pPr>
      <w:r>
        <w:rPr>
          <w:rFonts w:hint="eastAsia" w:ascii="宋体" w:hAnsi="宋体" w:eastAsia="宋体" w:cs="宋体"/>
          <w:szCs w:val="21"/>
          <w14:ligatures w14:val="none"/>
        </w:rPr>
        <w:t>标识安装（尤其是吊装、侧装标识）时，如需破坏内装界面需与内装单位沟通并经其同意才可施工，安装完毕后需对破坏部分进行修缮或与内装单位协商进行修缮；</w:t>
      </w:r>
    </w:p>
    <w:p w14:paraId="5702B180">
      <w:pPr>
        <w:pStyle w:val="12"/>
        <w:numPr>
          <w:ilvl w:val="0"/>
          <w:numId w:val="36"/>
        </w:numPr>
        <w:ind w:left="0" w:firstLine="0" w:firstLineChars="0"/>
        <w:rPr>
          <w:rFonts w:hint="eastAsia" w:ascii="宋体" w:hAnsi="宋体" w:eastAsia="宋体" w:cs="宋体"/>
          <w:szCs w:val="21"/>
          <w14:ligatures w14:val="none"/>
        </w:rPr>
      </w:pPr>
      <w:r>
        <w:rPr>
          <w:rFonts w:hint="eastAsia" w:ascii="宋体" w:hAnsi="宋体" w:eastAsia="宋体" w:cs="宋体"/>
          <w:szCs w:val="21"/>
          <w14:ligatures w14:val="none"/>
        </w:rPr>
        <w:t>墙面标识还应结合建筑物和构筑物等的安全性进行综合考虑；</w:t>
      </w:r>
    </w:p>
    <w:p w14:paraId="1D605AF6">
      <w:pPr>
        <w:pStyle w:val="12"/>
        <w:numPr>
          <w:ilvl w:val="0"/>
          <w:numId w:val="36"/>
        </w:numPr>
        <w:ind w:left="0" w:firstLine="0" w:firstLineChars="0"/>
        <w:rPr>
          <w:rFonts w:hint="eastAsia" w:ascii="宋体" w:hAnsi="宋体" w:eastAsia="宋体" w:cs="宋体"/>
          <w:szCs w:val="21"/>
          <w14:ligatures w14:val="none"/>
        </w:rPr>
      </w:pPr>
      <w:r>
        <w:rPr>
          <w:rFonts w:hint="eastAsia" w:ascii="宋体" w:hAnsi="宋体" w:eastAsia="宋体" w:cs="宋体"/>
          <w:szCs w:val="21"/>
          <w14:ligatures w14:val="none"/>
        </w:rPr>
        <w:t>墙面和屋顶广告标识还应考虑防雷措施；</w:t>
      </w:r>
    </w:p>
    <w:p w14:paraId="148E5295">
      <w:pPr>
        <w:pStyle w:val="4"/>
        <w:rPr>
          <w:rFonts w:hint="eastAsia" w:ascii="宋体" w:hAnsi="宋体" w:eastAsia="宋体" w:cs="宋体"/>
        </w:rPr>
      </w:pPr>
      <w:bookmarkStart w:id="129" w:name="_Toc4693"/>
      <w:bookmarkStart w:id="130" w:name="_Toc6222"/>
      <w:bookmarkStart w:id="131" w:name="_Toc175980422"/>
      <w:r>
        <w:rPr>
          <w:rFonts w:hint="eastAsia" w:ascii="宋体" w:hAnsi="宋体" w:eastAsia="宋体" w:cs="宋体"/>
        </w:rPr>
        <w:t>材料及技术要求</w:t>
      </w:r>
      <w:bookmarkEnd w:id="129"/>
      <w:bookmarkEnd w:id="130"/>
      <w:bookmarkEnd w:id="131"/>
    </w:p>
    <w:p w14:paraId="3302CEFC">
      <w:pPr>
        <w:pStyle w:val="5"/>
        <w:rPr>
          <w:rFonts w:hint="eastAsia" w:ascii="宋体" w:hAnsi="宋体" w:eastAsia="宋体" w:cs="宋体"/>
        </w:rPr>
      </w:pPr>
      <w:r>
        <w:rPr>
          <w:rFonts w:hint="eastAsia" w:ascii="宋体" w:hAnsi="宋体" w:eastAsia="宋体" w:cs="宋体"/>
        </w:rPr>
        <w:t>材料部分</w:t>
      </w:r>
    </w:p>
    <w:p w14:paraId="0DCB5D83">
      <w:pPr>
        <w:pStyle w:val="12"/>
        <w:numPr>
          <w:ilvl w:val="0"/>
          <w:numId w:val="37"/>
        </w:numPr>
        <w:ind w:left="0" w:firstLine="0" w:firstLineChars="0"/>
        <w:rPr>
          <w:rFonts w:hint="eastAsia" w:ascii="宋体" w:hAnsi="宋体" w:eastAsia="宋体" w:cs="宋体"/>
          <w:szCs w:val="21"/>
          <w14:ligatures w14:val="none"/>
        </w:rPr>
      </w:pPr>
      <w:r>
        <w:rPr>
          <w:rFonts w:hint="eastAsia" w:ascii="宋体" w:hAnsi="宋体" w:eastAsia="宋体" w:cs="宋体"/>
          <w:szCs w:val="21"/>
          <w14:ligatures w14:val="none"/>
        </w:rPr>
        <w:t>通用要求</w:t>
      </w:r>
    </w:p>
    <w:p w14:paraId="4DCF1466">
      <w:pPr>
        <w:pStyle w:val="12"/>
        <w:numPr>
          <w:ilvl w:val="0"/>
          <w:numId w:val="38"/>
        </w:numPr>
        <w:ind w:left="0" w:firstLine="0" w:firstLineChars="0"/>
        <w:rPr>
          <w:rFonts w:hint="eastAsia" w:ascii="宋体" w:hAnsi="宋体" w:eastAsia="宋体" w:cs="宋体"/>
          <w:szCs w:val="21"/>
          <w14:ligatures w14:val="none"/>
        </w:rPr>
      </w:pPr>
      <w:r>
        <w:rPr>
          <w:rFonts w:hint="eastAsia" w:ascii="宋体" w:hAnsi="宋体" w:eastAsia="宋体" w:cs="宋体"/>
          <w:szCs w:val="21"/>
          <w14:ligatures w14:val="none"/>
        </w:rPr>
        <w:t>本项目所采用的标识制造及安装材料包括但不限于钢材、铝材、玻璃等，标识施工方必须按照工艺图纸的要求准备相关材料，必须提交全部的产品资料及说明文件，包括产品合格证、检验报告、说明书、数据、产品性能和使用产品的安装指南等；</w:t>
      </w:r>
    </w:p>
    <w:p w14:paraId="1C4E7488">
      <w:pPr>
        <w:pStyle w:val="12"/>
        <w:numPr>
          <w:ilvl w:val="0"/>
          <w:numId w:val="38"/>
        </w:numPr>
        <w:ind w:left="0" w:firstLine="0" w:firstLineChars="0"/>
        <w:rPr>
          <w:rFonts w:hint="eastAsia" w:ascii="宋体" w:hAnsi="宋体" w:eastAsia="宋体" w:cs="宋体"/>
          <w:szCs w:val="21"/>
          <w14:ligatures w14:val="none"/>
        </w:rPr>
      </w:pPr>
      <w:r>
        <w:rPr>
          <w:rFonts w:hint="eastAsia" w:ascii="宋体" w:hAnsi="宋体" w:eastAsia="宋体" w:cs="宋体"/>
          <w:szCs w:val="21"/>
          <w14:ligatures w14:val="none"/>
        </w:rPr>
        <w:t>所有材料的加工工艺必须符合相关规范。例如钢材防腐除锈、玻璃钢化等工艺，必须保证使用材料的安全性及可靠性；</w:t>
      </w:r>
    </w:p>
    <w:p w14:paraId="08D95954">
      <w:pPr>
        <w:pStyle w:val="12"/>
        <w:numPr>
          <w:ilvl w:val="0"/>
          <w:numId w:val="38"/>
        </w:numPr>
        <w:ind w:left="0" w:firstLine="0" w:firstLineChars="0"/>
        <w:rPr>
          <w:rFonts w:hint="eastAsia" w:ascii="宋体" w:hAnsi="宋体" w:eastAsia="宋体" w:cs="宋体"/>
          <w:szCs w:val="21"/>
          <w14:ligatures w14:val="none"/>
        </w:rPr>
      </w:pPr>
      <w:r>
        <w:rPr>
          <w:rFonts w:hint="eastAsia" w:ascii="宋体" w:hAnsi="宋体" w:eastAsia="宋体" w:cs="宋体"/>
          <w:szCs w:val="21"/>
          <w14:ligatures w14:val="none"/>
        </w:rPr>
        <w:t>所有材料必须具有足够的强度，能承受一定程度的风压、碰撞及冲</w:t>
      </w:r>
    </w:p>
    <w:p w14:paraId="1544AFC7">
      <w:pPr>
        <w:pStyle w:val="12"/>
        <w:numPr>
          <w:ilvl w:val="0"/>
          <w:numId w:val="38"/>
        </w:numPr>
        <w:ind w:left="0" w:firstLine="0" w:firstLineChars="0"/>
        <w:rPr>
          <w:rFonts w:hint="eastAsia" w:ascii="宋体" w:hAnsi="宋体" w:eastAsia="宋体" w:cs="宋体"/>
          <w:szCs w:val="21"/>
          <w14:ligatures w14:val="none"/>
        </w:rPr>
      </w:pPr>
      <w:r>
        <w:rPr>
          <w:rFonts w:hint="eastAsia" w:ascii="宋体" w:hAnsi="宋体" w:eastAsia="宋体" w:cs="宋体"/>
          <w:szCs w:val="21"/>
          <w14:ligatures w14:val="none"/>
        </w:rPr>
        <w:t>所有设备材料均应符合中国国家的有关环保标准，标识施工方应提交相关的环保检验报告。</w:t>
      </w:r>
    </w:p>
    <w:p w14:paraId="07182AFB">
      <w:pPr>
        <w:pStyle w:val="12"/>
        <w:numPr>
          <w:ilvl w:val="0"/>
          <w:numId w:val="37"/>
        </w:numPr>
        <w:ind w:left="0" w:firstLine="0" w:firstLineChars="0"/>
        <w:rPr>
          <w:rFonts w:hint="eastAsia" w:ascii="宋体" w:hAnsi="宋体" w:eastAsia="宋体" w:cs="宋体"/>
          <w:szCs w:val="21"/>
          <w14:ligatures w14:val="none"/>
        </w:rPr>
      </w:pPr>
      <w:r>
        <w:rPr>
          <w:rFonts w:hint="eastAsia" w:ascii="宋体" w:hAnsi="宋体" w:eastAsia="宋体" w:cs="宋体"/>
          <w:szCs w:val="21"/>
          <w14:ligatures w14:val="none"/>
        </w:rPr>
        <w:t>材料</w:t>
      </w:r>
    </w:p>
    <w:p w14:paraId="45358FD0">
      <w:pPr>
        <w:pStyle w:val="12"/>
        <w:numPr>
          <w:ilvl w:val="0"/>
          <w:numId w:val="39"/>
        </w:numPr>
        <w:ind w:left="0" w:firstLine="0" w:firstLineChars="0"/>
        <w:rPr>
          <w:rFonts w:hint="eastAsia" w:ascii="宋体" w:hAnsi="宋体" w:eastAsia="宋体" w:cs="宋体"/>
          <w:szCs w:val="21"/>
          <w14:ligatures w14:val="none"/>
        </w:rPr>
      </w:pPr>
      <w:r>
        <w:rPr>
          <w:rFonts w:hint="eastAsia" w:ascii="宋体" w:hAnsi="宋体" w:eastAsia="宋体" w:cs="宋体"/>
          <w:szCs w:val="21"/>
          <w14:ligatures w14:val="none"/>
        </w:rPr>
        <w:t>结构材料：采用Q235钢、Q345钢、GB/T17395无缝钢管、GB/T706热轧型钢，镀锌层须符合GB/T13912《金属覆盖层钢铁制件热浸镀锌层》的要求；</w:t>
      </w:r>
    </w:p>
    <w:p w14:paraId="32DAF3FB">
      <w:pPr>
        <w:pStyle w:val="12"/>
        <w:numPr>
          <w:ilvl w:val="0"/>
          <w:numId w:val="39"/>
        </w:numPr>
        <w:ind w:left="0" w:firstLine="0" w:firstLineChars="0"/>
        <w:rPr>
          <w:rFonts w:hint="eastAsia" w:ascii="宋体" w:hAnsi="宋体" w:eastAsia="宋体" w:cs="宋体"/>
          <w:szCs w:val="21"/>
          <w14:ligatures w14:val="none"/>
        </w:rPr>
      </w:pPr>
      <w:r>
        <w:rPr>
          <w:rFonts w:hint="eastAsia" w:ascii="宋体" w:hAnsi="宋体" w:eastAsia="宋体" w:cs="宋体"/>
          <w:szCs w:val="21"/>
          <w14:ligatures w14:val="none"/>
        </w:rPr>
        <w:t>合金铝材：根据工艺设计要求选取牌号不低于6063、GB/T5237《铝合金建筑型材》国家标准要求的板材；</w:t>
      </w:r>
    </w:p>
    <w:p w14:paraId="14CEC0B9">
      <w:pPr>
        <w:pStyle w:val="12"/>
        <w:numPr>
          <w:ilvl w:val="0"/>
          <w:numId w:val="39"/>
        </w:numPr>
        <w:ind w:left="0" w:firstLine="0" w:firstLineChars="0"/>
        <w:rPr>
          <w:rFonts w:hint="eastAsia" w:ascii="宋体" w:hAnsi="宋体" w:eastAsia="宋体" w:cs="宋体"/>
          <w:szCs w:val="21"/>
          <w14:ligatures w14:val="none"/>
        </w:rPr>
      </w:pPr>
      <w:r>
        <w:rPr>
          <w:rFonts w:hint="eastAsia" w:ascii="宋体" w:hAnsi="宋体" w:eastAsia="宋体" w:cs="宋体"/>
          <w:szCs w:val="21"/>
          <w14:ligatures w14:val="none"/>
        </w:rPr>
        <w:t>合金铝型材：所有铝型材必须为建筑用高级产品，其容许加工误差应满足《GB/T 5237 - 铝合金建筑型材的规定》。其材料应达到《GB/T 3190 - 变形铝及铝合金化学成分的要求》。</w:t>
      </w:r>
    </w:p>
    <w:p w14:paraId="5AC43932">
      <w:pPr>
        <w:pStyle w:val="12"/>
        <w:numPr>
          <w:ilvl w:val="0"/>
          <w:numId w:val="39"/>
        </w:numPr>
        <w:ind w:left="0" w:firstLine="0" w:firstLineChars="0"/>
        <w:rPr>
          <w:rFonts w:hint="eastAsia" w:ascii="宋体" w:hAnsi="宋体" w:eastAsia="宋体" w:cs="宋体"/>
          <w:szCs w:val="21"/>
          <w14:ligatures w14:val="none"/>
        </w:rPr>
      </w:pPr>
      <w:r>
        <w:rPr>
          <w:rFonts w:hint="eastAsia" w:ascii="宋体" w:hAnsi="宋体" w:eastAsia="宋体" w:cs="宋体"/>
          <w:szCs w:val="21"/>
          <w14:ligatures w14:val="none"/>
        </w:rPr>
        <w:t>镀锌钢板：根据设计要求选取符合GB/T2518的镀锌钢板，应用于结构或者标识面板，要求符合相关标准规范，符合工艺设计要求；</w:t>
      </w:r>
    </w:p>
    <w:p w14:paraId="34D311A6">
      <w:pPr>
        <w:pStyle w:val="12"/>
        <w:numPr>
          <w:ilvl w:val="0"/>
          <w:numId w:val="39"/>
        </w:numPr>
        <w:ind w:left="0" w:firstLine="0" w:firstLineChars="0"/>
        <w:rPr>
          <w:rFonts w:hint="eastAsia" w:ascii="宋体" w:hAnsi="宋体" w:eastAsia="宋体" w:cs="宋体"/>
          <w:szCs w:val="21"/>
          <w14:ligatures w14:val="none"/>
        </w:rPr>
      </w:pPr>
      <w:r>
        <w:rPr>
          <w:rFonts w:hint="eastAsia" w:ascii="宋体" w:hAnsi="宋体" w:eastAsia="宋体" w:cs="宋体"/>
          <w:szCs w:val="21"/>
          <w14:ligatures w14:val="none"/>
        </w:rPr>
        <w:t>结构件：根据结构设计要求而采用的结构材料，包括但不限于角钢、槽钢、钢管、钢板等材料，要求符合相关标准规范，符合工艺设计要求；</w:t>
      </w:r>
    </w:p>
    <w:p w14:paraId="2058E905">
      <w:pPr>
        <w:pStyle w:val="12"/>
        <w:numPr>
          <w:ilvl w:val="0"/>
          <w:numId w:val="39"/>
        </w:numPr>
        <w:ind w:left="0" w:firstLine="0" w:firstLineChars="0"/>
        <w:rPr>
          <w:rFonts w:hint="eastAsia" w:ascii="宋体" w:hAnsi="宋体" w:eastAsia="宋体" w:cs="宋体"/>
          <w:szCs w:val="21"/>
          <w14:ligatures w14:val="none"/>
        </w:rPr>
      </w:pPr>
      <w:r>
        <w:rPr>
          <w:rFonts w:hint="eastAsia" w:ascii="宋体" w:hAnsi="宋体" w:eastAsia="宋体" w:cs="宋体"/>
          <w:szCs w:val="21"/>
          <w14:ligatures w14:val="none"/>
        </w:rPr>
        <w:t>紧固件：全部的连接扣件（膨胀螺栓、锚固螺栓、固定螺丝等）除特殊要求外为隐蔽安装设置；必须采用对标牌材料或安装表面无腐蚀性的材料；必须采用同种类型不锈钢制造安装钉和垫圈；固定螺丝为不锈钢，防改动移位固定螺丝。结构用栓接结构须符合GB/T18230.6栓接结构用I型六角螺母热浸镀锌（加大攻丝尺寸）A、B级和5.6、8.8级。紧固件必须采用符合GB/T16938关于紧固件、螺栓、螺钉、螺柱和螺母的要求；</w:t>
      </w:r>
    </w:p>
    <w:p w14:paraId="0DF024E2">
      <w:pPr>
        <w:pStyle w:val="12"/>
        <w:numPr>
          <w:ilvl w:val="0"/>
          <w:numId w:val="39"/>
        </w:numPr>
        <w:ind w:left="0" w:firstLine="0" w:firstLineChars="0"/>
        <w:rPr>
          <w:rFonts w:hint="eastAsia" w:ascii="宋体" w:hAnsi="宋体" w:eastAsia="宋体" w:cs="宋体"/>
          <w:szCs w:val="21"/>
          <w14:ligatures w14:val="none"/>
        </w:rPr>
      </w:pPr>
      <w:r>
        <w:rPr>
          <w:rFonts w:hint="eastAsia" w:ascii="宋体" w:hAnsi="宋体" w:eastAsia="宋体" w:cs="宋体"/>
          <w:szCs w:val="21"/>
          <w14:ligatures w14:val="none"/>
        </w:rPr>
        <w:t>反光贴膜：反光贴膜必须符合GB/T 18833公路交通标志反光膜的要求；</w:t>
      </w:r>
    </w:p>
    <w:p w14:paraId="50C3B131">
      <w:pPr>
        <w:pStyle w:val="12"/>
        <w:numPr>
          <w:ilvl w:val="0"/>
          <w:numId w:val="39"/>
        </w:numPr>
        <w:ind w:left="0" w:firstLine="0" w:firstLineChars="0"/>
        <w:rPr>
          <w:rFonts w:hint="eastAsia" w:ascii="宋体" w:hAnsi="宋体" w:eastAsia="宋体" w:cs="宋体"/>
          <w:szCs w:val="21"/>
          <w14:ligatures w14:val="none"/>
        </w:rPr>
      </w:pPr>
      <w:r>
        <w:rPr>
          <w:rFonts w:hint="eastAsia" w:ascii="宋体" w:hAnsi="宋体" w:eastAsia="宋体" w:cs="宋体"/>
          <w:szCs w:val="21"/>
          <w14:ligatures w14:val="none"/>
        </w:rPr>
        <w:t>玻璃材料：必须选取GB/T 15763要求的安全玻璃，符合工艺设计要求;所有玻璃必须钢化处理；夹丝玻璃及表面做处理的玻璃必须符合相关标准规范及设计标准；</w:t>
      </w:r>
    </w:p>
    <w:p w14:paraId="7E717C63">
      <w:pPr>
        <w:pStyle w:val="12"/>
        <w:numPr>
          <w:ilvl w:val="0"/>
          <w:numId w:val="39"/>
        </w:numPr>
        <w:ind w:left="0" w:firstLine="0" w:firstLineChars="0"/>
        <w:rPr>
          <w:rFonts w:hint="eastAsia" w:ascii="宋体" w:hAnsi="宋体" w:eastAsia="宋体" w:cs="宋体"/>
          <w:szCs w:val="21"/>
          <w14:ligatures w14:val="none"/>
        </w:rPr>
      </w:pPr>
      <w:r>
        <w:rPr>
          <w:rFonts w:hint="eastAsia" w:ascii="宋体" w:hAnsi="宋体" w:eastAsia="宋体" w:cs="宋体"/>
          <w:szCs w:val="21"/>
          <w14:ligatures w14:val="none"/>
        </w:rPr>
        <w:t>亚克力材料：根据工艺设计的要求选取符合BS EN ISO 7823-3塑料聚丙烯酸甲酯薄膜的材料。必须为浇铸板材，按照设计要求选用厚度及颜色。最低容许连续服务温度为80 摄氏度，到 93 摄氏度时仍保持稳固，无变形、弯曲或破裂；使用无摩擦清洁剂清洁，对标牌表面不会产生模糊或破坏；使用由亚克力厂家推荐的背景颜色油漆，能够最佳黏附到板材表面，而且不会褪色。</w:t>
      </w:r>
    </w:p>
    <w:p w14:paraId="62BDEF21">
      <w:pPr>
        <w:pStyle w:val="12"/>
        <w:numPr>
          <w:ilvl w:val="0"/>
          <w:numId w:val="39"/>
        </w:numPr>
        <w:ind w:left="0" w:firstLine="0" w:firstLineChars="0"/>
        <w:rPr>
          <w:rFonts w:hint="eastAsia" w:ascii="宋体" w:hAnsi="宋体" w:eastAsia="宋体" w:cs="宋体"/>
          <w:szCs w:val="21"/>
          <w14:ligatures w14:val="none"/>
        </w:rPr>
      </w:pPr>
      <w:r>
        <w:rPr>
          <w:rFonts w:hint="eastAsia" w:ascii="宋体" w:hAnsi="宋体" w:eastAsia="宋体" w:cs="宋体"/>
          <w:szCs w:val="21"/>
          <w14:ligatures w14:val="none"/>
        </w:rPr>
        <w:t>广告贴膜：国内外知名品牌,按照设计要求选择类型及颜色;</w:t>
      </w:r>
    </w:p>
    <w:p w14:paraId="2B8BA6EC">
      <w:pPr>
        <w:pStyle w:val="12"/>
        <w:numPr>
          <w:ilvl w:val="0"/>
          <w:numId w:val="39"/>
        </w:numPr>
        <w:ind w:left="0" w:firstLine="0" w:firstLineChars="0"/>
        <w:rPr>
          <w:rFonts w:hint="eastAsia" w:ascii="宋体" w:hAnsi="宋体" w:eastAsia="宋体" w:cs="宋体"/>
          <w:szCs w:val="21"/>
          <w14:ligatures w14:val="none"/>
        </w:rPr>
      </w:pPr>
      <w:r>
        <w:rPr>
          <w:rFonts w:hint="eastAsia" w:ascii="宋体" w:hAnsi="宋体" w:eastAsia="宋体" w:cs="宋体"/>
          <w:szCs w:val="21"/>
          <w14:ligatures w14:val="none"/>
        </w:rPr>
        <w:t>平板UV:油墨选用必须进口专用油墨，符合环保规定；喷绘精度不得小于1440点；要求必须防水、抗紫外线。</w:t>
      </w:r>
    </w:p>
    <w:p w14:paraId="278F6EB9">
      <w:pPr>
        <w:pStyle w:val="12"/>
        <w:numPr>
          <w:ilvl w:val="0"/>
          <w:numId w:val="39"/>
        </w:numPr>
        <w:ind w:left="0" w:firstLine="0" w:firstLineChars="0"/>
        <w:rPr>
          <w:rFonts w:hint="eastAsia" w:ascii="宋体" w:hAnsi="宋体" w:eastAsia="宋体" w:cs="宋体"/>
          <w:szCs w:val="21"/>
          <w14:ligatures w14:val="none"/>
        </w:rPr>
      </w:pPr>
      <w:r>
        <w:rPr>
          <w:rFonts w:hint="eastAsia" w:ascii="宋体" w:hAnsi="宋体" w:eastAsia="宋体" w:cs="宋体"/>
          <w:szCs w:val="21"/>
          <w14:ligatures w14:val="none"/>
        </w:rPr>
        <w:t>其他辅件：包括粘结剂、密封胶、背撑条以及钢筋混凝土基座等等。必须符合相关标准规范，符合工艺设计要求。</w:t>
      </w:r>
    </w:p>
    <w:p w14:paraId="44977185">
      <w:pPr>
        <w:pStyle w:val="5"/>
        <w:rPr>
          <w:rFonts w:hint="eastAsia" w:ascii="宋体" w:hAnsi="宋体" w:eastAsia="宋体" w:cs="宋体"/>
        </w:rPr>
      </w:pPr>
      <w:r>
        <w:rPr>
          <w:rFonts w:hint="eastAsia" w:ascii="宋体" w:hAnsi="宋体" w:eastAsia="宋体" w:cs="宋体"/>
        </w:rPr>
        <w:t>加工工艺部分</w:t>
      </w:r>
    </w:p>
    <w:p w14:paraId="00EACBA5">
      <w:pPr>
        <w:pStyle w:val="12"/>
        <w:numPr>
          <w:ilvl w:val="0"/>
          <w:numId w:val="40"/>
        </w:numPr>
        <w:ind w:left="0" w:firstLine="0" w:firstLineChars="0"/>
        <w:rPr>
          <w:rFonts w:hint="eastAsia" w:ascii="宋体" w:hAnsi="宋体" w:eastAsia="宋体" w:cs="宋体"/>
          <w:szCs w:val="21"/>
          <w14:ligatures w14:val="none"/>
        </w:rPr>
      </w:pPr>
      <w:r>
        <w:rPr>
          <w:rFonts w:hint="eastAsia" w:ascii="宋体" w:hAnsi="宋体" w:eastAsia="宋体" w:cs="宋体"/>
          <w:szCs w:val="21"/>
          <w14:ligatures w14:val="none"/>
        </w:rPr>
        <w:t>金属结构：</w:t>
      </w:r>
    </w:p>
    <w:p w14:paraId="4A9321A1">
      <w:pPr>
        <w:pStyle w:val="12"/>
        <w:numPr>
          <w:ilvl w:val="0"/>
          <w:numId w:val="41"/>
        </w:numPr>
        <w:ind w:left="0" w:firstLine="0" w:firstLineChars="0"/>
        <w:rPr>
          <w:rFonts w:hint="eastAsia" w:ascii="宋体" w:hAnsi="宋体" w:eastAsia="宋体" w:cs="宋体"/>
          <w:szCs w:val="21"/>
          <w14:ligatures w14:val="none"/>
        </w:rPr>
      </w:pPr>
      <w:r>
        <w:rPr>
          <w:rFonts w:hint="eastAsia" w:ascii="宋体" w:hAnsi="宋体" w:eastAsia="宋体" w:cs="宋体"/>
          <w:szCs w:val="21"/>
          <w14:ligatures w14:val="none"/>
        </w:rPr>
        <w:t>根据工艺设计及相关规范进行制造。弯曲处不允许裂缝或压弯形式印迹。从后面切割模板外角，以降低外露半径；</w:t>
      </w:r>
    </w:p>
    <w:p w14:paraId="097DE92C">
      <w:pPr>
        <w:pStyle w:val="12"/>
        <w:numPr>
          <w:ilvl w:val="0"/>
          <w:numId w:val="41"/>
        </w:numPr>
        <w:ind w:left="0" w:firstLine="0" w:firstLineChars="0"/>
        <w:rPr>
          <w:rFonts w:hint="eastAsia" w:ascii="宋体" w:hAnsi="宋体" w:eastAsia="宋体" w:cs="宋体"/>
          <w:szCs w:val="21"/>
          <w14:ligatures w14:val="none"/>
        </w:rPr>
      </w:pPr>
      <w:r>
        <w:rPr>
          <w:rFonts w:hint="eastAsia" w:ascii="宋体" w:hAnsi="宋体" w:eastAsia="宋体" w:cs="宋体"/>
          <w:szCs w:val="21"/>
          <w14:ligatures w14:val="none"/>
        </w:rPr>
        <w:t>结构切割边缘必须打磨并抛光。要求棱、角、边表面光滑；无毛刺、渣粒；不允许存在机械加工痕迹；</w:t>
      </w:r>
    </w:p>
    <w:p w14:paraId="3E66E718">
      <w:pPr>
        <w:pStyle w:val="12"/>
        <w:numPr>
          <w:ilvl w:val="0"/>
          <w:numId w:val="41"/>
        </w:numPr>
        <w:ind w:left="0" w:firstLine="0" w:firstLineChars="0"/>
        <w:rPr>
          <w:rFonts w:hint="eastAsia" w:ascii="宋体" w:hAnsi="宋体" w:eastAsia="宋体" w:cs="宋体"/>
          <w:szCs w:val="21"/>
          <w14:ligatures w14:val="none"/>
        </w:rPr>
      </w:pPr>
      <w:r>
        <w:rPr>
          <w:rFonts w:hint="eastAsia" w:ascii="宋体" w:hAnsi="宋体" w:eastAsia="宋体" w:cs="宋体"/>
          <w:szCs w:val="21"/>
          <w14:ligatures w14:val="none"/>
        </w:rPr>
        <w:t>结构焊接应有足够的强度和耐久性，结点应紧凑、齐平、光滑而整洁。所有外露表面应经过打磨，而且饰面齐平，无焊接痕迹。饰面焊接应与原物料处理饰面一致。任何对镀锌造成的损坏都必须修补；</w:t>
      </w:r>
    </w:p>
    <w:p w14:paraId="0CBC60B5">
      <w:pPr>
        <w:pStyle w:val="12"/>
        <w:numPr>
          <w:ilvl w:val="0"/>
          <w:numId w:val="41"/>
        </w:numPr>
        <w:ind w:left="0" w:firstLine="0" w:firstLineChars="0"/>
        <w:rPr>
          <w:rFonts w:hint="eastAsia" w:ascii="宋体" w:hAnsi="宋体" w:eastAsia="宋体" w:cs="宋体"/>
          <w:szCs w:val="21"/>
          <w14:ligatures w14:val="none"/>
        </w:rPr>
      </w:pPr>
      <w:r>
        <w:rPr>
          <w:rFonts w:hint="eastAsia" w:ascii="宋体" w:hAnsi="宋体" w:eastAsia="宋体" w:cs="宋体"/>
          <w:szCs w:val="21"/>
          <w14:ligatures w14:val="none"/>
        </w:rPr>
        <w:t>应提供准确的切割标志、字体和数字，角落切割准确，角度完全对齐。从实心板和钢筋材料喷水切割字体和标志，厚度如图所示，四方切割，光滑边缘。修饰所有板边并与表面一致；</w:t>
      </w:r>
    </w:p>
    <w:p w14:paraId="31D6C331">
      <w:pPr>
        <w:pStyle w:val="12"/>
        <w:numPr>
          <w:ilvl w:val="0"/>
          <w:numId w:val="41"/>
        </w:numPr>
        <w:ind w:left="0" w:firstLine="0" w:firstLineChars="0"/>
        <w:rPr>
          <w:rFonts w:hint="eastAsia" w:ascii="宋体" w:hAnsi="宋体" w:eastAsia="宋体" w:cs="宋体"/>
          <w:szCs w:val="21"/>
          <w14:ligatures w14:val="none"/>
        </w:rPr>
      </w:pPr>
      <w:r>
        <w:rPr>
          <w:rFonts w:hint="eastAsia" w:ascii="宋体" w:hAnsi="宋体" w:eastAsia="宋体" w:cs="宋体"/>
          <w:szCs w:val="21"/>
          <w14:ligatures w14:val="none"/>
        </w:rPr>
        <w:t>公差：牌体尺寸公差：尺寸≤500毫米为±1毫米，尺寸＞500毫米为±2毫米；水平、垂直公差允许±1度；平整度公差：≤2.6毫米。</w:t>
      </w:r>
    </w:p>
    <w:p w14:paraId="170AF490">
      <w:pPr>
        <w:pStyle w:val="12"/>
        <w:numPr>
          <w:ilvl w:val="0"/>
          <w:numId w:val="41"/>
        </w:numPr>
        <w:ind w:left="0" w:firstLine="0" w:firstLineChars="0"/>
        <w:rPr>
          <w:rFonts w:hint="eastAsia" w:ascii="宋体" w:hAnsi="宋体" w:eastAsia="宋体" w:cs="宋体"/>
          <w:szCs w:val="21"/>
          <w14:ligatures w14:val="none"/>
        </w:rPr>
      </w:pPr>
      <w:r>
        <w:rPr>
          <w:rFonts w:hint="eastAsia" w:ascii="宋体" w:hAnsi="宋体" w:eastAsia="宋体" w:cs="宋体"/>
          <w:szCs w:val="21"/>
          <w14:ligatures w14:val="none"/>
        </w:rPr>
        <w:t>必须在完成的金属结构内进行完全的除锈及防锈喷涂处理，涂料、涂装遍数、涂层厚度均应符合设计要求若无特殊要求，涂层干漆膜总厚度：室外应为150μm，室内应为125μm，其允许偏差应为-25μm。每遍涂层膜厚度的允许偏差为-5μm。</w:t>
      </w:r>
    </w:p>
    <w:p w14:paraId="1A54EFE9">
      <w:pPr>
        <w:pStyle w:val="12"/>
        <w:numPr>
          <w:ilvl w:val="0"/>
          <w:numId w:val="40"/>
        </w:numPr>
        <w:ind w:left="0" w:firstLine="0" w:firstLineChars="0"/>
        <w:rPr>
          <w:rFonts w:hint="eastAsia" w:ascii="宋体" w:hAnsi="宋体" w:eastAsia="宋体" w:cs="宋体"/>
          <w:szCs w:val="21"/>
          <w14:ligatures w14:val="none"/>
        </w:rPr>
      </w:pPr>
      <w:r>
        <w:rPr>
          <w:rFonts w:hint="eastAsia" w:ascii="宋体" w:hAnsi="宋体" w:eastAsia="宋体" w:cs="宋体"/>
          <w:szCs w:val="21"/>
          <w14:ligatures w14:val="none"/>
        </w:rPr>
        <w:t>面板加工：</w:t>
      </w:r>
    </w:p>
    <w:p w14:paraId="47848EF1">
      <w:pPr>
        <w:pStyle w:val="12"/>
        <w:numPr>
          <w:ilvl w:val="0"/>
          <w:numId w:val="42"/>
        </w:numPr>
        <w:ind w:left="0" w:firstLine="0" w:firstLineChars="0"/>
        <w:rPr>
          <w:rFonts w:hint="eastAsia" w:ascii="宋体" w:hAnsi="宋体" w:eastAsia="宋体" w:cs="宋体"/>
          <w:szCs w:val="21"/>
          <w14:ligatures w14:val="none"/>
        </w:rPr>
      </w:pPr>
      <w:r>
        <w:rPr>
          <w:rFonts w:hint="eastAsia" w:ascii="宋体" w:hAnsi="宋体" w:eastAsia="宋体" w:cs="宋体"/>
          <w:szCs w:val="21"/>
          <w14:ligatures w14:val="none"/>
        </w:rPr>
        <w:t>必须提供准确干净的机械加工，保证面板的精确及平整；根据精确形状进行折弯加工，无凹痕，有笔直的角和边缘。锯割或机切割，成笔直的平面和转角；</w:t>
      </w:r>
    </w:p>
    <w:p w14:paraId="436C9076">
      <w:pPr>
        <w:pStyle w:val="12"/>
        <w:numPr>
          <w:ilvl w:val="0"/>
          <w:numId w:val="42"/>
        </w:numPr>
        <w:ind w:left="0" w:firstLine="0" w:firstLineChars="0"/>
        <w:rPr>
          <w:rFonts w:hint="eastAsia" w:ascii="宋体" w:hAnsi="宋体" w:eastAsia="宋体" w:cs="宋体"/>
          <w:szCs w:val="21"/>
          <w14:ligatures w14:val="none"/>
        </w:rPr>
      </w:pPr>
      <w:r>
        <w:rPr>
          <w:rFonts w:hint="eastAsia" w:ascii="宋体" w:hAnsi="宋体" w:eastAsia="宋体" w:cs="宋体"/>
          <w:szCs w:val="21"/>
          <w14:ligatures w14:val="none"/>
        </w:rPr>
        <w:t>整个折弯过程中，保证工件没有扭曲折断和其它使外露表面变形的损坏；</w:t>
      </w:r>
    </w:p>
    <w:p w14:paraId="36EEE1B3">
      <w:pPr>
        <w:pStyle w:val="12"/>
        <w:numPr>
          <w:ilvl w:val="0"/>
          <w:numId w:val="42"/>
        </w:numPr>
        <w:ind w:left="0" w:firstLine="0" w:firstLineChars="0"/>
        <w:rPr>
          <w:rFonts w:hint="eastAsia" w:ascii="宋体" w:hAnsi="宋体" w:eastAsia="宋体" w:cs="宋体"/>
          <w:szCs w:val="21"/>
          <w14:ligatures w14:val="none"/>
        </w:rPr>
      </w:pPr>
      <w:r>
        <w:rPr>
          <w:rFonts w:hint="eastAsia" w:ascii="宋体" w:hAnsi="宋体" w:eastAsia="宋体" w:cs="宋体"/>
          <w:szCs w:val="21"/>
          <w14:ligatures w14:val="none"/>
        </w:rPr>
        <w:t>保证面板安装部件的隐蔽与牢固；所有面板及配件必须在工厂装配，并在施工现场进行组装；</w:t>
      </w:r>
    </w:p>
    <w:p w14:paraId="055559E9">
      <w:pPr>
        <w:pStyle w:val="12"/>
        <w:numPr>
          <w:ilvl w:val="0"/>
          <w:numId w:val="42"/>
        </w:numPr>
        <w:ind w:left="0" w:firstLine="0" w:firstLineChars="0"/>
        <w:rPr>
          <w:rFonts w:hint="eastAsia" w:ascii="宋体" w:hAnsi="宋体" w:eastAsia="宋体" w:cs="宋体"/>
          <w:szCs w:val="21"/>
          <w14:ligatures w14:val="none"/>
        </w:rPr>
      </w:pPr>
      <w:r>
        <w:rPr>
          <w:rFonts w:hint="eastAsia" w:ascii="宋体" w:hAnsi="宋体" w:eastAsia="宋体" w:cs="宋体"/>
          <w:szCs w:val="21"/>
          <w14:ligatures w14:val="none"/>
        </w:rPr>
        <w:t>4).户外标识必须保证防水及散热性能；</w:t>
      </w:r>
    </w:p>
    <w:p w14:paraId="3666F6DE">
      <w:pPr>
        <w:pStyle w:val="12"/>
        <w:numPr>
          <w:ilvl w:val="0"/>
          <w:numId w:val="40"/>
        </w:numPr>
        <w:ind w:left="0" w:firstLine="0" w:firstLineChars="0"/>
        <w:rPr>
          <w:rFonts w:hint="eastAsia" w:ascii="宋体" w:hAnsi="宋体" w:eastAsia="宋体" w:cs="宋体"/>
          <w:szCs w:val="21"/>
          <w14:ligatures w14:val="none"/>
        </w:rPr>
      </w:pPr>
      <w:r>
        <w:rPr>
          <w:rFonts w:hint="eastAsia" w:ascii="宋体" w:hAnsi="宋体" w:eastAsia="宋体" w:cs="宋体"/>
          <w:szCs w:val="21"/>
          <w14:ligatures w14:val="none"/>
        </w:rPr>
        <w:t>亚克力部件及面板的加工:</w:t>
      </w:r>
    </w:p>
    <w:p w14:paraId="27197778">
      <w:pPr>
        <w:pStyle w:val="12"/>
        <w:ind w:firstLine="420"/>
        <w:rPr>
          <w:rFonts w:hint="eastAsia" w:ascii="宋体" w:hAnsi="宋体" w:eastAsia="宋体" w:cs="宋体"/>
          <w:szCs w:val="21"/>
          <w14:ligatures w14:val="none"/>
        </w:rPr>
      </w:pPr>
      <w:r>
        <w:rPr>
          <w:rFonts w:hint="eastAsia" w:ascii="宋体" w:hAnsi="宋体" w:eastAsia="宋体" w:cs="宋体"/>
          <w:szCs w:val="21"/>
          <w14:ligatures w14:val="none"/>
        </w:rPr>
        <w:t>除特殊要求外，亚克力加工一律采用激光切割方式，以保证边缘光滑，否则必须抛光边角；必须采用厂商推荐的粘接剂进行粘接，保证牢固。尤其较小的文字及图形必须保证牢固粘接；</w:t>
      </w:r>
    </w:p>
    <w:p w14:paraId="170901C0">
      <w:pPr>
        <w:pStyle w:val="12"/>
        <w:numPr>
          <w:ilvl w:val="0"/>
          <w:numId w:val="40"/>
        </w:numPr>
        <w:ind w:left="0" w:firstLine="0" w:firstLineChars="0"/>
        <w:rPr>
          <w:rFonts w:hint="eastAsia" w:ascii="宋体" w:hAnsi="宋体" w:eastAsia="宋体" w:cs="宋体"/>
          <w:szCs w:val="21"/>
          <w14:ligatures w14:val="none"/>
        </w:rPr>
      </w:pPr>
      <w:r>
        <w:rPr>
          <w:rFonts w:hint="eastAsia" w:ascii="宋体" w:hAnsi="宋体" w:eastAsia="宋体" w:cs="宋体"/>
          <w:szCs w:val="21"/>
          <w14:ligatures w14:val="none"/>
        </w:rPr>
        <w:t>饰面：</w:t>
      </w:r>
    </w:p>
    <w:p w14:paraId="46196BB5">
      <w:pPr>
        <w:pStyle w:val="12"/>
        <w:ind w:firstLine="420"/>
        <w:rPr>
          <w:rFonts w:hint="eastAsia" w:ascii="宋体" w:hAnsi="宋体" w:eastAsia="宋体" w:cs="宋体"/>
          <w:szCs w:val="21"/>
          <w14:ligatures w14:val="none"/>
        </w:rPr>
      </w:pPr>
      <w:r>
        <w:rPr>
          <w:rFonts w:hint="eastAsia" w:ascii="宋体" w:hAnsi="宋体" w:eastAsia="宋体" w:cs="宋体"/>
          <w:szCs w:val="21"/>
          <w14:ligatures w14:val="none"/>
        </w:rPr>
        <w:t>根据工艺设计要求采用标准流程的烤漆和阳极氧化，保证所有喷涂表面颜色均匀，漆膜厚度一致、无流挂、无褶皱；除特别说明外，饰面油漆表面为半哑光。</w:t>
      </w:r>
    </w:p>
    <w:p w14:paraId="4C036AD7">
      <w:pPr>
        <w:pStyle w:val="12"/>
        <w:ind w:firstLine="420"/>
        <w:rPr>
          <w:rFonts w:hint="eastAsia" w:ascii="宋体" w:hAnsi="宋体" w:eastAsia="宋体" w:cs="宋体"/>
          <w:szCs w:val="21"/>
          <w14:ligatures w14:val="none"/>
        </w:rPr>
      </w:pPr>
      <w:r>
        <w:rPr>
          <w:rFonts w:hint="eastAsia" w:ascii="宋体" w:hAnsi="宋体" w:eastAsia="宋体" w:cs="宋体"/>
        </w:rPr>
        <w:tab/>
      </w:r>
    </w:p>
    <w:sectPr>
      <w:footerReference r:id="rId11" w:type="default"/>
      <w:pgSz w:w="11906" w:h="16838"/>
      <w:pgMar w:top="1418" w:right="1537" w:bottom="1134" w:left="1537" w:header="0" w:footer="567" w:gutter="0"/>
      <w:pgNumType w:start="1"/>
      <w:cols w:space="425" w:num="1"/>
      <w:docGrid w:type="lines"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81212EE7-A8AE-4D73-8F8E-3956540CEC9C}"/>
  </w:font>
  <w:font w:name="Arial">
    <w:panose1 w:val="020B0604020202020204"/>
    <w:charset w:val="01"/>
    <w:family w:val="swiss"/>
    <w:pitch w:val="default"/>
    <w:sig w:usb0="E0002EFF" w:usb1="C000785B" w:usb2="00000009" w:usb3="00000000" w:csb0="400001FF" w:csb1="FFFF0000"/>
    <w:embedRegular r:id="rId2" w:fontKey="{63256B24-58F4-477C-9C69-DF52E7E11529}"/>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embedRegular r:id="rId3" w:fontKey="{71E6BBE5-6934-4A0E-B67A-0879ADBB6397}"/>
  </w:font>
  <w:font w:name="Symbol">
    <w:panose1 w:val="05050102010706020507"/>
    <w:charset w:val="02"/>
    <w:family w:val="roman"/>
    <w:pitch w:val="default"/>
    <w:sig w:usb0="00000000" w:usb1="00000000" w:usb2="00000000" w:usb3="00000000" w:csb0="80000000" w:csb1="00000000"/>
    <w:embedRegular r:id="rId4" w:fontKey="{925178B4-F0B8-411D-BD01-323DFF03F8A9}"/>
  </w:font>
  <w:font w:name="Calibri">
    <w:panose1 w:val="020F0502020204030204"/>
    <w:charset w:val="00"/>
    <w:family w:val="swiss"/>
    <w:pitch w:val="default"/>
    <w:sig w:usb0="E4002EFF" w:usb1="C200247B" w:usb2="00000009" w:usb3="00000000" w:csb0="200001FF" w:csb1="00000000"/>
    <w:embedRegular r:id="rId5" w:fontKey="{B95AD692-9D90-40D8-874B-F9F413F59F82}"/>
  </w:font>
  <w:font w:name="仿宋">
    <w:panose1 w:val="02010609060101010101"/>
    <w:charset w:val="86"/>
    <w:family w:val="modern"/>
    <w:pitch w:val="default"/>
    <w:sig w:usb0="800002BF" w:usb1="38CF7CFA" w:usb2="00000016" w:usb3="00000000" w:csb0="00040001" w:csb1="00000000"/>
    <w:embedRegular r:id="rId6" w:fontKey="{74AFA8CF-180E-4FC7-9FF6-D16469428F6D}"/>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embedRegular r:id="rId7" w:fontKey="{100956BB-8DA8-442E-915D-541E3A832343}"/>
  </w:font>
  <w:font w:name="Gulim">
    <w:panose1 w:val="020B0600000101010101"/>
    <w:charset w:val="81"/>
    <w:family w:val="auto"/>
    <w:pitch w:val="default"/>
    <w:sig w:usb0="B00002AF" w:usb1="69D77CFB" w:usb2="00000030" w:usb3="00000000" w:csb0="4008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92A8F6">
    <w:pPr>
      <w:pStyle w:val="15"/>
      <w:jc w:val="center"/>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8A8370">
    <w:pPr>
      <w:pStyle w:val="15"/>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A2A01D">
    <w:pPr>
      <w:pStyle w:val="15"/>
      <w:rPr>
        <w:rFonts w:hint="eastAsi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EAD28B">
    <w:pPr>
      <w:pStyle w:val="15"/>
      <w:jc w:val="center"/>
      <w:rPr>
        <w:rFonts w:hint="eastAsia"/>
      </w:rPr>
    </w:pPr>
    <w:sdt>
      <w:sdtPr>
        <w:id w:val="-18238816"/>
        <w:docPartObj>
          <w:docPartGallery w:val="autotext"/>
        </w:docPartObj>
      </w:sdtPr>
      <w:sdtContent>
        <w:r>
          <w:rPr>
            <w:rFonts w:hint="eastAsia"/>
          </w:rPr>
          <w:t xml:space="preserve">- </w:t>
        </w:r>
        <w:r>
          <w:fldChar w:fldCharType="begin"/>
        </w:r>
        <w:r>
          <w:instrText xml:space="preserve">PAGE   \* MERGEFORMAT</w:instrText>
        </w:r>
        <w:r>
          <w:fldChar w:fldCharType="separate"/>
        </w:r>
        <w:r>
          <w:rPr>
            <w:lang w:val="zh-CN"/>
          </w:rPr>
          <w:t>2</w:t>
        </w:r>
        <w:r>
          <w:fldChar w:fldCharType="end"/>
        </w:r>
      </w:sdtContent>
    </w:sdt>
    <w:r>
      <w:rPr>
        <w:rFonts w:hint="eastAsia"/>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6BE903">
    <w:pPr>
      <w:pStyle w:val="16"/>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6BC774">
    <w:pPr>
      <w:pStyle w:val="16"/>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A9AE3F">
    <w:pPr>
      <w:pStyle w:val="16"/>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764D7A"/>
    <w:multiLevelType w:val="multilevel"/>
    <w:tmpl w:val="00764D7A"/>
    <w:lvl w:ilvl="0" w:tentative="0">
      <w:start w:val="1"/>
      <w:numFmt w:val="decimal"/>
      <w:lvlText w:val="%1)"/>
      <w:lvlJc w:val="left"/>
      <w:pPr>
        <w:ind w:left="86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03C42E91"/>
    <w:multiLevelType w:val="multilevel"/>
    <w:tmpl w:val="03C42E91"/>
    <w:lvl w:ilvl="0" w:tentative="0">
      <w:start w:val="1"/>
      <w:numFmt w:val="decimal"/>
      <w:lvlText w:val="%1)"/>
      <w:lvlJc w:val="left"/>
      <w:pPr>
        <w:ind w:left="860" w:hanging="440"/>
      </w:pPr>
    </w:lvl>
    <w:lvl w:ilvl="1" w:tentative="0">
      <w:start w:val="1"/>
      <w:numFmt w:val="decimal"/>
      <w:lvlText w:val="%2."/>
      <w:lvlJc w:val="left"/>
      <w:pPr>
        <w:ind w:left="1220" w:hanging="360"/>
      </w:pPr>
      <w:rPr>
        <w:rFonts w:hint="default"/>
      </w:r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2">
    <w:nsid w:val="053F601E"/>
    <w:multiLevelType w:val="multilevel"/>
    <w:tmpl w:val="053F601E"/>
    <w:lvl w:ilvl="0" w:tentative="0">
      <w:start w:val="1"/>
      <w:numFmt w:val="decimal"/>
      <w:lvlText w:val="%1、"/>
      <w:lvlJc w:val="left"/>
      <w:pPr>
        <w:ind w:left="860" w:hanging="440"/>
      </w:pPr>
      <w:rPr>
        <w:rFonts w:hint="eastAsia"/>
        <w:b/>
      </w:rPr>
    </w:lvl>
    <w:lvl w:ilvl="1" w:tentative="0">
      <w:start w:val="1"/>
      <w:numFmt w:val="decimal"/>
      <w:lvlText w:val="%2)"/>
      <w:lvlJc w:val="left"/>
      <w:pPr>
        <w:ind w:left="86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3">
    <w:nsid w:val="09BF1D67"/>
    <w:multiLevelType w:val="multilevel"/>
    <w:tmpl w:val="09BF1D67"/>
    <w:lvl w:ilvl="0" w:tentative="0">
      <w:start w:val="1"/>
      <w:numFmt w:val="lowerLetter"/>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4">
    <w:nsid w:val="13025B6F"/>
    <w:multiLevelType w:val="multilevel"/>
    <w:tmpl w:val="13025B6F"/>
    <w:lvl w:ilvl="0" w:tentative="0">
      <w:start w:val="1"/>
      <w:numFmt w:val="decimal"/>
      <w:lvlText w:val="%1)"/>
      <w:lvlJc w:val="left"/>
      <w:pPr>
        <w:ind w:left="86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
    <w:nsid w:val="134F5F49"/>
    <w:multiLevelType w:val="multilevel"/>
    <w:tmpl w:val="134F5F49"/>
    <w:lvl w:ilvl="0" w:tentative="0">
      <w:start w:val="1"/>
      <w:numFmt w:val="decimal"/>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6">
    <w:nsid w:val="13FE2778"/>
    <w:multiLevelType w:val="multilevel"/>
    <w:tmpl w:val="13FE2778"/>
    <w:lvl w:ilvl="0" w:tentative="0">
      <w:start w:val="1"/>
      <w:numFmt w:val="decimal"/>
      <w:lvlText w:val="%1)"/>
      <w:lvlJc w:val="left"/>
      <w:pPr>
        <w:ind w:left="1740" w:hanging="440"/>
      </w:pPr>
    </w:lvl>
    <w:lvl w:ilvl="1" w:tentative="0">
      <w:start w:val="1"/>
      <w:numFmt w:val="decimal"/>
      <w:lvlText w:val="%2）"/>
      <w:lvlJc w:val="left"/>
      <w:pPr>
        <w:ind w:left="2100" w:hanging="360"/>
      </w:pPr>
      <w:rPr>
        <w:rFonts w:hint="default"/>
      </w:rPr>
    </w:lvl>
    <w:lvl w:ilvl="2" w:tentative="0">
      <w:start w:val="1"/>
      <w:numFmt w:val="lowerRoman"/>
      <w:lvlText w:val="%3."/>
      <w:lvlJc w:val="right"/>
      <w:pPr>
        <w:ind w:left="2620" w:hanging="440"/>
      </w:pPr>
    </w:lvl>
    <w:lvl w:ilvl="3" w:tentative="0">
      <w:start w:val="1"/>
      <w:numFmt w:val="decimal"/>
      <w:lvlText w:val="%4."/>
      <w:lvlJc w:val="left"/>
      <w:pPr>
        <w:ind w:left="3060" w:hanging="440"/>
      </w:pPr>
    </w:lvl>
    <w:lvl w:ilvl="4" w:tentative="0">
      <w:start w:val="1"/>
      <w:numFmt w:val="lowerLetter"/>
      <w:lvlText w:val="%5)"/>
      <w:lvlJc w:val="left"/>
      <w:pPr>
        <w:ind w:left="3500" w:hanging="440"/>
      </w:pPr>
    </w:lvl>
    <w:lvl w:ilvl="5" w:tentative="0">
      <w:start w:val="1"/>
      <w:numFmt w:val="lowerRoman"/>
      <w:lvlText w:val="%6."/>
      <w:lvlJc w:val="right"/>
      <w:pPr>
        <w:ind w:left="3940" w:hanging="440"/>
      </w:pPr>
    </w:lvl>
    <w:lvl w:ilvl="6" w:tentative="0">
      <w:start w:val="1"/>
      <w:numFmt w:val="decimal"/>
      <w:lvlText w:val="%7."/>
      <w:lvlJc w:val="left"/>
      <w:pPr>
        <w:ind w:left="4380" w:hanging="440"/>
      </w:pPr>
    </w:lvl>
    <w:lvl w:ilvl="7" w:tentative="0">
      <w:start w:val="1"/>
      <w:numFmt w:val="lowerLetter"/>
      <w:lvlText w:val="%8)"/>
      <w:lvlJc w:val="left"/>
      <w:pPr>
        <w:ind w:left="4820" w:hanging="440"/>
      </w:pPr>
    </w:lvl>
    <w:lvl w:ilvl="8" w:tentative="0">
      <w:start w:val="1"/>
      <w:numFmt w:val="lowerRoman"/>
      <w:lvlText w:val="%9."/>
      <w:lvlJc w:val="right"/>
      <w:pPr>
        <w:ind w:left="5260" w:hanging="440"/>
      </w:pPr>
    </w:lvl>
  </w:abstractNum>
  <w:abstractNum w:abstractNumId="7">
    <w:nsid w:val="156A32EB"/>
    <w:multiLevelType w:val="multilevel"/>
    <w:tmpl w:val="156A32EB"/>
    <w:lvl w:ilvl="0" w:tentative="0">
      <w:start w:val="1"/>
      <w:numFmt w:val="lowerLetter"/>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8">
    <w:nsid w:val="185366E3"/>
    <w:multiLevelType w:val="multilevel"/>
    <w:tmpl w:val="185366E3"/>
    <w:lvl w:ilvl="0" w:tentative="0">
      <w:start w:val="1"/>
      <w:numFmt w:val="decimal"/>
      <w:lvlText w:val="%1)"/>
      <w:lvlJc w:val="left"/>
      <w:pPr>
        <w:ind w:left="1300" w:hanging="440"/>
      </w:pPr>
    </w:lvl>
    <w:lvl w:ilvl="1" w:tentative="0">
      <w:start w:val="1"/>
      <w:numFmt w:val="lowerLetter"/>
      <w:lvlText w:val="%2)"/>
      <w:lvlJc w:val="left"/>
      <w:pPr>
        <w:ind w:left="1740" w:hanging="440"/>
      </w:pPr>
    </w:lvl>
    <w:lvl w:ilvl="2" w:tentative="0">
      <w:start w:val="1"/>
      <w:numFmt w:val="lowerRoman"/>
      <w:lvlText w:val="%3."/>
      <w:lvlJc w:val="right"/>
      <w:pPr>
        <w:ind w:left="2180" w:hanging="440"/>
      </w:pPr>
    </w:lvl>
    <w:lvl w:ilvl="3" w:tentative="0">
      <w:start w:val="1"/>
      <w:numFmt w:val="decimal"/>
      <w:lvlText w:val="%4."/>
      <w:lvlJc w:val="left"/>
      <w:pPr>
        <w:ind w:left="2620" w:hanging="440"/>
      </w:pPr>
    </w:lvl>
    <w:lvl w:ilvl="4" w:tentative="0">
      <w:start w:val="1"/>
      <w:numFmt w:val="lowerLetter"/>
      <w:lvlText w:val="%5)"/>
      <w:lvlJc w:val="left"/>
      <w:pPr>
        <w:ind w:left="3060" w:hanging="440"/>
      </w:pPr>
    </w:lvl>
    <w:lvl w:ilvl="5" w:tentative="0">
      <w:start w:val="1"/>
      <w:numFmt w:val="lowerRoman"/>
      <w:lvlText w:val="%6."/>
      <w:lvlJc w:val="right"/>
      <w:pPr>
        <w:ind w:left="3500" w:hanging="440"/>
      </w:pPr>
    </w:lvl>
    <w:lvl w:ilvl="6" w:tentative="0">
      <w:start w:val="1"/>
      <w:numFmt w:val="decimal"/>
      <w:lvlText w:val="%7."/>
      <w:lvlJc w:val="left"/>
      <w:pPr>
        <w:ind w:left="3940" w:hanging="440"/>
      </w:pPr>
    </w:lvl>
    <w:lvl w:ilvl="7" w:tentative="0">
      <w:start w:val="1"/>
      <w:numFmt w:val="lowerLetter"/>
      <w:lvlText w:val="%8)"/>
      <w:lvlJc w:val="left"/>
      <w:pPr>
        <w:ind w:left="4380" w:hanging="440"/>
      </w:pPr>
    </w:lvl>
    <w:lvl w:ilvl="8" w:tentative="0">
      <w:start w:val="1"/>
      <w:numFmt w:val="lowerRoman"/>
      <w:lvlText w:val="%9."/>
      <w:lvlJc w:val="right"/>
      <w:pPr>
        <w:ind w:left="4820" w:hanging="440"/>
      </w:pPr>
    </w:lvl>
  </w:abstractNum>
  <w:abstractNum w:abstractNumId="9">
    <w:nsid w:val="18907B42"/>
    <w:multiLevelType w:val="multilevel"/>
    <w:tmpl w:val="18907B42"/>
    <w:lvl w:ilvl="0" w:tentative="0">
      <w:start w:val="1"/>
      <w:numFmt w:val="lowerLetter"/>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0">
    <w:nsid w:val="1ACE0C3B"/>
    <w:multiLevelType w:val="multilevel"/>
    <w:tmpl w:val="1ACE0C3B"/>
    <w:lvl w:ilvl="0" w:tentative="0">
      <w:start w:val="1"/>
      <w:numFmt w:val="decimal"/>
      <w:lvlText w:val="%1)"/>
      <w:lvlJc w:val="left"/>
      <w:pPr>
        <w:ind w:left="86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1">
    <w:nsid w:val="1C935E52"/>
    <w:multiLevelType w:val="multilevel"/>
    <w:tmpl w:val="1C935E52"/>
    <w:lvl w:ilvl="0" w:tentative="0">
      <w:start w:val="1"/>
      <w:numFmt w:val="lowerLetter"/>
      <w:lvlText w:val="%1)"/>
      <w:lvlJc w:val="left"/>
      <w:pPr>
        <w:ind w:left="1300" w:hanging="440"/>
      </w:pPr>
    </w:lvl>
    <w:lvl w:ilvl="1" w:tentative="0">
      <w:start w:val="1"/>
      <w:numFmt w:val="lowerLetter"/>
      <w:lvlText w:val="%2)"/>
      <w:lvlJc w:val="left"/>
      <w:pPr>
        <w:ind w:left="1740" w:hanging="440"/>
      </w:pPr>
    </w:lvl>
    <w:lvl w:ilvl="2" w:tentative="0">
      <w:start w:val="1"/>
      <w:numFmt w:val="lowerRoman"/>
      <w:lvlText w:val="%3."/>
      <w:lvlJc w:val="right"/>
      <w:pPr>
        <w:ind w:left="2180" w:hanging="440"/>
      </w:pPr>
    </w:lvl>
    <w:lvl w:ilvl="3" w:tentative="0">
      <w:start w:val="1"/>
      <w:numFmt w:val="decimal"/>
      <w:lvlText w:val="%4."/>
      <w:lvlJc w:val="left"/>
      <w:pPr>
        <w:ind w:left="2620" w:hanging="440"/>
      </w:pPr>
    </w:lvl>
    <w:lvl w:ilvl="4" w:tentative="0">
      <w:start w:val="1"/>
      <w:numFmt w:val="lowerLetter"/>
      <w:lvlText w:val="%5)"/>
      <w:lvlJc w:val="left"/>
      <w:pPr>
        <w:ind w:left="3060" w:hanging="440"/>
      </w:pPr>
    </w:lvl>
    <w:lvl w:ilvl="5" w:tentative="0">
      <w:start w:val="1"/>
      <w:numFmt w:val="lowerRoman"/>
      <w:lvlText w:val="%6."/>
      <w:lvlJc w:val="right"/>
      <w:pPr>
        <w:ind w:left="3500" w:hanging="440"/>
      </w:pPr>
    </w:lvl>
    <w:lvl w:ilvl="6" w:tentative="0">
      <w:start w:val="1"/>
      <w:numFmt w:val="decimal"/>
      <w:lvlText w:val="%7."/>
      <w:lvlJc w:val="left"/>
      <w:pPr>
        <w:ind w:left="3940" w:hanging="440"/>
      </w:pPr>
    </w:lvl>
    <w:lvl w:ilvl="7" w:tentative="0">
      <w:start w:val="1"/>
      <w:numFmt w:val="lowerLetter"/>
      <w:lvlText w:val="%8)"/>
      <w:lvlJc w:val="left"/>
      <w:pPr>
        <w:ind w:left="4380" w:hanging="440"/>
      </w:pPr>
    </w:lvl>
    <w:lvl w:ilvl="8" w:tentative="0">
      <w:start w:val="1"/>
      <w:numFmt w:val="lowerRoman"/>
      <w:lvlText w:val="%9."/>
      <w:lvlJc w:val="right"/>
      <w:pPr>
        <w:ind w:left="4820" w:hanging="440"/>
      </w:pPr>
    </w:lvl>
  </w:abstractNum>
  <w:abstractNum w:abstractNumId="12">
    <w:nsid w:val="210E3E5A"/>
    <w:multiLevelType w:val="multilevel"/>
    <w:tmpl w:val="210E3E5A"/>
    <w:lvl w:ilvl="0" w:tentative="0">
      <w:start w:val="1"/>
      <w:numFmt w:val="lowerLetter"/>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3">
    <w:nsid w:val="21A200A8"/>
    <w:multiLevelType w:val="multilevel"/>
    <w:tmpl w:val="21A200A8"/>
    <w:lvl w:ilvl="0" w:tentative="0">
      <w:start w:val="1"/>
      <w:numFmt w:val="decimal"/>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4">
    <w:nsid w:val="241A23F9"/>
    <w:multiLevelType w:val="multilevel"/>
    <w:tmpl w:val="241A23F9"/>
    <w:lvl w:ilvl="0" w:tentative="0">
      <w:start w:val="1"/>
      <w:numFmt w:val="lowerLetter"/>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5">
    <w:nsid w:val="3611610A"/>
    <w:multiLevelType w:val="multilevel"/>
    <w:tmpl w:val="3611610A"/>
    <w:lvl w:ilvl="0" w:tentative="0">
      <w:start w:val="1"/>
      <w:numFmt w:val="lowerLetter"/>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6">
    <w:nsid w:val="3F5E2ED3"/>
    <w:multiLevelType w:val="multilevel"/>
    <w:tmpl w:val="3F5E2ED3"/>
    <w:lvl w:ilvl="0" w:tentative="0">
      <w:start w:val="1"/>
      <w:numFmt w:val="lowerLetter"/>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7">
    <w:nsid w:val="45BD33A6"/>
    <w:multiLevelType w:val="multilevel"/>
    <w:tmpl w:val="45BD33A6"/>
    <w:lvl w:ilvl="0" w:tentative="0">
      <w:start w:val="1"/>
      <w:numFmt w:val="lowerLetter"/>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8">
    <w:nsid w:val="4F53610E"/>
    <w:multiLevelType w:val="multilevel"/>
    <w:tmpl w:val="4F53610E"/>
    <w:lvl w:ilvl="0" w:tentative="0">
      <w:start w:val="1"/>
      <w:numFmt w:val="lowerLetter"/>
      <w:lvlText w:val="%1)"/>
      <w:lvlJc w:val="left"/>
      <w:pPr>
        <w:ind w:left="1300" w:hanging="440"/>
      </w:pPr>
    </w:lvl>
    <w:lvl w:ilvl="1" w:tentative="0">
      <w:start w:val="1"/>
      <w:numFmt w:val="lowerLetter"/>
      <w:lvlText w:val="%2)"/>
      <w:lvlJc w:val="left"/>
      <w:pPr>
        <w:ind w:left="1740" w:hanging="440"/>
      </w:pPr>
    </w:lvl>
    <w:lvl w:ilvl="2" w:tentative="0">
      <w:start w:val="1"/>
      <w:numFmt w:val="lowerRoman"/>
      <w:lvlText w:val="%3."/>
      <w:lvlJc w:val="right"/>
      <w:pPr>
        <w:ind w:left="2180" w:hanging="440"/>
      </w:pPr>
    </w:lvl>
    <w:lvl w:ilvl="3" w:tentative="0">
      <w:start w:val="1"/>
      <w:numFmt w:val="decimal"/>
      <w:lvlText w:val="%4."/>
      <w:lvlJc w:val="left"/>
      <w:pPr>
        <w:ind w:left="2620" w:hanging="440"/>
      </w:pPr>
    </w:lvl>
    <w:lvl w:ilvl="4" w:tentative="0">
      <w:start w:val="1"/>
      <w:numFmt w:val="lowerLetter"/>
      <w:lvlText w:val="%5)"/>
      <w:lvlJc w:val="left"/>
      <w:pPr>
        <w:ind w:left="3060" w:hanging="440"/>
      </w:pPr>
    </w:lvl>
    <w:lvl w:ilvl="5" w:tentative="0">
      <w:start w:val="1"/>
      <w:numFmt w:val="lowerRoman"/>
      <w:lvlText w:val="%6."/>
      <w:lvlJc w:val="right"/>
      <w:pPr>
        <w:ind w:left="3500" w:hanging="440"/>
      </w:pPr>
    </w:lvl>
    <w:lvl w:ilvl="6" w:tentative="0">
      <w:start w:val="1"/>
      <w:numFmt w:val="decimal"/>
      <w:lvlText w:val="%7."/>
      <w:lvlJc w:val="left"/>
      <w:pPr>
        <w:ind w:left="3940" w:hanging="440"/>
      </w:pPr>
    </w:lvl>
    <w:lvl w:ilvl="7" w:tentative="0">
      <w:start w:val="1"/>
      <w:numFmt w:val="lowerLetter"/>
      <w:lvlText w:val="%8)"/>
      <w:lvlJc w:val="left"/>
      <w:pPr>
        <w:ind w:left="4380" w:hanging="440"/>
      </w:pPr>
    </w:lvl>
    <w:lvl w:ilvl="8" w:tentative="0">
      <w:start w:val="1"/>
      <w:numFmt w:val="lowerRoman"/>
      <w:lvlText w:val="%9."/>
      <w:lvlJc w:val="right"/>
      <w:pPr>
        <w:ind w:left="4820" w:hanging="440"/>
      </w:pPr>
    </w:lvl>
  </w:abstractNum>
  <w:abstractNum w:abstractNumId="19">
    <w:nsid w:val="52D50A5D"/>
    <w:multiLevelType w:val="multilevel"/>
    <w:tmpl w:val="52D50A5D"/>
    <w:lvl w:ilvl="0" w:tentative="0">
      <w:start w:val="1"/>
      <w:numFmt w:val="decimal"/>
      <w:lvlText w:val="%1)"/>
      <w:lvlJc w:val="left"/>
      <w:pPr>
        <w:ind w:left="860" w:hanging="440"/>
      </w:pPr>
    </w:lvl>
    <w:lvl w:ilvl="1" w:tentative="0">
      <w:start w:val="1"/>
      <w:numFmt w:val="decimal"/>
      <w:lvlText w:val="(%2)"/>
      <w:lvlJc w:val="left"/>
      <w:pPr>
        <w:ind w:left="1220" w:hanging="360"/>
      </w:pPr>
      <w:rPr>
        <w:rFonts w:hint="default"/>
      </w:r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20">
    <w:nsid w:val="53396639"/>
    <w:multiLevelType w:val="multilevel"/>
    <w:tmpl w:val="53396639"/>
    <w:lvl w:ilvl="0" w:tentative="0">
      <w:start w:val="1"/>
      <w:numFmt w:val="decimal"/>
      <w:lvlText w:val="%1)"/>
      <w:lvlJc w:val="left"/>
      <w:pPr>
        <w:ind w:left="440" w:hanging="440"/>
      </w:pPr>
    </w:lvl>
    <w:lvl w:ilvl="1" w:tentative="0">
      <w:start w:val="1"/>
      <w:numFmt w:val="decimal"/>
      <w:lvlText w:val="%2)"/>
      <w:lvlJc w:val="left"/>
      <w:pPr>
        <w:ind w:left="800" w:hanging="360"/>
      </w:pPr>
      <w:rPr>
        <w:rFonts w:hint="default"/>
      </w:r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1">
    <w:nsid w:val="56431B20"/>
    <w:multiLevelType w:val="multilevel"/>
    <w:tmpl w:val="56431B20"/>
    <w:lvl w:ilvl="0" w:tentative="0">
      <w:start w:val="1"/>
      <w:numFmt w:val="lowerLetter"/>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22">
    <w:nsid w:val="581F73DE"/>
    <w:multiLevelType w:val="multilevel"/>
    <w:tmpl w:val="581F73DE"/>
    <w:lvl w:ilvl="0" w:tentative="0">
      <w:start w:val="1"/>
      <w:numFmt w:val="lowerLetter"/>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23">
    <w:nsid w:val="58847BA3"/>
    <w:multiLevelType w:val="multilevel"/>
    <w:tmpl w:val="58847BA3"/>
    <w:lvl w:ilvl="0" w:tentative="0">
      <w:start w:val="1"/>
      <w:numFmt w:val="decimal"/>
      <w:lvlText w:val="%1)"/>
      <w:lvlJc w:val="left"/>
      <w:pPr>
        <w:ind w:left="860" w:hanging="440"/>
      </w:pPr>
    </w:lvl>
    <w:lvl w:ilvl="1" w:tentative="0">
      <w:start w:val="1"/>
      <w:numFmt w:val="decimal"/>
      <w:lvlText w:val="(%2)"/>
      <w:lvlJc w:val="left"/>
      <w:pPr>
        <w:ind w:left="1220" w:hanging="360"/>
      </w:pPr>
      <w:rPr>
        <w:rFonts w:hint="default"/>
      </w:r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24">
    <w:nsid w:val="5B7D1D7E"/>
    <w:multiLevelType w:val="multilevel"/>
    <w:tmpl w:val="5B7D1D7E"/>
    <w:lvl w:ilvl="0" w:tentative="0">
      <w:start w:val="1"/>
      <w:numFmt w:val="decimal"/>
      <w:lvlText w:val="%1)"/>
      <w:lvlJc w:val="left"/>
      <w:pPr>
        <w:ind w:left="86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5">
    <w:nsid w:val="5F795D81"/>
    <w:multiLevelType w:val="multilevel"/>
    <w:tmpl w:val="5F795D81"/>
    <w:lvl w:ilvl="0" w:tentative="0">
      <w:start w:val="1"/>
      <w:numFmt w:val="decimal"/>
      <w:pStyle w:val="2"/>
      <w:suff w:val="space"/>
      <w:lvlText w:val="第%1章"/>
      <w:lvlJc w:val="center"/>
      <w:pPr>
        <w:ind w:left="0" w:firstLine="0"/>
      </w:pPr>
      <w:rPr>
        <w:rFonts w:hint="eastAsia" w:ascii="黑体" w:hAnsi="黑体" w:eastAsia="黑体" w:cs="黑体"/>
        <w:b/>
        <w:i w:val="0"/>
        <w:sz w:val="48"/>
        <w:szCs w:val="48"/>
      </w:rPr>
    </w:lvl>
    <w:lvl w:ilvl="1" w:tentative="0">
      <w:start w:val="1"/>
      <w:numFmt w:val="decimal"/>
      <w:pStyle w:val="3"/>
      <w:suff w:val="space"/>
      <w:lvlText w:val="%2"/>
      <w:lvlJc w:val="left"/>
      <w:pPr>
        <w:ind w:left="0" w:firstLine="0"/>
      </w:pPr>
      <w:rPr>
        <w:rFonts w:hint="eastAsia" w:ascii="仿宋" w:hAnsi="仿宋" w:eastAsia="仿宋" w:cs="仿宋"/>
        <w:b/>
        <w:i w:val="0"/>
        <w:sz w:val="32"/>
      </w:rPr>
    </w:lvl>
    <w:lvl w:ilvl="2" w:tentative="0">
      <w:start w:val="1"/>
      <w:numFmt w:val="decimal"/>
      <w:pStyle w:val="4"/>
      <w:suff w:val="space"/>
      <w:lvlText w:val="%2.%3"/>
      <w:lvlJc w:val="left"/>
      <w:pPr>
        <w:ind w:left="0" w:firstLine="0"/>
      </w:pPr>
      <w:rPr>
        <w:rFonts w:hint="eastAsia" w:ascii="仿宋" w:hAnsi="仿宋" w:eastAsia="仿宋" w:cs="仿宋"/>
        <w:b/>
        <w:bCs/>
        <w:sz w:val="28"/>
        <w:szCs w:val="28"/>
      </w:rPr>
    </w:lvl>
    <w:lvl w:ilvl="3" w:tentative="0">
      <w:start w:val="1"/>
      <w:numFmt w:val="decimal"/>
      <w:pStyle w:val="5"/>
      <w:suff w:val="space"/>
      <w:lvlText w:val="%2.%3.%4"/>
      <w:lvlJc w:val="left"/>
      <w:pPr>
        <w:ind w:left="0" w:firstLine="0"/>
      </w:pPr>
      <w:rPr>
        <w:rFonts w:hint="eastAsia" w:ascii="仿宋" w:hAnsi="仿宋" w:eastAsia="仿宋" w:cs="仿宋"/>
        <w:b/>
        <w:bCs/>
        <w:sz w:val="28"/>
        <w:szCs w:val="28"/>
      </w:rPr>
    </w:lvl>
    <w:lvl w:ilvl="4" w:tentative="0">
      <w:start w:val="1"/>
      <w:numFmt w:val="decimal"/>
      <w:pStyle w:val="6"/>
      <w:suff w:val="space"/>
      <w:lvlText w:val="%2.%3.%4.%5"/>
      <w:lvlJc w:val="left"/>
      <w:pPr>
        <w:ind w:left="0" w:firstLine="0"/>
      </w:pPr>
      <w:rPr>
        <w:rFonts w:hint="eastAsia" w:ascii="仿宋" w:hAnsi="仿宋" w:eastAsia="仿宋" w:cs="仿宋"/>
        <w:b/>
        <w:i w:val="0"/>
        <w:caps w:val="0"/>
        <w:strike w:val="0"/>
        <w:dstrike w:val="0"/>
        <w:vanish w:val="0"/>
        <w:sz w:val="28"/>
        <w:szCs w:val="21"/>
        <w:vertAlign w:val="baseline"/>
      </w:rPr>
    </w:lvl>
    <w:lvl w:ilvl="5" w:tentative="0">
      <w:start w:val="1"/>
      <w:numFmt w:val="decimal"/>
      <w:pStyle w:val="7"/>
      <w:suff w:val="space"/>
      <w:lvlText w:val="%2.%3.%4.%5.%6"/>
      <w:lvlJc w:val="left"/>
      <w:pPr>
        <w:ind w:left="0" w:firstLine="0"/>
      </w:pPr>
      <w:rPr>
        <w:rFonts w:hint="eastAsia" w:ascii="仿宋" w:hAnsi="仿宋" w:eastAsia="仿宋" w:cs="仿宋"/>
        <w:b/>
        <w:i w:val="0"/>
        <w:sz w:val="28"/>
        <w:szCs w:val="28"/>
      </w:rPr>
    </w:lvl>
    <w:lvl w:ilvl="6" w:tentative="0">
      <w:start w:val="1"/>
      <w:numFmt w:val="decimal"/>
      <w:pStyle w:val="8"/>
      <w:suff w:val="space"/>
      <w:lvlText w:val="%2.%3.%4.%5.%6.%7"/>
      <w:lvlJc w:val="left"/>
      <w:pPr>
        <w:ind w:left="0" w:firstLine="0"/>
      </w:pPr>
      <w:rPr>
        <w:rFonts w:hint="eastAsia" w:ascii="仿宋" w:hAnsi="仿宋" w:eastAsia="仿宋"/>
        <w:b/>
        <w:i w:val="0"/>
        <w:sz w:val="28"/>
      </w:rPr>
    </w:lvl>
    <w:lvl w:ilvl="7" w:tentative="0">
      <w:start w:val="1"/>
      <w:numFmt w:val="decimal"/>
      <w:pStyle w:val="9"/>
      <w:suff w:val="space"/>
      <w:lvlText w:val="%2.%3.%4.%5.%6.%7.%8"/>
      <w:lvlJc w:val="left"/>
      <w:pPr>
        <w:ind w:left="0" w:firstLine="0"/>
      </w:pPr>
      <w:rPr>
        <w:rFonts w:hint="eastAsia" w:ascii="仿宋" w:hAnsi="仿宋" w:eastAsia="仿宋"/>
        <w:b/>
        <w:i w:val="0"/>
        <w:sz w:val="28"/>
      </w:rPr>
    </w:lvl>
    <w:lvl w:ilvl="8" w:tentative="0">
      <w:start w:val="1"/>
      <w:numFmt w:val="decimal"/>
      <w:pStyle w:val="10"/>
      <w:suff w:val="space"/>
      <w:lvlText w:val="%2.%3.%4.%5.%6.%7.%8.%9"/>
      <w:lvlJc w:val="left"/>
      <w:pPr>
        <w:ind w:left="0" w:firstLine="0"/>
      </w:pPr>
      <w:rPr>
        <w:rFonts w:hint="eastAsia" w:ascii="仿宋" w:hAnsi="仿宋" w:eastAsia="仿宋"/>
        <w:b/>
        <w:i w:val="0"/>
        <w:sz w:val="28"/>
      </w:rPr>
    </w:lvl>
  </w:abstractNum>
  <w:abstractNum w:abstractNumId="26">
    <w:nsid w:val="61182287"/>
    <w:multiLevelType w:val="multilevel"/>
    <w:tmpl w:val="61182287"/>
    <w:lvl w:ilvl="0" w:tentative="0">
      <w:start w:val="1"/>
      <w:numFmt w:val="decimal"/>
      <w:lvlText w:val="%1)"/>
      <w:lvlJc w:val="left"/>
      <w:pPr>
        <w:ind w:left="860" w:hanging="440"/>
      </w:pPr>
    </w:lvl>
    <w:lvl w:ilvl="1" w:tentative="0">
      <w:start w:val="1"/>
      <w:numFmt w:val="decimal"/>
      <w:lvlText w:val="(%2)"/>
      <w:lvlJc w:val="left"/>
      <w:pPr>
        <w:ind w:left="1220" w:hanging="360"/>
      </w:pPr>
      <w:rPr>
        <w:rFonts w:hint="default"/>
      </w:rPr>
    </w:lvl>
    <w:lvl w:ilvl="2" w:tentative="0">
      <w:start w:val="1"/>
      <w:numFmt w:val="decimal"/>
      <w:lvlText w:val="%3."/>
      <w:lvlJc w:val="left"/>
      <w:pPr>
        <w:ind w:left="1660" w:hanging="360"/>
      </w:pPr>
      <w:rPr>
        <w:rFonts w:hint="default"/>
      </w:r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27">
    <w:nsid w:val="61FA01E4"/>
    <w:multiLevelType w:val="multilevel"/>
    <w:tmpl w:val="61FA01E4"/>
    <w:lvl w:ilvl="0" w:tentative="0">
      <w:start w:val="1"/>
      <w:numFmt w:val="lowerLetter"/>
      <w:lvlText w:val="%1)"/>
      <w:lvlJc w:val="left"/>
      <w:pPr>
        <w:ind w:left="1300" w:hanging="440"/>
      </w:pPr>
    </w:lvl>
    <w:lvl w:ilvl="1" w:tentative="0">
      <w:start w:val="1"/>
      <w:numFmt w:val="lowerLetter"/>
      <w:lvlText w:val="%2)"/>
      <w:lvlJc w:val="left"/>
      <w:pPr>
        <w:ind w:left="1740" w:hanging="440"/>
      </w:pPr>
    </w:lvl>
    <w:lvl w:ilvl="2" w:tentative="0">
      <w:start w:val="1"/>
      <w:numFmt w:val="lowerRoman"/>
      <w:lvlText w:val="%3."/>
      <w:lvlJc w:val="right"/>
      <w:pPr>
        <w:ind w:left="2180" w:hanging="440"/>
      </w:pPr>
    </w:lvl>
    <w:lvl w:ilvl="3" w:tentative="0">
      <w:start w:val="1"/>
      <w:numFmt w:val="decimal"/>
      <w:lvlText w:val="%4."/>
      <w:lvlJc w:val="left"/>
      <w:pPr>
        <w:ind w:left="2620" w:hanging="440"/>
      </w:pPr>
    </w:lvl>
    <w:lvl w:ilvl="4" w:tentative="0">
      <w:start w:val="1"/>
      <w:numFmt w:val="lowerLetter"/>
      <w:lvlText w:val="%5)"/>
      <w:lvlJc w:val="left"/>
      <w:pPr>
        <w:ind w:left="3060" w:hanging="440"/>
      </w:pPr>
    </w:lvl>
    <w:lvl w:ilvl="5" w:tentative="0">
      <w:start w:val="1"/>
      <w:numFmt w:val="lowerRoman"/>
      <w:lvlText w:val="%6."/>
      <w:lvlJc w:val="right"/>
      <w:pPr>
        <w:ind w:left="3500" w:hanging="440"/>
      </w:pPr>
    </w:lvl>
    <w:lvl w:ilvl="6" w:tentative="0">
      <w:start w:val="1"/>
      <w:numFmt w:val="decimal"/>
      <w:lvlText w:val="%7."/>
      <w:lvlJc w:val="left"/>
      <w:pPr>
        <w:ind w:left="3940" w:hanging="440"/>
      </w:pPr>
    </w:lvl>
    <w:lvl w:ilvl="7" w:tentative="0">
      <w:start w:val="1"/>
      <w:numFmt w:val="lowerLetter"/>
      <w:lvlText w:val="%8)"/>
      <w:lvlJc w:val="left"/>
      <w:pPr>
        <w:ind w:left="4380" w:hanging="440"/>
      </w:pPr>
    </w:lvl>
    <w:lvl w:ilvl="8" w:tentative="0">
      <w:start w:val="1"/>
      <w:numFmt w:val="lowerRoman"/>
      <w:lvlText w:val="%9."/>
      <w:lvlJc w:val="right"/>
      <w:pPr>
        <w:ind w:left="4820" w:hanging="440"/>
      </w:pPr>
    </w:lvl>
  </w:abstractNum>
  <w:abstractNum w:abstractNumId="28">
    <w:nsid w:val="62F46F96"/>
    <w:multiLevelType w:val="multilevel"/>
    <w:tmpl w:val="62F46F96"/>
    <w:lvl w:ilvl="0" w:tentative="0">
      <w:start w:val="1"/>
      <w:numFmt w:val="decimal"/>
      <w:lvlText w:val="%1)"/>
      <w:lvlJc w:val="left"/>
      <w:pPr>
        <w:ind w:left="860" w:hanging="440"/>
      </w:pPr>
    </w:lvl>
    <w:lvl w:ilvl="1" w:tentative="0">
      <w:start w:val="1"/>
      <w:numFmt w:val="lowerLetter"/>
      <w:lvlText w:val="%2)"/>
      <w:lvlJc w:val="left"/>
      <w:pPr>
        <w:ind w:left="1300" w:hanging="440"/>
      </w:pPr>
    </w:lvl>
    <w:lvl w:ilvl="2" w:tentative="0">
      <w:start w:val="1"/>
      <w:numFmt w:val="decimal"/>
      <w:lvlText w:val="%3)"/>
      <w:lvlJc w:val="lef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29">
    <w:nsid w:val="67C6775E"/>
    <w:multiLevelType w:val="multilevel"/>
    <w:tmpl w:val="67C6775E"/>
    <w:lvl w:ilvl="0" w:tentative="0">
      <w:start w:val="1"/>
      <w:numFmt w:val="decimal"/>
      <w:lvlText w:val="%1)"/>
      <w:lvlJc w:val="left"/>
      <w:pPr>
        <w:ind w:left="860" w:hanging="440"/>
      </w:pPr>
    </w:lvl>
    <w:lvl w:ilvl="1" w:tentative="0">
      <w:start w:val="1"/>
      <w:numFmt w:val="lowerLetter"/>
      <w:lvlText w:val="%2)"/>
      <w:lvlJc w:val="left"/>
      <w:pPr>
        <w:ind w:left="1300" w:hanging="440"/>
      </w:pPr>
    </w:lvl>
    <w:lvl w:ilvl="2" w:tentative="0">
      <w:start w:val="1"/>
      <w:numFmt w:val="decimal"/>
      <w:lvlText w:val="%3)"/>
      <w:lvlJc w:val="left"/>
      <w:pPr>
        <w:ind w:left="86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30">
    <w:nsid w:val="681C52E4"/>
    <w:multiLevelType w:val="multilevel"/>
    <w:tmpl w:val="681C52E4"/>
    <w:lvl w:ilvl="0" w:tentative="0">
      <w:start w:val="1"/>
      <w:numFmt w:val="decimal"/>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31">
    <w:nsid w:val="69A112F6"/>
    <w:multiLevelType w:val="multilevel"/>
    <w:tmpl w:val="69A112F6"/>
    <w:lvl w:ilvl="0" w:tentative="0">
      <w:start w:val="1"/>
      <w:numFmt w:val="decimal"/>
      <w:lvlText w:val="%1)"/>
      <w:lvlJc w:val="left"/>
      <w:pPr>
        <w:ind w:left="86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2">
    <w:nsid w:val="6D645519"/>
    <w:multiLevelType w:val="multilevel"/>
    <w:tmpl w:val="6D645519"/>
    <w:lvl w:ilvl="0" w:tentative="0">
      <w:start w:val="1"/>
      <w:numFmt w:val="decimal"/>
      <w:lvlText w:val="%1)"/>
      <w:lvlJc w:val="left"/>
      <w:pPr>
        <w:ind w:left="86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3">
    <w:nsid w:val="6DB04B8D"/>
    <w:multiLevelType w:val="multilevel"/>
    <w:tmpl w:val="6DB04B8D"/>
    <w:lvl w:ilvl="0" w:tentative="0">
      <w:start w:val="1"/>
      <w:numFmt w:val="decimal"/>
      <w:lvlText w:val="%1)"/>
      <w:lvlJc w:val="left"/>
      <w:pPr>
        <w:ind w:left="86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4">
    <w:nsid w:val="6DF10926"/>
    <w:multiLevelType w:val="multilevel"/>
    <w:tmpl w:val="6DF10926"/>
    <w:lvl w:ilvl="0" w:tentative="0">
      <w:start w:val="1"/>
      <w:numFmt w:val="decimal"/>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35">
    <w:nsid w:val="70233F39"/>
    <w:multiLevelType w:val="multilevel"/>
    <w:tmpl w:val="70233F39"/>
    <w:lvl w:ilvl="0" w:tentative="0">
      <w:start w:val="1"/>
      <w:numFmt w:val="lowerLetter"/>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36">
    <w:nsid w:val="70EA088D"/>
    <w:multiLevelType w:val="multilevel"/>
    <w:tmpl w:val="70EA088D"/>
    <w:lvl w:ilvl="0" w:tentative="0">
      <w:start w:val="1"/>
      <w:numFmt w:val="lowerLetter"/>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37">
    <w:nsid w:val="73747B64"/>
    <w:multiLevelType w:val="multilevel"/>
    <w:tmpl w:val="73747B64"/>
    <w:lvl w:ilvl="0" w:tentative="0">
      <w:start w:val="1"/>
      <w:numFmt w:val="decimal"/>
      <w:lvlText w:val="%1)"/>
      <w:lvlJc w:val="left"/>
      <w:pPr>
        <w:ind w:left="86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8">
    <w:nsid w:val="77E8539B"/>
    <w:multiLevelType w:val="multilevel"/>
    <w:tmpl w:val="77E8539B"/>
    <w:lvl w:ilvl="0" w:tentative="0">
      <w:start w:val="1"/>
      <w:numFmt w:val="decimal"/>
      <w:lvlText w:val="%1)"/>
      <w:lvlJc w:val="left"/>
      <w:pPr>
        <w:ind w:left="17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9">
    <w:nsid w:val="7A5A26A0"/>
    <w:multiLevelType w:val="multilevel"/>
    <w:tmpl w:val="7A5A26A0"/>
    <w:lvl w:ilvl="0" w:tentative="0">
      <w:start w:val="1"/>
      <w:numFmt w:val="decimal"/>
      <w:lvlText w:val="%1)"/>
      <w:lvlJc w:val="left"/>
      <w:pPr>
        <w:ind w:left="860" w:hanging="440"/>
      </w:pPr>
    </w:lvl>
    <w:lvl w:ilvl="1" w:tentative="0">
      <w:start w:val="1"/>
      <w:numFmt w:val="decimal"/>
      <w:lvlText w:val="%2)"/>
      <w:lvlJc w:val="left"/>
      <w:pPr>
        <w:ind w:left="86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40">
    <w:nsid w:val="7CF87F2F"/>
    <w:multiLevelType w:val="multilevel"/>
    <w:tmpl w:val="7CF87F2F"/>
    <w:lvl w:ilvl="0" w:tentative="0">
      <w:start w:val="1"/>
      <w:numFmt w:val="decimal"/>
      <w:lvlText w:val="%1)"/>
      <w:lvlJc w:val="left"/>
      <w:pPr>
        <w:ind w:left="86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1">
    <w:nsid w:val="7D8243C0"/>
    <w:multiLevelType w:val="multilevel"/>
    <w:tmpl w:val="7D8243C0"/>
    <w:lvl w:ilvl="0" w:tentative="0">
      <w:start w:val="1"/>
      <w:numFmt w:val="lowerLetter"/>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num w:numId="1">
    <w:abstractNumId w:val="25"/>
  </w:num>
  <w:num w:numId="2">
    <w:abstractNumId w:val="13"/>
  </w:num>
  <w:num w:numId="3">
    <w:abstractNumId w:val="5"/>
  </w:num>
  <w:num w:numId="4">
    <w:abstractNumId w:val="23"/>
  </w:num>
  <w:num w:numId="5">
    <w:abstractNumId w:val="12"/>
  </w:num>
  <w:num w:numId="6">
    <w:abstractNumId w:val="19"/>
  </w:num>
  <w:num w:numId="7">
    <w:abstractNumId w:val="26"/>
  </w:num>
  <w:num w:numId="8">
    <w:abstractNumId w:val="3"/>
  </w:num>
  <w:num w:numId="9">
    <w:abstractNumId w:val="29"/>
  </w:num>
  <w:num w:numId="10">
    <w:abstractNumId w:val="16"/>
  </w:num>
  <w:num w:numId="11">
    <w:abstractNumId w:val="15"/>
  </w:num>
  <w:num w:numId="12">
    <w:abstractNumId w:val="20"/>
  </w:num>
  <w:num w:numId="13">
    <w:abstractNumId w:val="41"/>
  </w:num>
  <w:num w:numId="14">
    <w:abstractNumId w:val="6"/>
  </w:num>
  <w:num w:numId="15">
    <w:abstractNumId w:val="7"/>
  </w:num>
  <w:num w:numId="16">
    <w:abstractNumId w:val="11"/>
  </w:num>
  <w:num w:numId="17">
    <w:abstractNumId w:val="28"/>
  </w:num>
  <w:num w:numId="18">
    <w:abstractNumId w:val="35"/>
  </w:num>
  <w:num w:numId="19">
    <w:abstractNumId w:val="27"/>
  </w:num>
  <w:num w:numId="20">
    <w:abstractNumId w:val="38"/>
  </w:num>
  <w:num w:numId="21">
    <w:abstractNumId w:val="22"/>
  </w:num>
  <w:num w:numId="22">
    <w:abstractNumId w:val="18"/>
  </w:num>
  <w:num w:numId="23">
    <w:abstractNumId w:val="34"/>
  </w:num>
  <w:num w:numId="24">
    <w:abstractNumId w:val="30"/>
  </w:num>
  <w:num w:numId="25">
    <w:abstractNumId w:val="1"/>
  </w:num>
  <w:num w:numId="26">
    <w:abstractNumId w:val="2"/>
  </w:num>
  <w:num w:numId="27">
    <w:abstractNumId w:val="39"/>
  </w:num>
  <w:num w:numId="28">
    <w:abstractNumId w:val="31"/>
  </w:num>
  <w:num w:numId="29">
    <w:abstractNumId w:val="8"/>
  </w:num>
  <w:num w:numId="30">
    <w:abstractNumId w:val="24"/>
  </w:num>
  <w:num w:numId="31">
    <w:abstractNumId w:val="17"/>
  </w:num>
  <w:num w:numId="32">
    <w:abstractNumId w:val="10"/>
  </w:num>
  <w:num w:numId="33">
    <w:abstractNumId w:val="0"/>
  </w:num>
  <w:num w:numId="34">
    <w:abstractNumId w:val="33"/>
  </w:num>
  <w:num w:numId="35">
    <w:abstractNumId w:val="4"/>
  </w:num>
  <w:num w:numId="36">
    <w:abstractNumId w:val="40"/>
  </w:num>
  <w:num w:numId="37">
    <w:abstractNumId w:val="37"/>
  </w:num>
  <w:num w:numId="38">
    <w:abstractNumId w:val="9"/>
  </w:num>
  <w:num w:numId="39">
    <w:abstractNumId w:val="14"/>
  </w:num>
  <w:num w:numId="40">
    <w:abstractNumId w:val="32"/>
  </w:num>
  <w:num w:numId="41">
    <w:abstractNumId w:val="21"/>
  </w:num>
  <w:num w:numId="42">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TrueTypeFonts/>
  <w:mirrorMargins w:val="1"/>
  <w:bordersDoNotSurroundHeader w:val="1"/>
  <w:bordersDoNotSurroundFooter w:val="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enforcement="0"/>
  <w:defaultTabStop w:val="420"/>
  <w:drawingGridHorizontalSpacing w:val="140"/>
  <w:drawingGridVerticalSpacing w:val="381"/>
  <w:displayHorizontalDrawingGridEvery w:val="0"/>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23AF"/>
    <w:rsid w:val="000049A5"/>
    <w:rsid w:val="00033403"/>
    <w:rsid w:val="000528C7"/>
    <w:rsid w:val="00062BAD"/>
    <w:rsid w:val="0006314B"/>
    <w:rsid w:val="00087831"/>
    <w:rsid w:val="000C746E"/>
    <w:rsid w:val="000F2C7B"/>
    <w:rsid w:val="000F3198"/>
    <w:rsid w:val="00102615"/>
    <w:rsid w:val="001062A0"/>
    <w:rsid w:val="00155AC9"/>
    <w:rsid w:val="00162551"/>
    <w:rsid w:val="00165A54"/>
    <w:rsid w:val="00171246"/>
    <w:rsid w:val="00175BEB"/>
    <w:rsid w:val="00182093"/>
    <w:rsid w:val="00195C2E"/>
    <w:rsid w:val="0019702A"/>
    <w:rsid w:val="001B2885"/>
    <w:rsid w:val="001D4156"/>
    <w:rsid w:val="00244379"/>
    <w:rsid w:val="00255943"/>
    <w:rsid w:val="0028475C"/>
    <w:rsid w:val="00286230"/>
    <w:rsid w:val="0028783F"/>
    <w:rsid w:val="002A5533"/>
    <w:rsid w:val="002C0B97"/>
    <w:rsid w:val="002C3B3A"/>
    <w:rsid w:val="002D5A51"/>
    <w:rsid w:val="002E7F4A"/>
    <w:rsid w:val="002F3B3E"/>
    <w:rsid w:val="0030019D"/>
    <w:rsid w:val="00306CD7"/>
    <w:rsid w:val="003175A1"/>
    <w:rsid w:val="00320C8B"/>
    <w:rsid w:val="003519BF"/>
    <w:rsid w:val="003522F1"/>
    <w:rsid w:val="0035319C"/>
    <w:rsid w:val="00375BF8"/>
    <w:rsid w:val="00392406"/>
    <w:rsid w:val="003F36F7"/>
    <w:rsid w:val="0042325F"/>
    <w:rsid w:val="00445441"/>
    <w:rsid w:val="0046388E"/>
    <w:rsid w:val="00475903"/>
    <w:rsid w:val="00482C48"/>
    <w:rsid w:val="00491C31"/>
    <w:rsid w:val="004C623E"/>
    <w:rsid w:val="00557E81"/>
    <w:rsid w:val="00560F7B"/>
    <w:rsid w:val="0058373D"/>
    <w:rsid w:val="005877E2"/>
    <w:rsid w:val="005A352A"/>
    <w:rsid w:val="005C23DF"/>
    <w:rsid w:val="005C309D"/>
    <w:rsid w:val="005C66A2"/>
    <w:rsid w:val="005E66B2"/>
    <w:rsid w:val="005F72B7"/>
    <w:rsid w:val="00603C15"/>
    <w:rsid w:val="00674534"/>
    <w:rsid w:val="006B1B83"/>
    <w:rsid w:val="0072479D"/>
    <w:rsid w:val="00742596"/>
    <w:rsid w:val="007508F7"/>
    <w:rsid w:val="00756FC6"/>
    <w:rsid w:val="00765C99"/>
    <w:rsid w:val="007852B7"/>
    <w:rsid w:val="007B6903"/>
    <w:rsid w:val="007F058F"/>
    <w:rsid w:val="007F301F"/>
    <w:rsid w:val="008115D4"/>
    <w:rsid w:val="00833CB5"/>
    <w:rsid w:val="00842686"/>
    <w:rsid w:val="0087254F"/>
    <w:rsid w:val="008751C4"/>
    <w:rsid w:val="008A58C0"/>
    <w:rsid w:val="008F71B4"/>
    <w:rsid w:val="00900A0A"/>
    <w:rsid w:val="00907F9D"/>
    <w:rsid w:val="0092705C"/>
    <w:rsid w:val="009802F9"/>
    <w:rsid w:val="00994253"/>
    <w:rsid w:val="009F1BD4"/>
    <w:rsid w:val="009F2A34"/>
    <w:rsid w:val="009F67AF"/>
    <w:rsid w:val="00A040A1"/>
    <w:rsid w:val="00A11366"/>
    <w:rsid w:val="00A14388"/>
    <w:rsid w:val="00A2289B"/>
    <w:rsid w:val="00A27225"/>
    <w:rsid w:val="00A3166E"/>
    <w:rsid w:val="00A7672B"/>
    <w:rsid w:val="00A92C85"/>
    <w:rsid w:val="00AB0EF6"/>
    <w:rsid w:val="00AD3B0A"/>
    <w:rsid w:val="00AD67D7"/>
    <w:rsid w:val="00AE753D"/>
    <w:rsid w:val="00AF4B5E"/>
    <w:rsid w:val="00B04C15"/>
    <w:rsid w:val="00B06E0A"/>
    <w:rsid w:val="00B56CBB"/>
    <w:rsid w:val="00B62876"/>
    <w:rsid w:val="00B656CD"/>
    <w:rsid w:val="00BA6268"/>
    <w:rsid w:val="00BC26AE"/>
    <w:rsid w:val="00BD336D"/>
    <w:rsid w:val="00BD76EF"/>
    <w:rsid w:val="00BE22A9"/>
    <w:rsid w:val="00BF7D82"/>
    <w:rsid w:val="00C15F09"/>
    <w:rsid w:val="00C1795E"/>
    <w:rsid w:val="00C25F45"/>
    <w:rsid w:val="00C45C90"/>
    <w:rsid w:val="00C45E83"/>
    <w:rsid w:val="00C53BF8"/>
    <w:rsid w:val="00C80FF4"/>
    <w:rsid w:val="00C82DAD"/>
    <w:rsid w:val="00C86C06"/>
    <w:rsid w:val="00CA4CA4"/>
    <w:rsid w:val="00CC7659"/>
    <w:rsid w:val="00D1467D"/>
    <w:rsid w:val="00D87E60"/>
    <w:rsid w:val="00DC2288"/>
    <w:rsid w:val="00E11076"/>
    <w:rsid w:val="00E21B3E"/>
    <w:rsid w:val="00E464D1"/>
    <w:rsid w:val="00E5326C"/>
    <w:rsid w:val="00E54E31"/>
    <w:rsid w:val="00E54F18"/>
    <w:rsid w:val="00E74530"/>
    <w:rsid w:val="00EC6665"/>
    <w:rsid w:val="00ED41FC"/>
    <w:rsid w:val="00ED427D"/>
    <w:rsid w:val="00ED5302"/>
    <w:rsid w:val="00EF0447"/>
    <w:rsid w:val="00EF235B"/>
    <w:rsid w:val="00F26C77"/>
    <w:rsid w:val="00F323AF"/>
    <w:rsid w:val="00F53AAA"/>
    <w:rsid w:val="00F55DD0"/>
    <w:rsid w:val="00F7561E"/>
    <w:rsid w:val="00F92AE6"/>
    <w:rsid w:val="00FA696D"/>
    <w:rsid w:val="00FC12E4"/>
    <w:rsid w:val="00FC3806"/>
    <w:rsid w:val="00FC6A19"/>
    <w:rsid w:val="00FF71CA"/>
    <w:rsid w:val="0AA5515E"/>
    <w:rsid w:val="0B563952"/>
    <w:rsid w:val="0D2D30B1"/>
    <w:rsid w:val="13F43469"/>
    <w:rsid w:val="3DD97E88"/>
    <w:rsid w:val="58AD54FD"/>
    <w:rsid w:val="613B78FC"/>
    <w:rsid w:val="67C77AC2"/>
    <w:rsid w:val="693639D6"/>
    <w:rsid w:val="71263962"/>
    <w:rsid w:val="71B41A0E"/>
    <w:rsid w:val="730159BF"/>
    <w:rsid w:val="76596B2C"/>
    <w:rsid w:val="79CE695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3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仿宋" w:hAnsi="仿宋" w:eastAsia="仿宋" w:cstheme="minorBidi"/>
      </w:rPr>
    </w:rPrDefault>
    <w:pPrDefault/>
  </w:docDefaults>
  <w:latentStyles w:count="260" w:defQFormat="0" w:defUnhideWhenUsed="1" w:defSemiHidden="1" w:defUIPriority="99" w:defLockedState="0">
    <w:lsdException w:qFormat="1" w:unhideWhenUsed="0" w:uiPriority="24"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24"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24"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nhideWhenUsed="0" w:uiPriority="24" w:semiHidden="0" w:name="Strong"/>
    <w:lsdException w:qFormat="1" w:unhideWhenUsed="0" w:uiPriority="24"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24"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24"/>
    <w:pPr>
      <w:spacing w:line="360" w:lineRule="auto"/>
      <w:ind w:firstLine="0"/>
    </w:pPr>
    <w:rPr>
      <w:rFonts w:ascii="仿宋" w:hAnsi="仿宋" w:eastAsia="仿宋" w:cstheme="minorBidi"/>
      <w:kern w:val="2"/>
      <w:sz w:val="28"/>
      <w:szCs w:val="28"/>
      <w:lang w:val="en-US" w:eastAsia="zh-CN" w:bidi="ar-SA"/>
      <w14:ligatures w14:val="standardContextual"/>
    </w:rPr>
  </w:style>
  <w:style w:type="paragraph" w:styleId="2">
    <w:name w:val="heading 1"/>
    <w:basedOn w:val="1"/>
    <w:next w:val="1"/>
    <w:link w:val="24"/>
    <w:qFormat/>
    <w:uiPriority w:val="0"/>
    <w:pPr>
      <w:widowControl w:val="0"/>
      <w:numPr>
        <w:ilvl w:val="0"/>
        <w:numId w:val="1"/>
      </w:numPr>
      <w:jc w:val="center"/>
      <w:outlineLvl w:val="0"/>
    </w:pPr>
    <w:rPr>
      <w:rFonts w:ascii="黑体" w:eastAsia="黑体"/>
      <w:b/>
      <w:bCs/>
      <w:kern w:val="44"/>
      <w:sz w:val="48"/>
      <w:szCs w:val="44"/>
    </w:rPr>
  </w:style>
  <w:style w:type="paragraph" w:styleId="3">
    <w:name w:val="heading 2"/>
    <w:basedOn w:val="1"/>
    <w:next w:val="1"/>
    <w:link w:val="25"/>
    <w:qFormat/>
    <w:uiPriority w:val="0"/>
    <w:pPr>
      <w:keepNext/>
      <w:keepLines/>
      <w:numPr>
        <w:ilvl w:val="1"/>
        <w:numId w:val="1"/>
      </w:numPr>
      <w:outlineLvl w:val="1"/>
    </w:pPr>
    <w:rPr>
      <w:rFonts w:cstheme="majorBidi"/>
      <w:b/>
      <w:bCs/>
      <w:sz w:val="32"/>
    </w:rPr>
  </w:style>
  <w:style w:type="paragraph" w:styleId="4">
    <w:name w:val="heading 3"/>
    <w:basedOn w:val="1"/>
    <w:next w:val="1"/>
    <w:link w:val="26"/>
    <w:qFormat/>
    <w:uiPriority w:val="0"/>
    <w:pPr>
      <w:keepNext/>
      <w:keepLines/>
      <w:numPr>
        <w:ilvl w:val="2"/>
        <w:numId w:val="1"/>
      </w:numPr>
      <w:jc w:val="both"/>
      <w:outlineLvl w:val="2"/>
    </w:pPr>
    <w:rPr>
      <w:b/>
      <w:bCs/>
    </w:rPr>
  </w:style>
  <w:style w:type="paragraph" w:styleId="5">
    <w:name w:val="heading 4"/>
    <w:basedOn w:val="1"/>
    <w:next w:val="1"/>
    <w:link w:val="27"/>
    <w:qFormat/>
    <w:uiPriority w:val="0"/>
    <w:pPr>
      <w:keepNext/>
      <w:keepLines/>
      <w:numPr>
        <w:ilvl w:val="3"/>
        <w:numId w:val="1"/>
      </w:numPr>
      <w:jc w:val="both"/>
      <w:outlineLvl w:val="3"/>
    </w:pPr>
    <w:rPr>
      <w:rFonts w:cstheme="majorBidi"/>
      <w:b/>
      <w:bCs/>
    </w:rPr>
  </w:style>
  <w:style w:type="paragraph" w:styleId="6">
    <w:name w:val="heading 5"/>
    <w:basedOn w:val="1"/>
    <w:next w:val="1"/>
    <w:link w:val="28"/>
    <w:qFormat/>
    <w:uiPriority w:val="0"/>
    <w:pPr>
      <w:keepNext/>
      <w:keepLines/>
      <w:numPr>
        <w:ilvl w:val="4"/>
        <w:numId w:val="1"/>
      </w:numPr>
      <w:jc w:val="both"/>
      <w:outlineLvl w:val="4"/>
    </w:pPr>
    <w:rPr>
      <w:b/>
      <w:bCs/>
    </w:rPr>
  </w:style>
  <w:style w:type="paragraph" w:styleId="7">
    <w:name w:val="heading 6"/>
    <w:basedOn w:val="1"/>
    <w:next w:val="1"/>
    <w:link w:val="29"/>
    <w:qFormat/>
    <w:uiPriority w:val="0"/>
    <w:pPr>
      <w:keepNext/>
      <w:keepLines/>
      <w:numPr>
        <w:ilvl w:val="5"/>
        <w:numId w:val="1"/>
      </w:numPr>
      <w:jc w:val="both"/>
      <w:outlineLvl w:val="5"/>
    </w:pPr>
    <w:rPr>
      <w:rFonts w:cstheme="majorBidi"/>
      <w:b/>
    </w:rPr>
  </w:style>
  <w:style w:type="paragraph" w:styleId="8">
    <w:name w:val="heading 7"/>
    <w:basedOn w:val="1"/>
    <w:next w:val="1"/>
    <w:link w:val="30"/>
    <w:qFormat/>
    <w:uiPriority w:val="0"/>
    <w:pPr>
      <w:keepNext/>
      <w:keepLines/>
      <w:numPr>
        <w:ilvl w:val="6"/>
        <w:numId w:val="1"/>
      </w:numPr>
      <w:jc w:val="both"/>
      <w:outlineLvl w:val="6"/>
    </w:pPr>
    <w:rPr>
      <w:b/>
      <w:bCs/>
    </w:rPr>
  </w:style>
  <w:style w:type="paragraph" w:styleId="9">
    <w:name w:val="heading 8"/>
    <w:basedOn w:val="1"/>
    <w:next w:val="1"/>
    <w:link w:val="33"/>
    <w:qFormat/>
    <w:uiPriority w:val="0"/>
    <w:pPr>
      <w:keepNext/>
      <w:keepLines/>
      <w:numPr>
        <w:ilvl w:val="7"/>
        <w:numId w:val="1"/>
      </w:numPr>
      <w:jc w:val="both"/>
      <w:outlineLvl w:val="7"/>
    </w:pPr>
    <w:rPr>
      <w:rFonts w:cstheme="majorBidi"/>
      <w:b/>
      <w:bCs/>
    </w:rPr>
  </w:style>
  <w:style w:type="paragraph" w:styleId="10">
    <w:name w:val="heading 9"/>
    <w:basedOn w:val="1"/>
    <w:next w:val="1"/>
    <w:link w:val="39"/>
    <w:qFormat/>
    <w:uiPriority w:val="0"/>
    <w:pPr>
      <w:keepNext/>
      <w:keepLines/>
      <w:numPr>
        <w:ilvl w:val="8"/>
        <w:numId w:val="1"/>
      </w:numPr>
      <w:jc w:val="both"/>
      <w:outlineLvl w:val="8"/>
    </w:pPr>
    <w:rPr>
      <w:rFonts w:cstheme="majorBidi"/>
      <w:b/>
      <w:bCs/>
    </w:rPr>
  </w:style>
  <w:style w:type="character" w:default="1" w:styleId="20">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11">
    <w:name w:val="caption"/>
    <w:next w:val="12"/>
    <w:unhideWhenUsed/>
    <w:qFormat/>
    <w:uiPriority w:val="35"/>
    <w:pPr>
      <w:adjustRightInd w:val="0"/>
      <w:snapToGrid w:val="0"/>
      <w:spacing w:line="360" w:lineRule="auto"/>
      <w:ind w:firstLine="0"/>
      <w:jc w:val="center"/>
    </w:pPr>
    <w:rPr>
      <w:rFonts w:ascii="仿宋" w:hAnsi="仿宋" w:eastAsia="仿宋" w:cstheme="majorBidi"/>
      <w:kern w:val="2"/>
      <w:sz w:val="21"/>
      <w:szCs w:val="20"/>
      <w:lang w:val="en-US" w:eastAsia="zh-CN" w:bidi="ar-SA"/>
      <w14:ligatures w14:val="standardContextual"/>
    </w:rPr>
  </w:style>
  <w:style w:type="paragraph" w:customStyle="1" w:styleId="12">
    <w:name w:val="人居-正文仿宋"/>
    <w:basedOn w:val="1"/>
    <w:link w:val="23"/>
    <w:qFormat/>
    <w:uiPriority w:val="9"/>
    <w:pPr>
      <w:widowControl w:val="0"/>
      <w:overflowPunct w:val="0"/>
      <w:autoSpaceDE w:val="0"/>
      <w:autoSpaceDN w:val="0"/>
      <w:ind w:firstLine="200" w:firstLineChars="200"/>
    </w:pPr>
    <w:rPr>
      <w:sz w:val="21"/>
    </w:rPr>
  </w:style>
  <w:style w:type="paragraph" w:styleId="13">
    <w:name w:val="Body Text"/>
    <w:basedOn w:val="1"/>
    <w:link w:val="40"/>
    <w:unhideWhenUsed/>
    <w:qFormat/>
    <w:uiPriority w:val="99"/>
    <w:pPr>
      <w:spacing w:after="120"/>
    </w:pPr>
  </w:style>
  <w:style w:type="paragraph" w:styleId="14">
    <w:name w:val="toc 3"/>
    <w:basedOn w:val="1"/>
    <w:next w:val="1"/>
    <w:autoRedefine/>
    <w:unhideWhenUsed/>
    <w:qFormat/>
    <w:uiPriority w:val="39"/>
    <w:pPr>
      <w:ind w:left="840" w:leftChars="400"/>
    </w:pPr>
  </w:style>
  <w:style w:type="paragraph" w:styleId="15">
    <w:name w:val="footer"/>
    <w:basedOn w:val="1"/>
    <w:link w:val="35"/>
    <w:unhideWhenUsed/>
    <w:qFormat/>
    <w:uiPriority w:val="99"/>
    <w:pPr>
      <w:snapToGrid w:val="0"/>
      <w:spacing w:line="240" w:lineRule="auto"/>
    </w:pPr>
    <w:rPr>
      <w:sz w:val="18"/>
      <w:szCs w:val="18"/>
    </w:rPr>
  </w:style>
  <w:style w:type="paragraph" w:styleId="16">
    <w:name w:val="header"/>
    <w:basedOn w:val="1"/>
    <w:link w:val="34"/>
    <w:unhideWhenUsed/>
    <w:qFormat/>
    <w:uiPriority w:val="99"/>
    <w:pPr>
      <w:tabs>
        <w:tab w:val="center" w:pos="4153"/>
        <w:tab w:val="right" w:pos="8306"/>
      </w:tabs>
      <w:snapToGrid w:val="0"/>
      <w:spacing w:line="240" w:lineRule="auto"/>
      <w:jc w:val="center"/>
    </w:pPr>
    <w:rPr>
      <w:sz w:val="18"/>
      <w:szCs w:val="18"/>
    </w:rPr>
  </w:style>
  <w:style w:type="paragraph" w:styleId="17">
    <w:name w:val="toc 2"/>
    <w:basedOn w:val="1"/>
    <w:next w:val="1"/>
    <w:autoRedefine/>
    <w:unhideWhenUsed/>
    <w:qFormat/>
    <w:uiPriority w:val="39"/>
    <w:pPr>
      <w:ind w:left="420" w:leftChars="200"/>
    </w:pPr>
  </w:style>
  <w:style w:type="table" w:styleId="19">
    <w:name w:val="Table Grid"/>
    <w:basedOn w:val="18"/>
    <w:qFormat/>
    <w:uiPriority w:val="39"/>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Emphasis"/>
    <w:basedOn w:val="20"/>
    <w:qFormat/>
    <w:uiPriority w:val="24"/>
    <w:rPr>
      <w:rFonts w:eastAsia="黑体"/>
      <w:b/>
    </w:rPr>
  </w:style>
  <w:style w:type="character" w:styleId="22">
    <w:name w:val="Hyperlink"/>
    <w:basedOn w:val="20"/>
    <w:unhideWhenUsed/>
    <w:qFormat/>
    <w:uiPriority w:val="99"/>
    <w:rPr>
      <w:color w:val="467886" w:themeColor="hyperlink"/>
      <w:u w:val="single"/>
      <w14:textFill>
        <w14:solidFill>
          <w14:schemeClr w14:val="hlink"/>
        </w14:solidFill>
      </w14:textFill>
    </w:rPr>
  </w:style>
  <w:style w:type="character" w:customStyle="1" w:styleId="23">
    <w:name w:val="人居-正文仿宋 字符"/>
    <w:basedOn w:val="20"/>
    <w:link w:val="12"/>
    <w:qFormat/>
    <w:uiPriority w:val="9"/>
    <w:rPr>
      <w:sz w:val="21"/>
    </w:rPr>
  </w:style>
  <w:style w:type="character" w:customStyle="1" w:styleId="24">
    <w:name w:val="标题 1 字符"/>
    <w:basedOn w:val="20"/>
    <w:link w:val="2"/>
    <w:qFormat/>
    <w:uiPriority w:val="0"/>
    <w:rPr>
      <w:rFonts w:ascii="黑体" w:eastAsia="黑体"/>
      <w:b/>
      <w:bCs/>
      <w:kern w:val="44"/>
      <w:sz w:val="48"/>
      <w:szCs w:val="44"/>
    </w:rPr>
  </w:style>
  <w:style w:type="character" w:customStyle="1" w:styleId="25">
    <w:name w:val="标题 2 字符"/>
    <w:basedOn w:val="20"/>
    <w:link w:val="3"/>
    <w:qFormat/>
    <w:uiPriority w:val="0"/>
    <w:rPr>
      <w:rFonts w:cstheme="majorBidi"/>
      <w:b/>
      <w:bCs/>
      <w:sz w:val="32"/>
    </w:rPr>
  </w:style>
  <w:style w:type="character" w:customStyle="1" w:styleId="26">
    <w:name w:val="标题 3 字符"/>
    <w:basedOn w:val="20"/>
    <w:link w:val="4"/>
    <w:qFormat/>
    <w:uiPriority w:val="0"/>
    <w:rPr>
      <w:b/>
      <w:bCs/>
    </w:rPr>
  </w:style>
  <w:style w:type="character" w:customStyle="1" w:styleId="27">
    <w:name w:val="标题 4 字符"/>
    <w:basedOn w:val="20"/>
    <w:link w:val="5"/>
    <w:qFormat/>
    <w:uiPriority w:val="0"/>
    <w:rPr>
      <w:rFonts w:cstheme="majorBidi"/>
      <w:b/>
      <w:bCs/>
    </w:rPr>
  </w:style>
  <w:style w:type="character" w:customStyle="1" w:styleId="28">
    <w:name w:val="标题 5 字符"/>
    <w:basedOn w:val="20"/>
    <w:link w:val="6"/>
    <w:qFormat/>
    <w:uiPriority w:val="0"/>
    <w:rPr>
      <w:b/>
      <w:bCs/>
    </w:rPr>
  </w:style>
  <w:style w:type="character" w:customStyle="1" w:styleId="29">
    <w:name w:val="标题 6 字符"/>
    <w:basedOn w:val="20"/>
    <w:link w:val="7"/>
    <w:qFormat/>
    <w:uiPriority w:val="0"/>
    <w:rPr>
      <w:rFonts w:cstheme="majorBidi"/>
      <w:b/>
    </w:rPr>
  </w:style>
  <w:style w:type="character" w:customStyle="1" w:styleId="30">
    <w:name w:val="标题 7 字符"/>
    <w:basedOn w:val="20"/>
    <w:link w:val="8"/>
    <w:qFormat/>
    <w:uiPriority w:val="0"/>
    <w:rPr>
      <w:b/>
      <w:bCs/>
    </w:rPr>
  </w:style>
  <w:style w:type="paragraph" w:styleId="31">
    <w:name w:val="No Spacing"/>
    <w:link w:val="32"/>
    <w:qFormat/>
    <w:uiPriority w:val="24"/>
    <w:pPr>
      <w:spacing w:line="240" w:lineRule="auto"/>
      <w:ind w:firstLine="0"/>
    </w:pPr>
    <w:rPr>
      <w:rFonts w:asciiTheme="minorHAnsi" w:hAnsiTheme="minorHAnsi" w:eastAsiaTheme="minorEastAsia" w:cstheme="minorBidi"/>
      <w:kern w:val="0"/>
      <w:sz w:val="22"/>
      <w:szCs w:val="22"/>
      <w:lang w:val="en-US" w:eastAsia="zh-CN" w:bidi="ar-SA"/>
      <w14:ligatures w14:val="none"/>
    </w:rPr>
  </w:style>
  <w:style w:type="character" w:customStyle="1" w:styleId="32">
    <w:name w:val="无间隔 字符"/>
    <w:basedOn w:val="20"/>
    <w:link w:val="31"/>
    <w:qFormat/>
    <w:uiPriority w:val="24"/>
    <w:rPr>
      <w:rFonts w:asciiTheme="minorHAnsi" w:hAnsiTheme="minorHAnsi" w:eastAsiaTheme="minorEastAsia"/>
      <w:kern w:val="0"/>
      <w:sz w:val="22"/>
      <w:szCs w:val="22"/>
      <w14:ligatures w14:val="none"/>
    </w:rPr>
  </w:style>
  <w:style w:type="character" w:customStyle="1" w:styleId="33">
    <w:name w:val="标题 8 字符"/>
    <w:basedOn w:val="20"/>
    <w:link w:val="9"/>
    <w:qFormat/>
    <w:uiPriority w:val="0"/>
    <w:rPr>
      <w:rFonts w:cstheme="majorBidi"/>
      <w:b/>
      <w:bCs/>
    </w:rPr>
  </w:style>
  <w:style w:type="character" w:customStyle="1" w:styleId="34">
    <w:name w:val="页眉 字符"/>
    <w:basedOn w:val="20"/>
    <w:link w:val="16"/>
    <w:qFormat/>
    <w:uiPriority w:val="99"/>
    <w:rPr>
      <w:sz w:val="18"/>
      <w:szCs w:val="18"/>
    </w:rPr>
  </w:style>
  <w:style w:type="character" w:customStyle="1" w:styleId="35">
    <w:name w:val="页脚 字符"/>
    <w:basedOn w:val="20"/>
    <w:link w:val="15"/>
    <w:qFormat/>
    <w:uiPriority w:val="99"/>
    <w:rPr>
      <w:sz w:val="18"/>
      <w:szCs w:val="18"/>
    </w:rPr>
  </w:style>
  <w:style w:type="paragraph" w:customStyle="1" w:styleId="36">
    <w:name w:val="人居-表格文字样式"/>
    <w:basedOn w:val="12"/>
    <w:qFormat/>
    <w:uiPriority w:val="24"/>
    <w:pPr>
      <w:spacing w:line="240" w:lineRule="auto"/>
      <w:ind w:firstLine="0" w:firstLineChars="0"/>
    </w:pPr>
    <w:rPr>
      <w:rFonts w:ascii="黑体" w:hAnsi="黑体"/>
      <w:bCs/>
      <w:sz w:val="24"/>
      <w:szCs w:val="24"/>
    </w:rPr>
  </w:style>
  <w:style w:type="character" w:customStyle="1" w:styleId="37">
    <w:name w:val="Subtle Emphasis"/>
    <w:basedOn w:val="20"/>
    <w:qFormat/>
    <w:uiPriority w:val="24"/>
    <w:rPr>
      <w:b/>
      <w:iCs/>
      <w:color w:val="auto"/>
    </w:rPr>
  </w:style>
  <w:style w:type="character" w:customStyle="1" w:styleId="38">
    <w:name w:val="Intense Emphasis"/>
    <w:basedOn w:val="20"/>
    <w:qFormat/>
    <w:uiPriority w:val="24"/>
    <w:rPr>
      <w:i/>
      <w:iCs/>
      <w:color w:val="156082" w:themeColor="accent1"/>
      <w14:textFill>
        <w14:solidFill>
          <w14:schemeClr w14:val="accent1"/>
        </w14:solidFill>
      </w14:textFill>
    </w:rPr>
  </w:style>
  <w:style w:type="character" w:customStyle="1" w:styleId="39">
    <w:name w:val="标题 9 字符"/>
    <w:basedOn w:val="20"/>
    <w:link w:val="10"/>
    <w:qFormat/>
    <w:uiPriority w:val="0"/>
    <w:rPr>
      <w:rFonts w:cstheme="majorBidi"/>
      <w:b/>
      <w:bCs/>
    </w:rPr>
  </w:style>
  <w:style w:type="character" w:customStyle="1" w:styleId="40">
    <w:name w:val="正文文本 字符"/>
    <w:basedOn w:val="20"/>
    <w:link w:val="13"/>
    <w:qFormat/>
    <w:uiPriority w:val="99"/>
  </w:style>
  <w:style w:type="paragraph" w:customStyle="1" w:styleId="41">
    <w:name w:val="TOC Heading"/>
    <w:basedOn w:val="2"/>
    <w:next w:val="1"/>
    <w:unhideWhenUsed/>
    <w:qFormat/>
    <w:uiPriority w:val="39"/>
    <w:pPr>
      <w:keepNext/>
      <w:keepLines/>
      <w:widowControl/>
      <w:numPr>
        <w:numId w:val="0"/>
      </w:numPr>
      <w:spacing w:before="240" w:line="259" w:lineRule="auto"/>
      <w:jc w:val="left"/>
      <w:outlineLvl w:val="9"/>
    </w:pPr>
    <w:rPr>
      <w:rFonts w:asciiTheme="majorHAnsi" w:hAnsiTheme="majorHAnsi" w:eastAsiaTheme="majorEastAsia" w:cstheme="majorBidi"/>
      <w:b w:val="0"/>
      <w:bCs w:val="0"/>
      <w:color w:val="104862" w:themeColor="accent1" w:themeShade="BF"/>
      <w:kern w:val="0"/>
      <w:sz w:val="32"/>
      <w:szCs w:val="32"/>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1.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仿宋字">
      <a:majorFont>
        <a:latin typeface="仿宋"/>
        <a:ea typeface="仿宋"/>
        <a:cs typeface=""/>
      </a:majorFont>
      <a:minorFont>
        <a:latin typeface="仿宋"/>
        <a:ea typeface="仿宋"/>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bwMode="auto">
        <a:noFill/>
        <a:ln>
          <a:noFill/>
        </a:ln>
      </a:spPr>
      <a:bodyPr rot="0" spcFirstLastPara="0" vertOverflow="overflow" horzOverflow="overflow" vert="horz" wrap="square" lIns="0" tIns="0" rIns="0" bIns="0" numCol="1" spcCol="0" rtlCol="0" fromWordArt="0" anchor="t" anchorCtr="0" forceAA="0" compatLnSpc="1">
        <a:spAutoFit/>
      </a:bodyPr>
      <a:lst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C4921C-B138-4015-A03F-976E7D5570B1}">
  <ds:schemaRefs/>
</ds:datastoreItem>
</file>

<file path=docProps/app.xml><?xml version="1.0" encoding="utf-8"?>
<Properties xmlns="http://schemas.openxmlformats.org/officeDocument/2006/extended-properties" xmlns:vt="http://schemas.openxmlformats.org/officeDocument/2006/docPropsVTypes">
  <Template>Normal.dotm</Template>
  <Pages>44</Pages>
  <Words>20044</Words>
  <Characters>22450</Characters>
  <Lines>1122</Lines>
  <Paragraphs>1287</Paragraphs>
  <TotalTime>34</TotalTime>
  <ScaleCrop>false</ScaleCrop>
  <LinksUpToDate>false</LinksUpToDate>
  <CharactersWithSpaces>41207</CharactersWithSpaces>
  <Application>WPS Office_12.8.2.21177_F1E327BC-269C-435d-A152-05C5408002CA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2025-05-14T10:16:00Z</dcterms:created>
  <dc:creator>Ning Zhang</dc:creator>
  <cp:lastModifiedBy>Shawn</cp:lastModifiedBy>
  <dcterms:modified xsi:type="dcterms:W3CDTF">2025-07-03T02:14:19Z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2052-12.8.2.21177</vt:lpwstr>
  </property>
  <property fmtid="{D5CDD505-2E9C-101B-9397-08002B2CF9AE}" pid="3" name="ICV">
    <vt:lpwstr>086591A860354069A620BCDB8CCEF1AE_12</vt:lpwstr>
  </property>
</Properties>
</file>