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A469D" w14:textId="0784C0A7" w:rsidR="00697D89" w:rsidRDefault="00697D89" w:rsidP="00F257F4">
      <w:pPr>
        <w:rPr>
          <w:rFonts w:ascii="Verdana" w:hAnsi="Verdana"/>
        </w:rPr>
      </w:pPr>
    </w:p>
    <w:p w14:paraId="386A263E" w14:textId="28C35F9B" w:rsidR="00254FA3" w:rsidRPr="00454B9F" w:rsidRDefault="00254FA3" w:rsidP="007E4EC8">
      <w:pPr>
        <w:rPr>
          <w:rFonts w:ascii="Verdana" w:hAnsi="Verdana"/>
        </w:rPr>
      </w:pPr>
    </w:p>
    <w:p w14:paraId="57B3F7B5" w14:textId="2DB33A15" w:rsidR="00697D89" w:rsidRDefault="00697D89" w:rsidP="007E4EC8">
      <w:pPr>
        <w:rPr>
          <w:rFonts w:ascii="Verdana" w:hAnsi="Verdana"/>
        </w:rPr>
      </w:pPr>
    </w:p>
    <w:p w14:paraId="598E1BDF" w14:textId="7073E3B4" w:rsidR="00254FA3" w:rsidRPr="00454B9F" w:rsidRDefault="00254FA3" w:rsidP="007E4EC8">
      <w:pPr>
        <w:rPr>
          <w:rFonts w:ascii="Verdana" w:hAnsi="Verdana"/>
        </w:rPr>
      </w:pPr>
    </w:p>
    <w:p w14:paraId="15A8FDC4" w14:textId="76E65C53" w:rsidR="004C7EF2" w:rsidRDefault="00982F2B" w:rsidP="009472A5">
      <w:pPr>
        <w:pStyle w:val="OCE-covertitle"/>
        <w:spacing w:before="0"/>
        <w:jc w:val="center"/>
      </w:pPr>
      <w:r>
        <w:rPr>
          <w:noProof/>
          <w:lang w:eastAsia="en-CA"/>
        </w:rPr>
        <w:drawing>
          <wp:anchor distT="0" distB="0" distL="114300" distR="114300" simplePos="0" relativeHeight="251663360" behindDoc="0" locked="0" layoutInCell="1" allowOverlap="1" wp14:anchorId="01F73D7B" wp14:editId="0DCCD947">
            <wp:simplePos x="0" y="0"/>
            <wp:positionH relativeFrom="column">
              <wp:posOffset>4860925</wp:posOffset>
            </wp:positionH>
            <wp:positionV relativeFrom="paragraph">
              <wp:posOffset>104140</wp:posOffset>
            </wp:positionV>
            <wp:extent cx="680400" cy="69120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400" cy="691200"/>
                    </a:xfrm>
                    <a:prstGeom prst="rect">
                      <a:avLst/>
                    </a:prstGeom>
                  </pic:spPr>
                </pic:pic>
              </a:graphicData>
            </a:graphic>
            <wp14:sizeRelH relativeFrom="margin">
              <wp14:pctWidth>0</wp14:pctWidth>
            </wp14:sizeRelH>
            <wp14:sizeRelV relativeFrom="margin">
              <wp14:pctHeight>0</wp14:pctHeight>
            </wp14:sizeRelV>
          </wp:anchor>
        </w:drawing>
      </w:r>
      <w:r w:rsidR="00445E85">
        <w:rPr>
          <w:noProof/>
          <w:lang w:eastAsia="en-CA"/>
        </w:rPr>
        <w:drawing>
          <wp:anchor distT="0" distB="0" distL="114300" distR="114300" simplePos="0" relativeHeight="251659264" behindDoc="0" locked="0" layoutInCell="1" allowOverlap="1" wp14:anchorId="41CA23A5" wp14:editId="40FCB03D">
            <wp:simplePos x="0" y="0"/>
            <wp:positionH relativeFrom="column">
              <wp:posOffset>4797083</wp:posOffset>
            </wp:positionH>
            <wp:positionV relativeFrom="paragraph">
              <wp:posOffset>5178</wp:posOffset>
            </wp:positionV>
            <wp:extent cx="812042" cy="862330"/>
            <wp:effectExtent l="0" t="0" r="7620" b="0"/>
            <wp:wrapNone/>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2042" cy="86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4C7EF2">
        <w:rPr>
          <w:noProof/>
          <w:lang w:eastAsia="en-CA"/>
        </w:rPr>
        <w:drawing>
          <wp:anchor distT="0" distB="0" distL="114300" distR="114300" simplePos="0" relativeHeight="251661312" behindDoc="0" locked="0" layoutInCell="1" allowOverlap="1" wp14:anchorId="2468479C" wp14:editId="286E251D">
            <wp:simplePos x="0" y="0"/>
            <wp:positionH relativeFrom="rightMargin">
              <wp:posOffset>-5477534</wp:posOffset>
            </wp:positionH>
            <wp:positionV relativeFrom="paragraph">
              <wp:posOffset>11346</wp:posOffset>
            </wp:positionV>
            <wp:extent cx="825829" cy="862641"/>
            <wp:effectExtent l="0" t="0" r="0" b="0"/>
            <wp:wrapNone/>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5829" cy="862641"/>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E32746" w:rsidRPr="008B05DE">
        <w:t xml:space="preserve">Direct Investment between </w:t>
      </w:r>
    </w:p>
    <w:p w14:paraId="0E66047C" w14:textId="3D925190" w:rsidR="00E32746" w:rsidRPr="008B05DE" w:rsidRDefault="00E32746" w:rsidP="009472A5">
      <w:pPr>
        <w:pStyle w:val="OCE-covertitle"/>
        <w:spacing w:before="0"/>
        <w:jc w:val="center"/>
      </w:pPr>
      <w:r w:rsidRPr="008B05DE">
        <w:t>Canada and</w:t>
      </w:r>
      <w:r w:rsidR="005A182F">
        <w:t xml:space="preserve"> </w:t>
      </w:r>
      <w:r w:rsidR="00445E85" w:rsidRPr="00445E85">
        <w:t>{{country}}</w:t>
      </w:r>
    </w:p>
    <w:p w14:paraId="62A5B988" w14:textId="1C3B46DA" w:rsidR="00F1421B" w:rsidRDefault="00445E85" w:rsidP="00E10211">
      <w:pPr>
        <w:pStyle w:val="OCE-bodytext"/>
        <w:spacing w:before="0" w:beforeAutospacing="0" w:after="0" w:afterAutospacing="0"/>
        <w:jc w:val="center"/>
        <w:rPr>
          <w:rFonts w:eastAsiaTheme="majorEastAsia"/>
        </w:rPr>
      </w:pPr>
      <w:r>
        <w:rPr>
          <w:rFonts w:eastAsiaTheme="majorEastAsia"/>
        </w:rPr>
        <w:t>{{date</w:t>
      </w:r>
      <w:r w:rsidRPr="00445E85">
        <w:rPr>
          <w:rFonts w:eastAsiaTheme="majorEastAsia"/>
        </w:rPr>
        <w:t>}}</w:t>
      </w:r>
    </w:p>
    <w:p w14:paraId="7AC6D3BF" w14:textId="363CB078" w:rsidR="007C3975" w:rsidRPr="00EB3F1F" w:rsidRDefault="00F1421B" w:rsidP="00F1421B">
      <w:pPr>
        <w:pStyle w:val="OCE-bodytext"/>
        <w:spacing w:before="0" w:beforeAutospacing="0" w:after="0" w:afterAutospacing="0"/>
        <w:jc w:val="center"/>
        <w:rPr>
          <w:rFonts w:eastAsiaTheme="majorEastAsia"/>
        </w:rPr>
      </w:pPr>
      <w:r>
        <w:rPr>
          <w:sz w:val="17"/>
          <w:szCs w:val="17"/>
        </w:rPr>
        <w:t>(Next update expected in</w:t>
      </w:r>
      <w:r w:rsidR="00A11FD6">
        <w:rPr>
          <w:sz w:val="17"/>
          <w:szCs w:val="17"/>
        </w:rPr>
        <w:t xml:space="preserve"> </w:t>
      </w:r>
      <w:r w:rsidR="00184766">
        <w:rPr>
          <w:sz w:val="17"/>
          <w:szCs w:val="17"/>
        </w:rPr>
        <w:t>{{</w:t>
      </w:r>
      <w:r w:rsidR="00184766" w:rsidRPr="00184766">
        <w:rPr>
          <w:sz w:val="17"/>
          <w:szCs w:val="17"/>
        </w:rPr>
        <w:t>nextrelease</w:t>
      </w:r>
      <w:r w:rsidR="00184766">
        <w:rPr>
          <w:sz w:val="17"/>
          <w:szCs w:val="17"/>
        </w:rPr>
        <w:t>}}</w:t>
      </w:r>
      <w:r>
        <w:rPr>
          <w:sz w:val="17"/>
          <w:szCs w:val="17"/>
        </w:rPr>
        <w:t>)</w:t>
      </w:r>
    </w:p>
    <w:p w14:paraId="6D95C903" w14:textId="77777777" w:rsidR="003211C8" w:rsidRDefault="003211C8" w:rsidP="008B05DE">
      <w:pPr>
        <w:pStyle w:val="OCE-Subhead"/>
        <w:rPr>
          <w:rFonts w:eastAsiaTheme="majorEastAsia"/>
        </w:rPr>
      </w:pPr>
    </w:p>
    <w:p w14:paraId="3CF2EE7C" w14:textId="36712EB6" w:rsidR="00FC156E" w:rsidRDefault="00FC156E" w:rsidP="00CA4ADC">
      <w:pPr>
        <w:pStyle w:val="OCE-Subhead"/>
        <w:rPr>
          <w:rFonts w:eastAsiaTheme="majorEastAsia"/>
        </w:rPr>
      </w:pPr>
      <w:r w:rsidRPr="00FC156E">
        <w:rPr>
          <w:rFonts w:eastAsiaTheme="majorEastAsia"/>
        </w:rPr>
        <w:t xml:space="preserve">Foreign Direct Investment (FDI) </w:t>
      </w:r>
      <w:r w:rsidR="00EC21A6">
        <w:rPr>
          <w:rFonts w:eastAsiaTheme="majorEastAsia"/>
        </w:rPr>
        <w:t xml:space="preserve">Stock </w:t>
      </w:r>
      <w:r w:rsidR="00CC1577">
        <w:rPr>
          <w:rFonts w:eastAsiaTheme="majorEastAsia"/>
        </w:rPr>
        <w:t xml:space="preserve">from </w:t>
      </w:r>
      <w:r w:rsidR="00445E85" w:rsidRPr="00445E85">
        <w:rPr>
          <w:rFonts w:eastAsiaTheme="majorEastAsia"/>
        </w:rPr>
        <w:t>{{country}}</w:t>
      </w:r>
      <w:r w:rsidR="009472A5" w:rsidRPr="009472A5">
        <w:rPr>
          <w:noProof/>
        </w:rPr>
        <w:t xml:space="preserve"> </w:t>
      </w:r>
    </w:p>
    <w:p w14:paraId="1812FDC0" w14:textId="1076FD95" w:rsidR="00E10211" w:rsidRPr="00E10211" w:rsidRDefault="00E10211" w:rsidP="00EB00AC">
      <w:pPr>
        <w:pStyle w:val="OCE-bodytext"/>
        <w:spacing w:line="252" w:lineRule="auto"/>
        <w:jc w:val="both"/>
        <w:rPr>
          <w:lang w:val="en-US"/>
        </w:rPr>
      </w:pPr>
      <w:r>
        <w:rPr>
          <w:lang w:val="en-US"/>
        </w:rPr>
        <w:t xml:space="preserve">This brief presents FDI stock figures measured using two </w:t>
      </w:r>
      <w:r w:rsidR="00254FA3">
        <w:rPr>
          <w:lang w:val="en-US"/>
        </w:rPr>
        <w:t>bases</w:t>
      </w:r>
      <w:r>
        <w:rPr>
          <w:lang w:val="en-US"/>
        </w:rPr>
        <w:t>: 1) the Immediate Investing Country (IIC) approach, and 2) the Ultimate Investing Country</w:t>
      </w:r>
      <w:r w:rsidR="00CF46E3">
        <w:rPr>
          <w:lang w:val="en-US"/>
        </w:rPr>
        <w:t xml:space="preserve"> (UIC)</w:t>
      </w:r>
      <w:r w:rsidR="006C1EF4">
        <w:rPr>
          <w:lang w:val="en-US"/>
        </w:rPr>
        <w:t xml:space="preserve"> approach</w:t>
      </w:r>
      <w:r w:rsidR="00CF46E3">
        <w:rPr>
          <w:lang w:val="en-US"/>
        </w:rPr>
        <w:t xml:space="preserve">. </w:t>
      </w:r>
      <w:r w:rsidR="00365742">
        <w:rPr>
          <w:lang w:val="en-US"/>
        </w:rPr>
        <w:t xml:space="preserve">While </w:t>
      </w:r>
      <w:r w:rsidR="00254FA3">
        <w:rPr>
          <w:lang w:val="en-US"/>
        </w:rPr>
        <w:t>data on a</w:t>
      </w:r>
      <w:r w:rsidR="00D924D4">
        <w:rPr>
          <w:lang w:val="en-US"/>
        </w:rPr>
        <w:t>n</w:t>
      </w:r>
      <w:r w:rsidR="00254FA3">
        <w:rPr>
          <w:lang w:val="en-US"/>
        </w:rPr>
        <w:t xml:space="preserve"> </w:t>
      </w:r>
      <w:r w:rsidR="00365742">
        <w:rPr>
          <w:lang w:val="en-US"/>
        </w:rPr>
        <w:t xml:space="preserve">IIC </w:t>
      </w:r>
      <w:r w:rsidR="00254FA3">
        <w:rPr>
          <w:lang w:val="en-US"/>
        </w:rPr>
        <w:t>basis</w:t>
      </w:r>
      <w:r w:rsidR="00365742">
        <w:rPr>
          <w:lang w:val="en-US"/>
        </w:rPr>
        <w:t xml:space="preserve"> for a given country </w:t>
      </w:r>
      <w:r w:rsidR="006C0492">
        <w:rPr>
          <w:lang w:val="en-US"/>
        </w:rPr>
        <w:t>are</w:t>
      </w:r>
      <w:r w:rsidR="00365742">
        <w:rPr>
          <w:lang w:val="en-US"/>
        </w:rPr>
        <w:t xml:space="preserve"> widely available</w:t>
      </w:r>
      <w:r w:rsidR="00254FA3">
        <w:rPr>
          <w:lang w:val="en-US"/>
        </w:rPr>
        <w:t xml:space="preserve"> over a longer time period</w:t>
      </w:r>
      <w:r w:rsidR="00365742">
        <w:rPr>
          <w:lang w:val="en-US"/>
        </w:rPr>
        <w:t xml:space="preserve">, </w:t>
      </w:r>
      <w:r w:rsidR="00254FA3">
        <w:rPr>
          <w:lang w:val="en-US"/>
        </w:rPr>
        <w:t>data on a</w:t>
      </w:r>
      <w:r w:rsidR="00365742">
        <w:rPr>
          <w:lang w:val="en-US"/>
        </w:rPr>
        <w:t xml:space="preserve"> UIC </w:t>
      </w:r>
      <w:r w:rsidR="00254FA3">
        <w:rPr>
          <w:lang w:val="en-US"/>
        </w:rPr>
        <w:t>basis</w:t>
      </w:r>
      <w:r w:rsidR="00365742">
        <w:rPr>
          <w:lang w:val="en-US"/>
        </w:rPr>
        <w:t xml:space="preserve"> </w:t>
      </w:r>
      <w:r w:rsidR="006C0492">
        <w:rPr>
          <w:lang w:val="en-US"/>
        </w:rPr>
        <w:t>are</w:t>
      </w:r>
      <w:r w:rsidR="00365742">
        <w:rPr>
          <w:lang w:val="en-US"/>
        </w:rPr>
        <w:t xml:space="preserve"> not a</w:t>
      </w:r>
      <w:r w:rsidR="00254FA3">
        <w:rPr>
          <w:lang w:val="en-US"/>
        </w:rPr>
        <w:t>lway</w:t>
      </w:r>
      <w:r w:rsidR="00365742">
        <w:rPr>
          <w:lang w:val="en-US"/>
        </w:rPr>
        <w:t>s available</w:t>
      </w:r>
      <w:r w:rsidR="00254FA3">
        <w:rPr>
          <w:lang w:val="en-US"/>
        </w:rPr>
        <w:t xml:space="preserve">. When available, data on a UIC basis </w:t>
      </w:r>
      <w:r w:rsidR="006C0492">
        <w:rPr>
          <w:lang w:val="en-US"/>
        </w:rPr>
        <w:t>are</w:t>
      </w:r>
      <w:r w:rsidR="00254FA3">
        <w:rPr>
          <w:lang w:val="en-US"/>
        </w:rPr>
        <w:t xml:space="preserve"> </w:t>
      </w:r>
      <w:r w:rsidR="00365742">
        <w:rPr>
          <w:lang w:val="en-US"/>
        </w:rPr>
        <w:t xml:space="preserve">preferable as </w:t>
      </w:r>
      <w:r w:rsidR="006C0492">
        <w:rPr>
          <w:lang w:val="en-US"/>
        </w:rPr>
        <w:t>th</w:t>
      </w:r>
      <w:r w:rsidR="00BD1F20">
        <w:rPr>
          <w:lang w:val="en-US"/>
        </w:rPr>
        <w:t>e UIC</w:t>
      </w:r>
      <w:r w:rsidR="006C0492">
        <w:rPr>
          <w:lang w:val="en-US"/>
        </w:rPr>
        <w:t xml:space="preserve"> approach</w:t>
      </w:r>
      <w:r w:rsidR="00365742">
        <w:rPr>
          <w:lang w:val="en-US"/>
        </w:rPr>
        <w:t xml:space="preserve"> identifies the country of the investor </w:t>
      </w:r>
      <w:r w:rsidR="006C0492">
        <w:rPr>
          <w:lang w:val="en-US"/>
        </w:rPr>
        <w:t xml:space="preserve">that </w:t>
      </w:r>
      <w:r w:rsidR="00365742">
        <w:rPr>
          <w:lang w:val="en-US"/>
        </w:rPr>
        <w:t xml:space="preserve">ultimately controls the investment. </w:t>
      </w:r>
      <w:r w:rsidR="006C67FA">
        <w:rPr>
          <w:lang w:val="en-US"/>
        </w:rPr>
        <w:t>See</w:t>
      </w:r>
      <w:r w:rsidR="005A182F">
        <w:rPr>
          <w:lang w:val="en-US"/>
        </w:rPr>
        <w:t xml:space="preserve"> </w:t>
      </w:r>
      <w:r w:rsidR="006C67FA">
        <w:rPr>
          <w:lang w:val="en-US"/>
        </w:rPr>
        <w:t xml:space="preserve">the annex for </w:t>
      </w:r>
      <w:r w:rsidR="005A182F">
        <w:rPr>
          <w:lang w:val="en-US"/>
        </w:rPr>
        <w:t>detailed explanation</w:t>
      </w:r>
      <w:r w:rsidR="006C67FA">
        <w:rPr>
          <w:lang w:val="en-US"/>
        </w:rPr>
        <w:t>s</w:t>
      </w:r>
      <w:r w:rsidR="005A182F">
        <w:rPr>
          <w:lang w:val="en-US"/>
        </w:rPr>
        <w:t xml:space="preserve"> of each </w:t>
      </w:r>
      <w:r w:rsidR="00254FA3">
        <w:rPr>
          <w:lang w:val="en-US"/>
        </w:rPr>
        <w:t>measure</w:t>
      </w:r>
      <w:r w:rsidR="005A182F">
        <w:rPr>
          <w:lang w:val="en-US"/>
        </w:rPr>
        <w:t xml:space="preserve">. </w:t>
      </w:r>
    </w:p>
    <w:tbl>
      <w:tblPr>
        <w:tblStyle w:val="PlainTable5"/>
        <w:tblW w:w="0" w:type="auto"/>
        <w:jc w:val="center"/>
        <w:tblLook w:val="04A0" w:firstRow="1" w:lastRow="0" w:firstColumn="1" w:lastColumn="0" w:noHBand="0" w:noVBand="1"/>
      </w:tblPr>
      <w:tblGrid>
        <w:gridCol w:w="1134"/>
        <w:gridCol w:w="1558"/>
        <w:gridCol w:w="2253"/>
      </w:tblGrid>
      <w:tr w:rsidR="00AA78C5" w:rsidRPr="0008309E" w14:paraId="58AF157C" w14:textId="77777777" w:rsidTr="000D26E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4761C274" w14:textId="77777777" w:rsidR="00AA78C5" w:rsidRPr="00EA7776" w:rsidRDefault="00AA78C5" w:rsidP="00AA78C5">
            <w:pPr>
              <w:pStyle w:val="OCE-bodytext"/>
              <w:rPr>
                <w:color w:val="4472C4" w:themeColor="accent1"/>
              </w:rPr>
            </w:pPr>
          </w:p>
        </w:tc>
        <w:tc>
          <w:tcPr>
            <w:tcW w:w="1422" w:type="dxa"/>
          </w:tcPr>
          <w:p w14:paraId="37AC9051" w14:textId="77777777" w:rsidR="00AA78C5" w:rsidRPr="00460A62" w:rsidRDefault="00AA78C5" w:rsidP="00AA78C5">
            <w:pPr>
              <w:pStyle w:val="OCE-bodytext"/>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b/>
                <w:i w:val="0"/>
                <w:iCs w:val="0"/>
                <w:color w:val="4472C4" w:themeColor="accent1"/>
              </w:rPr>
            </w:pPr>
            <w:r w:rsidRPr="00460A62">
              <w:rPr>
                <w:rFonts w:eastAsiaTheme="majorEastAsia"/>
                <w:b/>
                <w:i w:val="0"/>
                <w:color w:val="4472C4" w:themeColor="accent1"/>
              </w:rPr>
              <w:t>IIC</w:t>
            </w:r>
          </w:p>
          <w:p w14:paraId="0C6DC92A" w14:textId="37132056" w:rsidR="00AA78C5" w:rsidRPr="00460A62" w:rsidRDefault="00AA78C5">
            <w:pPr>
              <w:pStyle w:val="OCE-bodytext"/>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i w:val="0"/>
                <w:iCs w:val="0"/>
                <w:color w:val="4472C4" w:themeColor="accent1"/>
              </w:rPr>
            </w:pPr>
            <w:r w:rsidRPr="00460A62">
              <w:rPr>
                <w:rFonts w:eastAsiaTheme="majorEastAsia"/>
                <w:i w:val="0"/>
                <w:color w:val="4472C4" w:themeColor="accent1"/>
              </w:rPr>
              <w:t>(</w:t>
            </w:r>
            <w:r w:rsidR="00D8432C">
              <w:rPr>
                <w:rFonts w:eastAsiaTheme="majorEastAsia"/>
                <w:i w:val="0"/>
                <w:color w:val="4472C4" w:themeColor="accent1"/>
              </w:rPr>
              <w:t>{{year10}}</w:t>
            </w:r>
            <w:r w:rsidRPr="00460A62">
              <w:rPr>
                <w:rFonts w:eastAsiaTheme="majorEastAsia"/>
                <w:i w:val="0"/>
                <w:color w:val="4472C4" w:themeColor="accent1"/>
              </w:rPr>
              <w:t>)</w:t>
            </w:r>
          </w:p>
        </w:tc>
        <w:tc>
          <w:tcPr>
            <w:tcW w:w="2253" w:type="dxa"/>
          </w:tcPr>
          <w:p w14:paraId="473EEA40" w14:textId="77777777" w:rsidR="00AA78C5" w:rsidRPr="00460A62" w:rsidRDefault="00AA78C5" w:rsidP="00AA78C5">
            <w:pPr>
              <w:pStyle w:val="OCE-bodytext"/>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b/>
                <w:i w:val="0"/>
                <w:iCs w:val="0"/>
                <w:color w:val="4472C4" w:themeColor="accent1"/>
              </w:rPr>
            </w:pPr>
            <w:r w:rsidRPr="00460A62">
              <w:rPr>
                <w:rFonts w:eastAsiaTheme="majorEastAsia"/>
                <w:b/>
                <w:i w:val="0"/>
                <w:color w:val="4472C4" w:themeColor="accent1"/>
              </w:rPr>
              <w:t>UIC</w:t>
            </w:r>
          </w:p>
          <w:p w14:paraId="6ACB0EBF" w14:textId="4663EB15" w:rsidR="00AA78C5" w:rsidRPr="00460A62" w:rsidRDefault="00AA78C5">
            <w:pPr>
              <w:pStyle w:val="OCE-bodytext"/>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i w:val="0"/>
                <w:iCs w:val="0"/>
                <w:color w:val="4472C4" w:themeColor="accent1"/>
              </w:rPr>
            </w:pPr>
            <w:r w:rsidRPr="00460A62">
              <w:rPr>
                <w:rFonts w:eastAsiaTheme="majorEastAsia"/>
                <w:i w:val="0"/>
                <w:color w:val="4472C4" w:themeColor="accent1"/>
              </w:rPr>
              <w:t>(</w:t>
            </w:r>
            <w:r w:rsidR="00D8432C">
              <w:rPr>
                <w:rFonts w:eastAsiaTheme="majorEastAsia"/>
                <w:i w:val="0"/>
                <w:color w:val="4472C4" w:themeColor="accent1"/>
              </w:rPr>
              <w:t>{{year10}}</w:t>
            </w:r>
            <w:r w:rsidRPr="00460A62">
              <w:rPr>
                <w:rFonts w:eastAsiaTheme="majorEastAsia"/>
                <w:i w:val="0"/>
                <w:color w:val="4472C4" w:themeColor="accent1"/>
              </w:rPr>
              <w:t>)</w:t>
            </w:r>
          </w:p>
        </w:tc>
      </w:tr>
      <w:tr w:rsidR="00AA78C5" w:rsidRPr="00EA7776" w14:paraId="6D736913" w14:textId="77777777" w:rsidTr="000D26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476A55" w14:textId="70A2EC09" w:rsidR="00AA78C5" w:rsidRPr="00FA7A3E" w:rsidRDefault="00AA78C5" w:rsidP="00AA78C5">
            <w:pPr>
              <w:pStyle w:val="OCE-bodytext"/>
              <w:rPr>
                <w:i w:val="0"/>
                <w:iCs w:val="0"/>
                <w:color w:val="4472C4" w:themeColor="accent1"/>
              </w:rPr>
            </w:pPr>
            <w:r w:rsidRPr="00FA7A3E">
              <w:rPr>
                <w:rFonts w:eastAsiaTheme="majorEastAsia"/>
                <w:b/>
                <w:i w:val="0"/>
                <w:color w:val="4472C4" w:themeColor="accent1"/>
              </w:rPr>
              <w:t>Value</w:t>
            </w:r>
          </w:p>
        </w:tc>
        <w:tc>
          <w:tcPr>
            <w:tcW w:w="1422" w:type="dxa"/>
          </w:tcPr>
          <w:p w14:paraId="09C74168" w14:textId="08E5CBDA" w:rsidR="00AA78C5" w:rsidRPr="00EA7776" w:rsidRDefault="00D8432C" w:rsidP="0023075C">
            <w:pPr>
              <w:pStyle w:val="OCE-bodytext"/>
              <w:jc w:val="center"/>
              <w:cnfStyle w:val="000000100000" w:firstRow="0" w:lastRow="0" w:firstColumn="0" w:lastColumn="0" w:oddVBand="0" w:evenVBand="0" w:oddHBand="1"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r w:rsidR="0023075C">
              <w:rPr>
                <w:rFonts w:eastAsiaTheme="majorEastAsia"/>
                <w:color w:val="4472C4" w:themeColor="accent1"/>
              </w:rPr>
              <w:t>FDII</w:t>
            </w:r>
            <w:r w:rsidR="00CD3084">
              <w:rPr>
                <w:rFonts w:eastAsiaTheme="majorEastAsia"/>
                <w:color w:val="4472C4" w:themeColor="accent1"/>
              </w:rPr>
              <w:t>}}</w:t>
            </w:r>
          </w:p>
        </w:tc>
        <w:tc>
          <w:tcPr>
            <w:tcW w:w="2253" w:type="dxa"/>
          </w:tcPr>
          <w:p w14:paraId="3C24F671" w14:textId="0E5E2264" w:rsidR="00AA78C5" w:rsidRPr="00EA7776" w:rsidRDefault="00D8432C" w:rsidP="0023075C">
            <w:pPr>
              <w:pStyle w:val="OCE-bodytext"/>
              <w:jc w:val="center"/>
              <w:cnfStyle w:val="000000100000" w:firstRow="0" w:lastRow="0" w:firstColumn="0" w:lastColumn="0" w:oddVBand="0" w:evenVBand="0" w:oddHBand="1"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r w:rsidR="0023075C">
              <w:rPr>
                <w:rFonts w:eastAsiaTheme="majorEastAsia"/>
                <w:color w:val="4472C4" w:themeColor="accent1"/>
              </w:rPr>
              <w:t>FDIU</w:t>
            </w:r>
            <w:r w:rsidR="00CD3084">
              <w:rPr>
                <w:rFonts w:eastAsiaTheme="majorEastAsia"/>
                <w:color w:val="4472C4" w:themeColor="accent1"/>
              </w:rPr>
              <w:t>}}</w:t>
            </w:r>
          </w:p>
        </w:tc>
      </w:tr>
      <w:tr w:rsidR="00D10A11" w:rsidRPr="00EA7776" w14:paraId="36B4CF21" w14:textId="77777777" w:rsidTr="000D26E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D4EDF44" w14:textId="77543F00" w:rsidR="00D10A11" w:rsidRPr="00FA7A3E" w:rsidRDefault="00D10A11" w:rsidP="00D10A11">
            <w:pPr>
              <w:pStyle w:val="OCE-bodytext"/>
              <w:rPr>
                <w:rFonts w:eastAsiaTheme="majorEastAsia"/>
                <w:b/>
                <w:color w:val="4472C4" w:themeColor="accent1"/>
              </w:rPr>
            </w:pPr>
            <w:r w:rsidRPr="00FA7A3E">
              <w:rPr>
                <w:rFonts w:eastAsiaTheme="majorEastAsia"/>
                <w:b/>
                <w:i w:val="0"/>
                <w:color w:val="4472C4" w:themeColor="accent1"/>
              </w:rPr>
              <w:t>Share</w:t>
            </w:r>
          </w:p>
        </w:tc>
        <w:tc>
          <w:tcPr>
            <w:tcW w:w="1422" w:type="dxa"/>
          </w:tcPr>
          <w:p w14:paraId="35D81BDB" w14:textId="49F34F90" w:rsidR="00D10A11" w:rsidRDefault="00D8432C" w:rsidP="0023075C">
            <w:pPr>
              <w:pStyle w:val="OCE-bodytext"/>
              <w:jc w:val="center"/>
              <w:cnfStyle w:val="000000000000" w:firstRow="0" w:lastRow="0" w:firstColumn="0" w:lastColumn="0" w:oddVBand="0" w:evenVBand="0" w:oddHBand="0"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proofErr w:type="spellStart"/>
            <w:r w:rsidRPr="00D8432C">
              <w:rPr>
                <w:rFonts w:eastAsiaTheme="majorEastAsia"/>
                <w:color w:val="4472C4" w:themeColor="accent1"/>
              </w:rPr>
              <w:t>FDI</w:t>
            </w:r>
            <w:r w:rsidR="0023075C">
              <w:rPr>
                <w:rFonts w:eastAsiaTheme="majorEastAsia"/>
                <w:color w:val="4472C4" w:themeColor="accent1"/>
              </w:rPr>
              <w:t>I</w:t>
            </w:r>
            <w:r w:rsidRPr="00D8432C">
              <w:rPr>
                <w:rFonts w:eastAsiaTheme="majorEastAsia"/>
                <w:color w:val="4472C4" w:themeColor="accent1"/>
              </w:rPr>
              <w:t>_share</w:t>
            </w:r>
            <w:proofErr w:type="spellEnd"/>
            <w:r>
              <w:rPr>
                <w:rFonts w:eastAsiaTheme="majorEastAsia"/>
                <w:color w:val="4472C4" w:themeColor="accent1"/>
              </w:rPr>
              <w:t>}}</w:t>
            </w:r>
          </w:p>
        </w:tc>
        <w:tc>
          <w:tcPr>
            <w:tcW w:w="2253" w:type="dxa"/>
          </w:tcPr>
          <w:p w14:paraId="3EB16678" w14:textId="6E4CCED5" w:rsidR="00D10A11" w:rsidRDefault="00D8432C" w:rsidP="0023075C">
            <w:pPr>
              <w:pStyle w:val="OCE-bodytext"/>
              <w:jc w:val="center"/>
              <w:cnfStyle w:val="000000000000" w:firstRow="0" w:lastRow="0" w:firstColumn="0" w:lastColumn="0" w:oddVBand="0" w:evenVBand="0" w:oddHBand="0"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proofErr w:type="spellStart"/>
            <w:r w:rsidR="0023075C">
              <w:rPr>
                <w:rFonts w:eastAsiaTheme="majorEastAsia"/>
                <w:color w:val="4472C4" w:themeColor="accent1"/>
              </w:rPr>
              <w:t>FDI</w:t>
            </w:r>
            <w:r w:rsidR="008C2C37">
              <w:rPr>
                <w:rFonts w:eastAsiaTheme="majorEastAsia"/>
                <w:color w:val="4472C4" w:themeColor="accent1"/>
              </w:rPr>
              <w:t>U</w:t>
            </w:r>
            <w:r w:rsidRPr="00D8432C">
              <w:rPr>
                <w:rFonts w:eastAsiaTheme="majorEastAsia"/>
                <w:color w:val="4472C4" w:themeColor="accent1"/>
              </w:rPr>
              <w:t>_share</w:t>
            </w:r>
            <w:proofErr w:type="spellEnd"/>
            <w:r>
              <w:rPr>
                <w:rFonts w:eastAsiaTheme="majorEastAsia"/>
                <w:color w:val="4472C4" w:themeColor="accent1"/>
              </w:rPr>
              <w:t>}}</w:t>
            </w:r>
          </w:p>
        </w:tc>
      </w:tr>
      <w:tr w:rsidR="00D10A11" w:rsidRPr="00EA7776" w14:paraId="2C72E7AD" w14:textId="77777777" w:rsidTr="000D26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F92F6C2" w14:textId="50F3298F" w:rsidR="00D10A11" w:rsidRPr="00FA7A3E" w:rsidRDefault="00D10A11" w:rsidP="00D10A11">
            <w:pPr>
              <w:pStyle w:val="OCE-bodytext"/>
              <w:rPr>
                <w:b/>
                <w:i w:val="0"/>
                <w:iCs w:val="0"/>
                <w:color w:val="4472C4" w:themeColor="accent1"/>
              </w:rPr>
            </w:pPr>
            <w:r w:rsidRPr="00FA7A3E">
              <w:rPr>
                <w:rFonts w:eastAsiaTheme="majorEastAsia"/>
                <w:b/>
                <w:i w:val="0"/>
                <w:color w:val="4472C4" w:themeColor="accent1"/>
              </w:rPr>
              <w:t>Rank</w:t>
            </w:r>
          </w:p>
        </w:tc>
        <w:tc>
          <w:tcPr>
            <w:tcW w:w="1422" w:type="dxa"/>
          </w:tcPr>
          <w:p w14:paraId="4411703B" w14:textId="4753B739" w:rsidR="00D10A11" w:rsidRPr="00EA7776" w:rsidRDefault="00D8432C" w:rsidP="00F57FF3">
            <w:pPr>
              <w:pStyle w:val="OCE-bodytext"/>
              <w:jc w:val="center"/>
              <w:cnfStyle w:val="000000100000" w:firstRow="0" w:lastRow="0" w:firstColumn="0" w:lastColumn="0" w:oddVBand="0" w:evenVBand="0" w:oddHBand="1"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proofErr w:type="spellStart"/>
            <w:r w:rsidR="0023075C">
              <w:rPr>
                <w:rFonts w:eastAsiaTheme="majorEastAsia"/>
                <w:color w:val="4472C4" w:themeColor="accent1"/>
              </w:rPr>
              <w:t>FDII_G_rank</w:t>
            </w:r>
            <w:proofErr w:type="spellEnd"/>
            <w:r>
              <w:rPr>
                <w:rFonts w:eastAsiaTheme="majorEastAsia"/>
                <w:color w:val="4472C4" w:themeColor="accent1"/>
              </w:rPr>
              <w:t>}}</w:t>
            </w:r>
          </w:p>
        </w:tc>
        <w:tc>
          <w:tcPr>
            <w:tcW w:w="2253" w:type="dxa"/>
          </w:tcPr>
          <w:p w14:paraId="6C0B55BB" w14:textId="13E32FA8" w:rsidR="00D10A11" w:rsidRPr="00EA7776" w:rsidRDefault="00D8432C" w:rsidP="00F166D1">
            <w:pPr>
              <w:pStyle w:val="OCE-bodytext"/>
              <w:jc w:val="center"/>
              <w:cnfStyle w:val="000000100000" w:firstRow="0" w:lastRow="0" w:firstColumn="0" w:lastColumn="0" w:oddVBand="0" w:evenVBand="0" w:oddHBand="1"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proofErr w:type="spellStart"/>
            <w:r w:rsidR="00F166D1">
              <w:rPr>
                <w:rFonts w:eastAsiaTheme="majorEastAsia"/>
                <w:color w:val="4472C4" w:themeColor="accent1"/>
              </w:rPr>
              <w:t>FDIU_G_rank</w:t>
            </w:r>
            <w:proofErr w:type="spellEnd"/>
            <w:r>
              <w:rPr>
                <w:rFonts w:eastAsiaTheme="majorEastAsia"/>
                <w:color w:val="4472C4" w:themeColor="accent1"/>
              </w:rPr>
              <w:t>}}</w:t>
            </w:r>
            <w:r w:rsidR="00D10A11" w:rsidRPr="006C67FA">
              <w:rPr>
                <w:rFonts w:eastAsiaTheme="majorEastAsia"/>
                <w:color w:val="4472C4" w:themeColor="accent1"/>
              </w:rPr>
              <w:t xml:space="preserve"> </w:t>
            </w:r>
          </w:p>
        </w:tc>
      </w:tr>
    </w:tbl>
    <w:p w14:paraId="71BBE351" w14:textId="70F046BA" w:rsidR="00AA78C5" w:rsidRDefault="00AA78C5" w:rsidP="00EB00AC">
      <w:pPr>
        <w:pStyle w:val="OCE-bodytext"/>
        <w:spacing w:after="120" w:afterAutospacing="0"/>
        <w:jc w:val="both"/>
        <w:rPr>
          <w:lang w:val="fr-FR"/>
        </w:rPr>
      </w:pPr>
      <w:proofErr w:type="spellStart"/>
      <w:r w:rsidRPr="00704BDF">
        <w:rPr>
          <w:b/>
          <w:lang w:val="fr-FR"/>
        </w:rPr>
        <w:t>Recent</w:t>
      </w:r>
      <w:proofErr w:type="spellEnd"/>
      <w:r w:rsidRPr="00704BDF">
        <w:rPr>
          <w:b/>
          <w:lang w:val="fr-FR"/>
        </w:rPr>
        <w:t xml:space="preserve"> </w:t>
      </w:r>
      <w:proofErr w:type="gramStart"/>
      <w:r w:rsidRPr="00704BDF">
        <w:rPr>
          <w:b/>
          <w:lang w:val="fr-FR"/>
        </w:rPr>
        <w:t>trends</w:t>
      </w:r>
      <w:r w:rsidRPr="00704BDF">
        <w:rPr>
          <w:lang w:val="fr-FR"/>
        </w:rPr>
        <w:t>:</w:t>
      </w:r>
      <w:proofErr w:type="gramEnd"/>
      <w:r w:rsidRPr="00704BDF">
        <w:rPr>
          <w:lang w:val="fr-FR"/>
        </w:rPr>
        <w:t xml:space="preserve"> </w:t>
      </w:r>
      <w:r w:rsidR="00CD3084" w:rsidRPr="00704BDF">
        <w:rPr>
          <w:lang w:val="fr-FR"/>
        </w:rPr>
        <w:t>{{RT_FDI</w:t>
      </w:r>
      <w:r w:rsidR="00704BDF" w:rsidRPr="00704BDF">
        <w:rPr>
          <w:lang w:val="fr-FR"/>
        </w:rPr>
        <w:t>_IIC</w:t>
      </w:r>
      <w:r w:rsidR="00CD3084" w:rsidRPr="00704BDF">
        <w:rPr>
          <w:lang w:val="fr-FR"/>
        </w:rPr>
        <w:t>}}</w:t>
      </w:r>
    </w:p>
    <w:p w14:paraId="4CD63C50" w14:textId="09219217" w:rsidR="009851E0" w:rsidRPr="00704BDF" w:rsidRDefault="009851E0" w:rsidP="009851E0">
      <w:pPr>
        <w:pStyle w:val="OCE-bodytext"/>
        <w:spacing w:after="120" w:afterAutospacing="0"/>
        <w:jc w:val="center"/>
        <w:rPr>
          <w:lang w:val="fr-FR"/>
        </w:rPr>
      </w:pPr>
      <w:r>
        <w:rPr>
          <w:noProof/>
        </w:rPr>
        <w:drawing>
          <wp:inline distT="0" distB="0" distL="0" distR="0" wp14:anchorId="67EE3A2B" wp14:editId="393A7E34">
            <wp:extent cx="4600800" cy="2592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laceholder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0800" cy="2592000"/>
                    </a:xfrm>
                    <a:prstGeom prst="rect">
                      <a:avLst/>
                    </a:prstGeom>
                  </pic:spPr>
                </pic:pic>
              </a:graphicData>
            </a:graphic>
          </wp:inline>
        </w:drawing>
      </w:r>
    </w:p>
    <w:p w14:paraId="04260034" w14:textId="43A3BDB5" w:rsidR="00704BDF" w:rsidRPr="007425B0" w:rsidRDefault="00704BDF" w:rsidP="00EB00AC">
      <w:pPr>
        <w:pStyle w:val="OCE-bodytext"/>
        <w:spacing w:after="120" w:afterAutospacing="0"/>
        <w:jc w:val="both"/>
      </w:pPr>
      <w:r w:rsidRPr="007425B0">
        <w:t>{{RT_FDI_UIC}}</w:t>
      </w:r>
    </w:p>
    <w:p w14:paraId="0E21E969" w14:textId="21C4B85B" w:rsidR="00AA78C5" w:rsidRPr="00FC156E" w:rsidRDefault="00D10A11" w:rsidP="00EB00AC">
      <w:pPr>
        <w:pStyle w:val="OCE-bodytext"/>
        <w:jc w:val="both"/>
        <w:rPr>
          <w:lang w:val="en-US"/>
        </w:rPr>
      </w:pPr>
      <w:r>
        <w:rPr>
          <w:b/>
          <w:lang w:val="en-US"/>
        </w:rPr>
        <w:lastRenderedPageBreak/>
        <w:t>Share and r</w:t>
      </w:r>
      <w:r w:rsidR="00AA78C5" w:rsidRPr="00FC156E">
        <w:rPr>
          <w:b/>
          <w:lang w:val="en-US"/>
        </w:rPr>
        <w:t>ank</w:t>
      </w:r>
      <w:r w:rsidR="00AA78C5" w:rsidRPr="00FC156E">
        <w:rPr>
          <w:lang w:val="en-US"/>
        </w:rPr>
        <w:t xml:space="preserve">: </w:t>
      </w:r>
      <w:r w:rsidR="003E13B2">
        <w:rPr>
          <w:lang w:val="en-US"/>
        </w:rPr>
        <w:t>{{</w:t>
      </w:r>
      <w:r w:rsidR="007425B0" w:rsidRPr="007425B0">
        <w:rPr>
          <w:lang w:val="en-US"/>
        </w:rPr>
        <w:t>SR_FDI_UIC</w:t>
      </w:r>
      <w:r w:rsidR="007425B0">
        <w:rPr>
          <w:lang w:val="en-US"/>
        </w:rPr>
        <w:t>}}</w:t>
      </w:r>
    </w:p>
    <w:p w14:paraId="6387AA5E" w14:textId="47610E08" w:rsidR="008C4E1E" w:rsidRDefault="00AA78C5" w:rsidP="00EB00AC">
      <w:pPr>
        <w:pStyle w:val="OCE-bodytext"/>
        <w:jc w:val="both"/>
        <w:rPr>
          <w:lang w:val="en-US"/>
        </w:rPr>
      </w:pPr>
      <w:r>
        <w:rPr>
          <w:b/>
          <w:lang w:val="en-US"/>
        </w:rPr>
        <w:t xml:space="preserve">Contribution of </w:t>
      </w:r>
      <w:r w:rsidR="00FE642C">
        <w:rPr>
          <w:b/>
          <w:lang w:val="en-US"/>
        </w:rPr>
        <w:t>{{</w:t>
      </w:r>
      <w:proofErr w:type="spellStart"/>
      <w:r w:rsidR="00FE642C">
        <w:rPr>
          <w:b/>
          <w:lang w:val="en-US"/>
        </w:rPr>
        <w:t>country_adj</w:t>
      </w:r>
      <w:proofErr w:type="spellEnd"/>
      <w:r w:rsidR="00FE642C">
        <w:rPr>
          <w:b/>
          <w:lang w:val="en-US"/>
        </w:rPr>
        <w:t>}}</w:t>
      </w:r>
      <w:r>
        <w:rPr>
          <w:b/>
          <w:lang w:val="en-US"/>
        </w:rPr>
        <w:t xml:space="preserve"> affiliates to Canadian economy (UIC basis):</w:t>
      </w:r>
      <w:r>
        <w:rPr>
          <w:lang w:val="en-US"/>
        </w:rPr>
        <w:t xml:space="preserve"> </w:t>
      </w:r>
      <w:r w:rsidR="00160473">
        <w:rPr>
          <w:lang w:val="en-US"/>
        </w:rPr>
        <w:t>{{AMNE}}</w:t>
      </w:r>
      <w:r w:rsidRPr="00892095">
        <w:rPr>
          <w:lang w:val="en-US"/>
        </w:rPr>
        <w:t xml:space="preserve"> </w:t>
      </w:r>
    </w:p>
    <w:p w14:paraId="63D9808C" w14:textId="6E85EF8B" w:rsidR="003F7580" w:rsidRDefault="00B11121" w:rsidP="003F7580">
      <w:pPr>
        <w:pStyle w:val="OCE-bodytext"/>
        <w:jc w:val="both"/>
        <w:rPr>
          <w:lang w:val="en-US"/>
        </w:rPr>
      </w:pPr>
      <w:r>
        <w:rPr>
          <w:lang w:val="en-US"/>
        </w:rPr>
        <w:t>{{AMNE2}}</w:t>
      </w:r>
      <w:bookmarkStart w:id="0" w:name="_GoBack"/>
      <w:bookmarkEnd w:id="0"/>
      <w:r w:rsidR="003F7580">
        <w:rPr>
          <w:lang w:val="en-US"/>
        </w:rPr>
        <w:br w:type="page"/>
      </w:r>
    </w:p>
    <w:p w14:paraId="211DDC31" w14:textId="4D5EA8B5" w:rsidR="00FC156E" w:rsidRPr="00FC156E" w:rsidRDefault="00FC156E" w:rsidP="00CA4ADC">
      <w:pPr>
        <w:pStyle w:val="OCE-Subhead"/>
        <w:rPr>
          <w:rFonts w:eastAsiaTheme="majorEastAsia"/>
        </w:rPr>
      </w:pPr>
      <w:r w:rsidRPr="00FC156E">
        <w:rPr>
          <w:rFonts w:eastAsiaTheme="majorEastAsia"/>
        </w:rPr>
        <w:lastRenderedPageBreak/>
        <w:t xml:space="preserve">Canadian Direct Investment (CDIA) </w:t>
      </w:r>
      <w:r w:rsidR="00EC21A6">
        <w:rPr>
          <w:rFonts w:eastAsiaTheme="majorEastAsia"/>
        </w:rPr>
        <w:t xml:space="preserve">Stock </w:t>
      </w:r>
      <w:r w:rsidRPr="00FC156E">
        <w:rPr>
          <w:rFonts w:eastAsiaTheme="majorEastAsia"/>
        </w:rPr>
        <w:t xml:space="preserve">in </w:t>
      </w:r>
      <w:r w:rsidR="003E13B2">
        <w:rPr>
          <w:rFonts w:eastAsiaTheme="majorEastAsia"/>
        </w:rPr>
        <w:t>{{country}}</w:t>
      </w:r>
    </w:p>
    <w:p w14:paraId="2D3B0C45" w14:textId="216A4EFA" w:rsidR="00AA78C5" w:rsidRPr="00362EE7" w:rsidRDefault="00AA78C5" w:rsidP="00CA4ADC">
      <w:pPr>
        <w:pStyle w:val="OCE-bodytext"/>
        <w:spacing w:before="0" w:beforeAutospacing="0" w:after="0" w:afterAutospacing="0"/>
        <w:rPr>
          <w:b/>
          <w:color w:val="4472C4" w:themeColor="accent1"/>
        </w:rPr>
      </w:pPr>
      <w:r w:rsidRPr="00EA7776">
        <w:rPr>
          <w:b/>
          <w:color w:val="4472C4" w:themeColor="accent1"/>
        </w:rPr>
        <w:t>Value</w:t>
      </w:r>
      <w:r w:rsidR="008F1FAA" w:rsidRPr="00362EE7">
        <w:rPr>
          <w:b/>
          <w:color w:val="4472C4" w:themeColor="accent1"/>
        </w:rPr>
        <w:t>:</w:t>
      </w:r>
      <w:r w:rsidRPr="00362EE7">
        <w:rPr>
          <w:b/>
          <w:color w:val="4472C4" w:themeColor="accent1"/>
        </w:rPr>
        <w:t xml:space="preserve"> </w:t>
      </w:r>
      <w:r w:rsidR="00704BDF">
        <w:rPr>
          <w:color w:val="4472C4" w:themeColor="accent1"/>
        </w:rPr>
        <w:t>{{CDIAI}}</w:t>
      </w:r>
      <w:r w:rsidRPr="00362EE7">
        <w:rPr>
          <w:color w:val="4472C4" w:themeColor="accent1"/>
        </w:rPr>
        <w:t xml:space="preserve"> in </w:t>
      </w:r>
      <w:r w:rsidR="00D8432C">
        <w:rPr>
          <w:color w:val="4472C4" w:themeColor="accent1"/>
        </w:rPr>
        <w:t>{{year10}}</w:t>
      </w:r>
    </w:p>
    <w:p w14:paraId="3509C501" w14:textId="3FAB147D" w:rsidR="00D10A11" w:rsidRPr="00362EE7" w:rsidRDefault="00D10A11" w:rsidP="00CA4ADC">
      <w:pPr>
        <w:pStyle w:val="OCE-bodytext"/>
        <w:spacing w:before="0" w:beforeAutospacing="0" w:after="0" w:afterAutospacing="0"/>
        <w:rPr>
          <w:b/>
          <w:color w:val="4472C4" w:themeColor="accent1"/>
        </w:rPr>
      </w:pPr>
      <w:r w:rsidRPr="00EA7776">
        <w:rPr>
          <w:b/>
          <w:color w:val="4472C4" w:themeColor="accent1"/>
        </w:rPr>
        <w:t>Share of CDIA</w:t>
      </w:r>
      <w:r w:rsidRPr="00362EE7">
        <w:rPr>
          <w:b/>
          <w:color w:val="4472C4" w:themeColor="accent1"/>
        </w:rPr>
        <w:t xml:space="preserve">: </w:t>
      </w:r>
      <w:r w:rsidR="00704BDF">
        <w:rPr>
          <w:color w:val="4472C4" w:themeColor="accent1"/>
        </w:rPr>
        <w:t>{{</w:t>
      </w:r>
      <w:proofErr w:type="spellStart"/>
      <w:r w:rsidR="00704BDF">
        <w:rPr>
          <w:color w:val="4472C4" w:themeColor="accent1"/>
        </w:rPr>
        <w:t>CDIAI_share</w:t>
      </w:r>
      <w:proofErr w:type="spellEnd"/>
      <w:r w:rsidR="00704BDF">
        <w:rPr>
          <w:color w:val="4472C4" w:themeColor="accent1"/>
        </w:rPr>
        <w:t>}}</w:t>
      </w:r>
      <w:r w:rsidRPr="00362EE7">
        <w:rPr>
          <w:color w:val="4472C4" w:themeColor="accent1"/>
        </w:rPr>
        <w:t xml:space="preserve"> in </w:t>
      </w:r>
      <w:r w:rsidR="00D8432C">
        <w:rPr>
          <w:color w:val="4472C4" w:themeColor="accent1"/>
        </w:rPr>
        <w:t>{{year10}}</w:t>
      </w:r>
    </w:p>
    <w:p w14:paraId="4D528018" w14:textId="0342C41A" w:rsidR="00AA78C5" w:rsidRPr="00EA7776" w:rsidRDefault="00AA78C5" w:rsidP="00CA4ADC">
      <w:pPr>
        <w:pStyle w:val="OCE-bodytext"/>
        <w:spacing w:before="0" w:beforeAutospacing="0" w:after="0" w:afterAutospacing="0"/>
        <w:rPr>
          <w:color w:val="4472C4" w:themeColor="accent1"/>
        </w:rPr>
      </w:pPr>
      <w:r w:rsidRPr="00EA7776">
        <w:rPr>
          <w:b/>
          <w:color w:val="4472C4" w:themeColor="accent1"/>
        </w:rPr>
        <w:t>Rank</w:t>
      </w:r>
      <w:r w:rsidRPr="00362EE7">
        <w:rPr>
          <w:b/>
          <w:color w:val="4472C4" w:themeColor="accent1"/>
        </w:rPr>
        <w:t xml:space="preserve">: </w:t>
      </w:r>
      <w:r w:rsidR="00704BDF">
        <w:rPr>
          <w:color w:val="4472C4" w:themeColor="accent1"/>
        </w:rPr>
        <w:t>{{</w:t>
      </w:r>
      <w:proofErr w:type="spellStart"/>
      <w:r w:rsidR="00704BDF">
        <w:rPr>
          <w:color w:val="4472C4" w:themeColor="accent1"/>
        </w:rPr>
        <w:t>CDIAI_G_rank</w:t>
      </w:r>
      <w:proofErr w:type="spellEnd"/>
      <w:r w:rsidR="00704BDF">
        <w:rPr>
          <w:color w:val="4472C4" w:themeColor="accent1"/>
        </w:rPr>
        <w:t>}}</w:t>
      </w:r>
      <w:r w:rsidRPr="00EA7776">
        <w:rPr>
          <w:color w:val="4472C4" w:themeColor="accent1"/>
        </w:rPr>
        <w:t xml:space="preserve"> </w:t>
      </w:r>
    </w:p>
    <w:p w14:paraId="3E089293" w14:textId="77777777" w:rsidR="00A04650" w:rsidRPr="00A04650" w:rsidRDefault="00A04650" w:rsidP="00CA4ADC">
      <w:pPr>
        <w:pStyle w:val="OCE-bodytext"/>
        <w:spacing w:before="0" w:beforeAutospacing="0" w:after="0" w:afterAutospacing="0"/>
        <w:rPr>
          <w:sz w:val="6"/>
          <w:szCs w:val="6"/>
          <w:lang w:val="en-US"/>
        </w:rPr>
      </w:pPr>
    </w:p>
    <w:p w14:paraId="1881AFA4" w14:textId="77777777" w:rsidR="00EF50A0" w:rsidRDefault="00EF50A0" w:rsidP="00CA4ADC">
      <w:pPr>
        <w:pStyle w:val="OCE-bodytext"/>
        <w:spacing w:before="0" w:beforeAutospacing="0" w:after="0" w:afterAutospacing="0"/>
        <w:rPr>
          <w:sz w:val="17"/>
          <w:szCs w:val="17"/>
        </w:rPr>
      </w:pPr>
      <w:r w:rsidRPr="00930F5B">
        <w:rPr>
          <w:color w:val="4472C4" w:themeColor="accent1"/>
          <w:sz w:val="17"/>
          <w:szCs w:val="17"/>
        </w:rPr>
        <w:t>Note: Figures in this section are based on the immediate destination concept. Figures presenting the ultimate destination of Canadian direct investment do not exist currently.</w:t>
      </w:r>
    </w:p>
    <w:p w14:paraId="7D83FBA6" w14:textId="7C3E1993" w:rsidR="00AA78C5" w:rsidRPr="00FC156E" w:rsidRDefault="00AA78C5" w:rsidP="00EB00AC">
      <w:pPr>
        <w:pStyle w:val="OCE-bodytext"/>
        <w:jc w:val="both"/>
        <w:rPr>
          <w:b/>
          <w:lang w:val="en-US"/>
        </w:rPr>
      </w:pPr>
      <w:r w:rsidRPr="00FC156E">
        <w:rPr>
          <w:b/>
          <w:lang w:val="en-US"/>
        </w:rPr>
        <w:t xml:space="preserve">Recent trends: </w:t>
      </w:r>
      <w:r w:rsidR="0052338A">
        <w:rPr>
          <w:lang w:val="en-US"/>
        </w:rPr>
        <w:t>{{RT_CDIA_IIC}}</w:t>
      </w:r>
    </w:p>
    <w:p w14:paraId="47F08594" w14:textId="70079E93" w:rsidR="00AA78C5" w:rsidRPr="00B4520F" w:rsidRDefault="00C064B9" w:rsidP="00EB00AC">
      <w:pPr>
        <w:pStyle w:val="OCE-bodytext"/>
        <w:spacing w:line="252" w:lineRule="auto"/>
        <w:jc w:val="both"/>
      </w:pPr>
      <w:r>
        <w:rPr>
          <w:b/>
          <w:lang w:val="en-US"/>
        </w:rPr>
        <w:t>Share and r</w:t>
      </w:r>
      <w:r w:rsidR="00AA78C5" w:rsidRPr="00FC156E">
        <w:rPr>
          <w:b/>
          <w:lang w:val="en-US"/>
        </w:rPr>
        <w:t xml:space="preserve">ank: </w:t>
      </w:r>
      <w:r w:rsidR="00B4520F">
        <w:rPr>
          <w:lang w:val="en-US"/>
        </w:rPr>
        <w:t>{{</w:t>
      </w:r>
      <w:r w:rsidR="00B4520F" w:rsidRPr="00B4520F">
        <w:rPr>
          <w:lang w:val="en-US"/>
        </w:rPr>
        <w:t>SR_CDIA_IIC</w:t>
      </w:r>
      <w:r w:rsidR="00B4520F">
        <w:t>}}</w:t>
      </w:r>
    </w:p>
    <w:p w14:paraId="21B22992" w14:textId="5EB9A4DD" w:rsidR="00D14855" w:rsidRDefault="006C0E03" w:rsidP="00EB00AC">
      <w:pPr>
        <w:spacing w:before="100" w:beforeAutospacing="1" w:after="100" w:afterAutospacing="1"/>
        <w:jc w:val="both"/>
        <w:outlineLvl w:val="1"/>
        <w:rPr>
          <w:rFonts w:ascii="Arial" w:eastAsia="Times New Roman" w:hAnsi="Arial" w:cs="Arial"/>
          <w:color w:val="19304B"/>
          <w:sz w:val="19"/>
          <w:szCs w:val="19"/>
          <w:lang w:val="en-US" w:eastAsia="en-CA"/>
        </w:rPr>
      </w:pPr>
      <w:r w:rsidRPr="006D65B2">
        <w:rPr>
          <w:rFonts w:ascii="Arial" w:eastAsia="Times New Roman" w:hAnsi="Arial" w:cs="Arial"/>
          <w:b/>
          <w:color w:val="19304B"/>
          <w:sz w:val="19"/>
          <w:szCs w:val="19"/>
          <w:lang w:val="en-US" w:eastAsia="en-CA"/>
        </w:rPr>
        <w:t xml:space="preserve">Interests of Canadian multinationals </w:t>
      </w:r>
      <w:r w:rsidR="000C5911">
        <w:rPr>
          <w:rFonts w:ascii="Arial" w:eastAsia="Times New Roman" w:hAnsi="Arial" w:cs="Arial"/>
          <w:b/>
          <w:color w:val="19304B"/>
          <w:sz w:val="19"/>
          <w:szCs w:val="19"/>
          <w:lang w:val="en-US" w:eastAsia="en-CA"/>
        </w:rPr>
        <w:t xml:space="preserve">(CMNEs) </w:t>
      </w:r>
      <w:r w:rsidRPr="006D65B2">
        <w:rPr>
          <w:rFonts w:ascii="Arial" w:eastAsia="Times New Roman" w:hAnsi="Arial" w:cs="Arial"/>
          <w:b/>
          <w:color w:val="19304B"/>
          <w:sz w:val="19"/>
          <w:szCs w:val="19"/>
          <w:lang w:val="en-US" w:eastAsia="en-CA"/>
        </w:rPr>
        <w:t xml:space="preserve">in the </w:t>
      </w:r>
      <w:r w:rsidR="00FE642C">
        <w:rPr>
          <w:rFonts w:ascii="Arial" w:eastAsia="Times New Roman" w:hAnsi="Arial" w:cs="Arial"/>
          <w:b/>
          <w:color w:val="19304B"/>
          <w:sz w:val="19"/>
          <w:szCs w:val="19"/>
          <w:lang w:val="en-US" w:eastAsia="en-CA"/>
        </w:rPr>
        <w:t>{{</w:t>
      </w:r>
      <w:proofErr w:type="spellStart"/>
      <w:r w:rsidR="00FE642C">
        <w:rPr>
          <w:rFonts w:ascii="Arial" w:eastAsia="Times New Roman" w:hAnsi="Arial" w:cs="Arial"/>
          <w:b/>
          <w:color w:val="19304B"/>
          <w:sz w:val="19"/>
          <w:szCs w:val="19"/>
          <w:lang w:val="en-US" w:eastAsia="en-CA"/>
        </w:rPr>
        <w:t>country_adj</w:t>
      </w:r>
      <w:proofErr w:type="spellEnd"/>
      <w:r w:rsidR="00FE642C">
        <w:rPr>
          <w:rFonts w:ascii="Arial" w:eastAsia="Times New Roman" w:hAnsi="Arial" w:cs="Arial"/>
          <w:b/>
          <w:color w:val="19304B"/>
          <w:sz w:val="19"/>
          <w:szCs w:val="19"/>
          <w:lang w:val="en-US" w:eastAsia="en-CA"/>
        </w:rPr>
        <w:t>}}</w:t>
      </w:r>
      <w:r w:rsidRPr="006D65B2">
        <w:rPr>
          <w:rFonts w:ascii="Arial" w:eastAsia="Times New Roman" w:hAnsi="Arial" w:cs="Arial"/>
          <w:b/>
          <w:color w:val="19304B"/>
          <w:sz w:val="19"/>
          <w:szCs w:val="19"/>
          <w:lang w:val="en-US" w:eastAsia="en-CA"/>
        </w:rPr>
        <w:t xml:space="preserve"> economy</w:t>
      </w:r>
      <w:r w:rsidR="008F1FAA" w:rsidRPr="006C0E03">
        <w:rPr>
          <w:rFonts w:ascii="Arial" w:hAnsi="Arial" w:cs="Arial"/>
          <w:b/>
          <w:sz w:val="19"/>
          <w:szCs w:val="19"/>
          <w:lang w:val="en-US"/>
        </w:rPr>
        <w:t>:</w:t>
      </w:r>
      <w:r w:rsidRPr="006C0E03">
        <w:rPr>
          <w:rFonts w:ascii="Arial" w:hAnsi="Arial" w:cs="Arial"/>
          <w:b/>
          <w:sz w:val="19"/>
          <w:szCs w:val="19"/>
          <w:lang w:val="en-US"/>
        </w:rPr>
        <w:t xml:space="preserve"> </w:t>
      </w:r>
      <w:r w:rsidR="00160473">
        <w:rPr>
          <w:rFonts w:ascii="Arial" w:eastAsia="Times New Roman" w:hAnsi="Arial" w:cs="Arial"/>
          <w:color w:val="19304B"/>
          <w:sz w:val="19"/>
          <w:szCs w:val="19"/>
          <w:lang w:val="en-US" w:eastAsia="en-CA"/>
        </w:rPr>
        <w:t>{{CMNE}}</w:t>
      </w:r>
      <w:r w:rsidR="00224358">
        <w:rPr>
          <w:rFonts w:ascii="Arial" w:eastAsia="Times New Roman" w:hAnsi="Arial" w:cs="Arial"/>
          <w:color w:val="19304B"/>
          <w:sz w:val="19"/>
          <w:szCs w:val="19"/>
          <w:lang w:val="en-US" w:eastAsia="en-CA"/>
        </w:rPr>
        <w:t xml:space="preserve"> </w:t>
      </w:r>
      <w:r w:rsidR="000A5B87">
        <w:rPr>
          <w:rFonts w:ascii="Arial" w:eastAsia="Times New Roman" w:hAnsi="Arial" w:cs="Arial"/>
          <w:color w:val="19304B"/>
          <w:sz w:val="19"/>
          <w:szCs w:val="19"/>
          <w:lang w:val="en-US" w:eastAsia="en-CA"/>
        </w:rPr>
        <w:t xml:space="preserve"> </w:t>
      </w:r>
    </w:p>
    <w:p w14:paraId="7F1D0E92" w14:textId="3CF0BB1F" w:rsidR="0011393F" w:rsidRDefault="009851E0" w:rsidP="00041E1E">
      <w:pPr>
        <w:spacing w:before="100" w:beforeAutospacing="1" w:after="100" w:afterAutospacing="1"/>
        <w:jc w:val="center"/>
        <w:outlineLvl w:val="1"/>
        <w:rPr>
          <w:rFonts w:ascii="Arial" w:eastAsia="Times New Roman" w:hAnsi="Arial" w:cs="Arial"/>
          <w:color w:val="19304B"/>
          <w:sz w:val="19"/>
          <w:szCs w:val="19"/>
          <w:lang w:val="en-US" w:eastAsia="en-CA"/>
        </w:rPr>
      </w:pPr>
      <w:r>
        <w:rPr>
          <w:rFonts w:ascii="Arial" w:eastAsia="Times New Roman" w:hAnsi="Arial" w:cs="Arial"/>
          <w:noProof/>
          <w:color w:val="19304B"/>
          <w:sz w:val="19"/>
          <w:szCs w:val="19"/>
          <w:lang w:eastAsia="en-CA"/>
        </w:rPr>
        <w:drawing>
          <wp:inline distT="0" distB="0" distL="0" distR="0" wp14:anchorId="7A475F43" wp14:editId="02303721">
            <wp:extent cx="4600800" cy="25920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laceholder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0800" cy="2592000"/>
                    </a:xfrm>
                    <a:prstGeom prst="rect">
                      <a:avLst/>
                    </a:prstGeom>
                  </pic:spPr>
                </pic:pic>
              </a:graphicData>
            </a:graphic>
          </wp:inline>
        </w:drawing>
      </w:r>
    </w:p>
    <w:p w14:paraId="0633C390" w14:textId="459101E1" w:rsidR="0011393F" w:rsidRDefault="0011393F">
      <w:pPr>
        <w:rPr>
          <w:rFonts w:ascii="Arial" w:eastAsia="Times New Roman" w:hAnsi="Arial" w:cs="Arial"/>
          <w:color w:val="19304B"/>
          <w:sz w:val="17"/>
          <w:szCs w:val="17"/>
          <w:lang w:val="en-US" w:eastAsia="en-CA"/>
        </w:rPr>
      </w:pPr>
      <w:r>
        <w:rPr>
          <w:sz w:val="17"/>
          <w:szCs w:val="17"/>
          <w:lang w:val="en-US"/>
        </w:rPr>
        <w:br w:type="page"/>
      </w:r>
    </w:p>
    <w:p w14:paraId="71401F22" w14:textId="7F237B07" w:rsidR="00F1421B" w:rsidRDefault="00F1421B" w:rsidP="00C65414">
      <w:pPr>
        <w:rPr>
          <w:rFonts w:ascii="Arial" w:eastAsia="PMingLiU" w:hAnsi="Arial" w:cs="Arial"/>
          <w:color w:val="DF4C4F"/>
          <w:sz w:val="28"/>
          <w:szCs w:val="36"/>
          <w:lang w:eastAsia="en-CA"/>
        </w:rPr>
      </w:pPr>
      <w:r w:rsidRPr="00F1421B">
        <w:rPr>
          <w:rFonts w:ascii="Arial" w:eastAsia="PMingLiU" w:hAnsi="Arial" w:cs="Arial"/>
          <w:color w:val="DF4C4F"/>
          <w:sz w:val="28"/>
          <w:szCs w:val="36"/>
          <w:lang w:eastAsia="en-CA"/>
        </w:rPr>
        <w:lastRenderedPageBreak/>
        <w:t>Data Sources</w:t>
      </w:r>
    </w:p>
    <w:p w14:paraId="0F33BCCC" w14:textId="77777777" w:rsidR="003211C8" w:rsidRPr="00F1421B" w:rsidRDefault="003211C8" w:rsidP="00C65414">
      <w:pPr>
        <w:rPr>
          <w:rFonts w:ascii="Arial" w:eastAsia="PMingLiU" w:hAnsi="Arial" w:cs="Arial"/>
          <w:color w:val="DF4C4F"/>
          <w:sz w:val="28"/>
          <w:szCs w:val="36"/>
          <w:lang w:eastAsia="en-CA"/>
        </w:rPr>
      </w:pPr>
    </w:p>
    <w:p w14:paraId="43F75350" w14:textId="77777777" w:rsidR="00F1421B" w:rsidRPr="00F1421B" w:rsidRDefault="00F1421B" w:rsidP="00F1421B">
      <w:pPr>
        <w:rPr>
          <w:rFonts w:ascii="Arial" w:eastAsia="Times New Roman" w:hAnsi="Arial" w:cs="Arial"/>
          <w:color w:val="19304B"/>
          <w:sz w:val="19"/>
          <w:szCs w:val="19"/>
          <w:lang w:val="en-US" w:eastAsia="en-CA"/>
        </w:rPr>
      </w:pPr>
      <w:r w:rsidRPr="00F1421B">
        <w:rPr>
          <w:rFonts w:ascii="Arial" w:eastAsia="Times New Roman" w:hAnsi="Arial" w:cs="Arial"/>
          <w:color w:val="19304B"/>
          <w:sz w:val="19"/>
          <w:szCs w:val="19"/>
          <w:lang w:val="en-US" w:eastAsia="en-CA"/>
        </w:rPr>
        <w:t>All the data come from Statistics Canada:</w:t>
      </w:r>
    </w:p>
    <w:p w14:paraId="0243F690" w14:textId="77777777" w:rsidR="00F1421B" w:rsidRPr="00F1421B" w:rsidRDefault="00F1421B" w:rsidP="00F1421B">
      <w:pPr>
        <w:rPr>
          <w:rFonts w:ascii="Arial" w:eastAsia="Times New Roman" w:hAnsi="Arial" w:cs="Arial"/>
          <w:color w:val="19304B"/>
          <w:sz w:val="19"/>
          <w:szCs w:val="19"/>
          <w:lang w:val="en-US" w:eastAsia="en-CA"/>
        </w:rPr>
      </w:pPr>
    </w:p>
    <w:p w14:paraId="0456A545" w14:textId="2E9A05A9" w:rsidR="00F1421B" w:rsidRPr="00F1421B" w:rsidRDefault="00F1421B" w:rsidP="0088471E">
      <w:pPr>
        <w:numPr>
          <w:ilvl w:val="0"/>
          <w:numId w:val="2"/>
        </w:numPr>
        <w:rPr>
          <w:rFonts w:ascii="Arial" w:eastAsia="Times New Roman" w:hAnsi="Arial" w:cs="Arial"/>
          <w:color w:val="19304B"/>
          <w:sz w:val="19"/>
          <w:szCs w:val="19"/>
          <w:lang w:val="en-US" w:eastAsia="en-CA"/>
        </w:rPr>
      </w:pPr>
      <w:r w:rsidRPr="00F1421B">
        <w:rPr>
          <w:rFonts w:ascii="Arial" w:eastAsia="Times New Roman" w:hAnsi="Arial" w:cs="Arial"/>
          <w:color w:val="19304B"/>
          <w:sz w:val="19"/>
          <w:szCs w:val="19"/>
          <w:lang w:val="en-US" w:eastAsia="en-CA"/>
        </w:rPr>
        <w:t xml:space="preserve">FDI (IIC basis) and CDIA stock: table 36-10-0008-01. Retrieved </w:t>
      </w:r>
      <w:r w:rsidR="0088471E">
        <w:rPr>
          <w:rFonts w:ascii="Arial" w:eastAsia="Times New Roman" w:hAnsi="Arial" w:cs="Arial"/>
          <w:color w:val="19304B"/>
          <w:sz w:val="19"/>
          <w:szCs w:val="19"/>
          <w:lang w:val="en-US" w:eastAsia="en-CA"/>
        </w:rPr>
        <w:t>{{</w:t>
      </w:r>
      <w:r w:rsidR="0088471E" w:rsidRPr="0088471E">
        <w:rPr>
          <w:rFonts w:ascii="Arial" w:eastAsia="Times New Roman" w:hAnsi="Arial" w:cs="Arial"/>
          <w:color w:val="19304B"/>
          <w:sz w:val="19"/>
          <w:szCs w:val="19"/>
          <w:lang w:val="en-US" w:eastAsia="en-CA"/>
        </w:rPr>
        <w:t>retrieved</w:t>
      </w:r>
      <w:r w:rsidR="0088471E">
        <w:rPr>
          <w:rFonts w:ascii="Arial" w:eastAsia="Times New Roman" w:hAnsi="Arial" w:cs="Arial"/>
          <w:color w:val="19304B"/>
          <w:sz w:val="19"/>
          <w:szCs w:val="19"/>
          <w:lang w:val="en-US" w:eastAsia="en-CA"/>
        </w:rPr>
        <w:t>}}</w:t>
      </w:r>
      <w:r w:rsidRPr="00F1421B">
        <w:rPr>
          <w:rFonts w:ascii="Arial" w:eastAsia="Times New Roman" w:hAnsi="Arial" w:cs="Arial"/>
          <w:color w:val="19304B"/>
          <w:sz w:val="19"/>
          <w:szCs w:val="19"/>
          <w:lang w:val="en-US" w:eastAsia="en-CA"/>
        </w:rPr>
        <w:t>.</w:t>
      </w:r>
    </w:p>
    <w:p w14:paraId="0B0EE8F7" w14:textId="782FABDE" w:rsidR="00F1421B" w:rsidRPr="00F1421B" w:rsidRDefault="00F1421B" w:rsidP="0088471E">
      <w:pPr>
        <w:numPr>
          <w:ilvl w:val="0"/>
          <w:numId w:val="2"/>
        </w:numPr>
        <w:rPr>
          <w:rFonts w:ascii="Arial" w:eastAsia="Times New Roman" w:hAnsi="Arial" w:cs="Arial"/>
          <w:color w:val="19304B"/>
          <w:sz w:val="19"/>
          <w:szCs w:val="19"/>
          <w:lang w:val="en-US" w:eastAsia="en-CA"/>
        </w:rPr>
      </w:pPr>
      <w:r w:rsidRPr="00F1421B">
        <w:rPr>
          <w:rFonts w:ascii="Arial" w:eastAsia="Times New Roman" w:hAnsi="Arial" w:cs="Arial"/>
          <w:color w:val="19304B"/>
          <w:sz w:val="19"/>
          <w:szCs w:val="19"/>
          <w:lang w:val="en-US" w:eastAsia="en-CA"/>
        </w:rPr>
        <w:t xml:space="preserve">FDI (UIC basis): table 36-10-0433-01. Retrieved </w:t>
      </w:r>
      <w:r w:rsidR="0088471E">
        <w:rPr>
          <w:rFonts w:ascii="Arial" w:eastAsia="Times New Roman" w:hAnsi="Arial" w:cs="Arial"/>
          <w:color w:val="19304B"/>
          <w:sz w:val="19"/>
          <w:szCs w:val="19"/>
          <w:lang w:val="en-US" w:eastAsia="en-CA"/>
        </w:rPr>
        <w:t>{{</w:t>
      </w:r>
      <w:r w:rsidR="0088471E" w:rsidRPr="0088471E">
        <w:rPr>
          <w:rFonts w:ascii="Arial" w:eastAsia="Times New Roman" w:hAnsi="Arial" w:cs="Arial"/>
          <w:color w:val="19304B"/>
          <w:sz w:val="19"/>
          <w:szCs w:val="19"/>
          <w:lang w:val="en-US" w:eastAsia="en-CA"/>
        </w:rPr>
        <w:t>retrieved</w:t>
      </w:r>
      <w:r w:rsidR="0088471E">
        <w:rPr>
          <w:rFonts w:ascii="Arial" w:eastAsia="Times New Roman" w:hAnsi="Arial" w:cs="Arial"/>
          <w:color w:val="19304B"/>
          <w:sz w:val="19"/>
          <w:szCs w:val="19"/>
          <w:lang w:val="en-US" w:eastAsia="en-CA"/>
        </w:rPr>
        <w:t>}}</w:t>
      </w:r>
      <w:r w:rsidRPr="00F1421B">
        <w:rPr>
          <w:rFonts w:ascii="Arial" w:eastAsia="Times New Roman" w:hAnsi="Arial" w:cs="Arial"/>
          <w:color w:val="19304B"/>
          <w:sz w:val="19"/>
          <w:szCs w:val="19"/>
          <w:lang w:val="en-US" w:eastAsia="en-CA"/>
        </w:rPr>
        <w:t>.</w:t>
      </w:r>
    </w:p>
    <w:p w14:paraId="560C0C3C" w14:textId="54A0783E" w:rsidR="00F1421B" w:rsidRPr="00F1421B" w:rsidRDefault="00F1421B" w:rsidP="0088471E">
      <w:pPr>
        <w:numPr>
          <w:ilvl w:val="0"/>
          <w:numId w:val="2"/>
        </w:numPr>
        <w:rPr>
          <w:rFonts w:ascii="Arial" w:eastAsia="Times New Roman" w:hAnsi="Arial" w:cs="Arial"/>
          <w:color w:val="19304B"/>
          <w:sz w:val="19"/>
          <w:szCs w:val="19"/>
          <w:lang w:val="en-US" w:eastAsia="en-CA"/>
        </w:rPr>
      </w:pPr>
      <w:r w:rsidRPr="00F1421B">
        <w:rPr>
          <w:rFonts w:ascii="Arial" w:eastAsia="Times New Roman" w:hAnsi="Arial" w:cs="Arial"/>
          <w:color w:val="19304B"/>
          <w:sz w:val="19"/>
          <w:szCs w:val="19"/>
          <w:lang w:val="en-US" w:eastAsia="en-CA"/>
        </w:rPr>
        <w:t xml:space="preserve">FDI and CDIA stock per industry: table 36-10-0659-01. Retrieved </w:t>
      </w:r>
      <w:r w:rsidR="0088471E">
        <w:rPr>
          <w:rFonts w:ascii="Arial" w:eastAsia="Times New Roman" w:hAnsi="Arial" w:cs="Arial"/>
          <w:color w:val="19304B"/>
          <w:sz w:val="19"/>
          <w:szCs w:val="19"/>
          <w:lang w:val="en-US" w:eastAsia="en-CA"/>
        </w:rPr>
        <w:t>{{</w:t>
      </w:r>
      <w:r w:rsidR="0088471E" w:rsidRPr="0088471E">
        <w:rPr>
          <w:rFonts w:ascii="Arial" w:eastAsia="Times New Roman" w:hAnsi="Arial" w:cs="Arial"/>
          <w:color w:val="19304B"/>
          <w:sz w:val="19"/>
          <w:szCs w:val="19"/>
          <w:lang w:val="en-US" w:eastAsia="en-CA"/>
        </w:rPr>
        <w:t>retrieved</w:t>
      </w:r>
      <w:r w:rsidR="0088471E">
        <w:rPr>
          <w:rFonts w:ascii="Arial" w:eastAsia="Times New Roman" w:hAnsi="Arial" w:cs="Arial"/>
          <w:color w:val="19304B"/>
          <w:sz w:val="19"/>
          <w:szCs w:val="19"/>
          <w:lang w:val="en-US" w:eastAsia="en-CA"/>
        </w:rPr>
        <w:t>}}</w:t>
      </w:r>
      <w:r w:rsidRPr="00F1421B">
        <w:rPr>
          <w:rFonts w:ascii="Arial" w:eastAsia="Times New Roman" w:hAnsi="Arial" w:cs="Arial"/>
          <w:color w:val="19304B"/>
          <w:sz w:val="19"/>
          <w:szCs w:val="19"/>
          <w:lang w:val="en-US" w:eastAsia="en-CA"/>
        </w:rPr>
        <w:t>.</w:t>
      </w:r>
    </w:p>
    <w:p w14:paraId="273E3371" w14:textId="7DB1AA03" w:rsidR="00F1421B" w:rsidRPr="00F1421B" w:rsidRDefault="00F1421B" w:rsidP="0088471E">
      <w:pPr>
        <w:numPr>
          <w:ilvl w:val="0"/>
          <w:numId w:val="2"/>
        </w:numPr>
        <w:rPr>
          <w:rFonts w:ascii="Arial" w:eastAsia="Times New Roman" w:hAnsi="Arial" w:cs="Arial"/>
          <w:color w:val="19304B"/>
          <w:sz w:val="19"/>
          <w:szCs w:val="19"/>
          <w:lang w:val="en-US" w:eastAsia="en-CA"/>
        </w:rPr>
      </w:pPr>
      <w:r w:rsidRPr="00F1421B">
        <w:rPr>
          <w:rFonts w:ascii="Arial" w:eastAsia="Times New Roman" w:hAnsi="Arial" w:cs="Arial"/>
          <w:color w:val="19304B"/>
          <w:sz w:val="19"/>
          <w:szCs w:val="19"/>
          <w:lang w:val="en-US" w:eastAsia="en-CA"/>
        </w:rPr>
        <w:t xml:space="preserve">Contributions of foreign affiliates and interests of Canadian multinationals: tables </w:t>
      </w:r>
      <w:r w:rsidRPr="00285E57">
        <w:rPr>
          <w:rFonts w:ascii="Arial" w:eastAsia="Times New Roman" w:hAnsi="Arial" w:cs="Arial"/>
          <w:color w:val="19304B"/>
          <w:sz w:val="19"/>
          <w:szCs w:val="19"/>
          <w:lang w:val="en-US" w:eastAsia="en-CA"/>
        </w:rPr>
        <w:t xml:space="preserve">36-10-0582-01 and </w:t>
      </w:r>
      <w:r w:rsidRPr="00F1421B">
        <w:rPr>
          <w:rFonts w:ascii="Arial" w:eastAsia="Times New Roman" w:hAnsi="Arial" w:cs="Arial"/>
          <w:color w:val="19304B"/>
          <w:sz w:val="19"/>
          <w:szCs w:val="19"/>
          <w:lang w:val="en-US" w:eastAsia="en-CA"/>
        </w:rPr>
        <w:t xml:space="preserve">36-10-0470-01. Retrieved </w:t>
      </w:r>
      <w:r w:rsidR="0088471E">
        <w:rPr>
          <w:rFonts w:ascii="Arial" w:eastAsia="Times New Roman" w:hAnsi="Arial" w:cs="Arial"/>
          <w:color w:val="19304B"/>
          <w:sz w:val="19"/>
          <w:szCs w:val="19"/>
          <w:lang w:val="en-US" w:eastAsia="en-CA"/>
        </w:rPr>
        <w:t>{{</w:t>
      </w:r>
      <w:r w:rsidR="0088471E" w:rsidRPr="0088471E">
        <w:rPr>
          <w:rFonts w:ascii="Arial" w:eastAsia="Times New Roman" w:hAnsi="Arial" w:cs="Arial"/>
          <w:color w:val="19304B"/>
          <w:sz w:val="19"/>
          <w:szCs w:val="19"/>
          <w:lang w:val="en-US" w:eastAsia="en-CA"/>
        </w:rPr>
        <w:t>retrieved</w:t>
      </w:r>
      <w:r w:rsidR="0088471E">
        <w:rPr>
          <w:rFonts w:ascii="Arial" w:eastAsia="Times New Roman" w:hAnsi="Arial" w:cs="Arial"/>
          <w:color w:val="19304B"/>
          <w:sz w:val="19"/>
          <w:szCs w:val="19"/>
          <w:lang w:val="en-US" w:eastAsia="en-CA"/>
        </w:rPr>
        <w:t>}}</w:t>
      </w:r>
      <w:r w:rsidRPr="00F1421B">
        <w:rPr>
          <w:rFonts w:ascii="Arial" w:eastAsia="Times New Roman" w:hAnsi="Arial" w:cs="Arial"/>
          <w:color w:val="19304B"/>
          <w:sz w:val="19"/>
          <w:szCs w:val="19"/>
          <w:lang w:val="en-US" w:eastAsia="en-CA"/>
        </w:rPr>
        <w:t>.</w:t>
      </w:r>
    </w:p>
    <w:p w14:paraId="71888F66" w14:textId="39468E55" w:rsidR="005A182F" w:rsidRPr="00571420" w:rsidRDefault="005A182F" w:rsidP="008014EE">
      <w:pPr>
        <w:pStyle w:val="OCE-Subhead"/>
        <w:rPr>
          <w:rFonts w:eastAsiaTheme="majorEastAsia"/>
        </w:rPr>
      </w:pPr>
      <w:r w:rsidRPr="00571420">
        <w:rPr>
          <w:rFonts w:eastAsiaTheme="majorEastAsia"/>
        </w:rPr>
        <w:t>Annex</w:t>
      </w:r>
      <w:r w:rsidR="0016383B">
        <w:rPr>
          <w:rFonts w:eastAsiaTheme="majorEastAsia"/>
        </w:rPr>
        <w:t>—</w:t>
      </w:r>
      <w:r w:rsidRPr="00571420">
        <w:rPr>
          <w:rFonts w:eastAsiaTheme="majorEastAsia"/>
        </w:rPr>
        <w:t>Explanation of IIC and UIC</w:t>
      </w:r>
    </w:p>
    <w:p w14:paraId="1EF22675" w14:textId="418AA755" w:rsidR="005A182F" w:rsidRDefault="005A182F" w:rsidP="005A182F">
      <w:pPr>
        <w:pStyle w:val="OCE-bodytext"/>
        <w:spacing w:line="252" w:lineRule="auto"/>
        <w:rPr>
          <w:lang w:val="en-US"/>
        </w:rPr>
      </w:pPr>
      <w:bookmarkStart w:id="1" w:name="_Hlk94546256"/>
      <w:r>
        <w:rPr>
          <w:lang w:val="en-US"/>
        </w:rPr>
        <w:t xml:space="preserve">Statistics for FDI stock are published by Statistics Canada and other national statistical agencies on two bases or approaches. The IIC approach measures FDI based on the last, or “immediate”, country from which the FDI entered Canada. Alternatively, the UIC approach </w:t>
      </w:r>
      <w:r w:rsidR="00D63B2A">
        <w:rPr>
          <w:lang w:val="en-US"/>
        </w:rPr>
        <w:t xml:space="preserve">identifies </w:t>
      </w:r>
      <w:r>
        <w:rPr>
          <w:lang w:val="en-US"/>
        </w:rPr>
        <w:t>the country in which the investor is actually, or “ultimately”, located.</w:t>
      </w:r>
      <w:bookmarkEnd w:id="1"/>
      <w:r>
        <w:rPr>
          <w:lang w:val="en-US"/>
        </w:rPr>
        <w:t xml:space="preserve"> </w:t>
      </w:r>
    </w:p>
    <w:p w14:paraId="4ABA0748" w14:textId="782E460E" w:rsidR="005A182F" w:rsidRDefault="006E6DFE" w:rsidP="005A182F">
      <w:pPr>
        <w:pStyle w:val="OCE-bodytext"/>
        <w:spacing w:line="252" w:lineRule="auto"/>
        <w:rPr>
          <w:lang w:val="en-US"/>
        </w:rPr>
      </w:pPr>
      <w:bookmarkStart w:id="2" w:name="_Hlk94546278"/>
      <w:r>
        <w:rPr>
          <w:lang w:val="en-US"/>
        </w:rPr>
        <w:t>When</w:t>
      </w:r>
      <w:r w:rsidR="00365742">
        <w:rPr>
          <w:lang w:val="en-US"/>
        </w:rPr>
        <w:t xml:space="preserve"> the IIC-based </w:t>
      </w:r>
      <w:r>
        <w:rPr>
          <w:lang w:val="en-US"/>
        </w:rPr>
        <w:t xml:space="preserve">value of </w:t>
      </w:r>
      <w:r w:rsidR="00365742">
        <w:rPr>
          <w:lang w:val="en-US"/>
        </w:rPr>
        <w:t xml:space="preserve">investment </w:t>
      </w:r>
      <w:r>
        <w:rPr>
          <w:lang w:val="en-US"/>
        </w:rPr>
        <w:t>from</w:t>
      </w:r>
      <w:r w:rsidR="00365742">
        <w:rPr>
          <w:lang w:val="en-US"/>
        </w:rPr>
        <w:t xml:space="preserve"> a given country </w:t>
      </w:r>
      <w:r w:rsidR="00213612">
        <w:rPr>
          <w:lang w:val="en-US"/>
        </w:rPr>
        <w:t>is</w:t>
      </w:r>
      <w:r w:rsidR="00081FED">
        <w:rPr>
          <w:lang w:val="en-US"/>
        </w:rPr>
        <w:t xml:space="preserve"> </w:t>
      </w:r>
      <w:r w:rsidR="00365742">
        <w:rPr>
          <w:lang w:val="en-US"/>
        </w:rPr>
        <w:t xml:space="preserve">higher than </w:t>
      </w:r>
      <w:r w:rsidR="00BB11B8">
        <w:rPr>
          <w:lang w:val="en-US"/>
        </w:rPr>
        <w:t xml:space="preserve">the </w:t>
      </w:r>
      <w:r w:rsidR="00365742">
        <w:rPr>
          <w:lang w:val="en-US"/>
        </w:rPr>
        <w:t xml:space="preserve">UIC-based </w:t>
      </w:r>
      <w:r w:rsidR="00BB11B8">
        <w:rPr>
          <w:lang w:val="en-US"/>
        </w:rPr>
        <w:t>value</w:t>
      </w:r>
      <w:r w:rsidR="00365742">
        <w:rPr>
          <w:lang w:val="en-US"/>
        </w:rPr>
        <w:t xml:space="preserve">, the difference indicates </w:t>
      </w:r>
      <w:r w:rsidR="00D544A1">
        <w:rPr>
          <w:lang w:val="en-US"/>
        </w:rPr>
        <w:t>that some</w:t>
      </w:r>
      <w:r w:rsidR="00365742">
        <w:rPr>
          <w:lang w:val="en-US"/>
        </w:rPr>
        <w:t xml:space="preserve"> </w:t>
      </w:r>
      <w:r w:rsidR="00DE30EF">
        <w:rPr>
          <w:lang w:val="en-US"/>
        </w:rPr>
        <w:t xml:space="preserve">IIC-based </w:t>
      </w:r>
      <w:r w:rsidR="00365742">
        <w:rPr>
          <w:lang w:val="en-US"/>
        </w:rPr>
        <w:t>investment</w:t>
      </w:r>
      <w:r w:rsidR="00D544A1">
        <w:rPr>
          <w:lang w:val="en-US"/>
        </w:rPr>
        <w:t xml:space="preserve"> funds</w:t>
      </w:r>
      <w:r w:rsidR="00365742">
        <w:rPr>
          <w:lang w:val="en-US"/>
        </w:rPr>
        <w:t xml:space="preserve"> </w:t>
      </w:r>
      <w:r w:rsidR="00D544A1">
        <w:rPr>
          <w:lang w:val="en-US"/>
        </w:rPr>
        <w:t xml:space="preserve">were from other source countries and </w:t>
      </w:r>
      <w:r w:rsidR="00365742">
        <w:rPr>
          <w:lang w:val="en-US"/>
        </w:rPr>
        <w:t>transited through</w:t>
      </w:r>
      <w:r w:rsidR="00D544A1">
        <w:rPr>
          <w:lang w:val="en-US"/>
        </w:rPr>
        <w:t xml:space="preserve"> (i.e. </w:t>
      </w:r>
      <w:r w:rsidR="00D924D4">
        <w:rPr>
          <w:lang w:val="en-US"/>
        </w:rPr>
        <w:t xml:space="preserve">did </w:t>
      </w:r>
      <w:r w:rsidR="00D544A1">
        <w:rPr>
          <w:lang w:val="en-US"/>
        </w:rPr>
        <w:t>not originate</w:t>
      </w:r>
      <w:r w:rsidR="00213612">
        <w:rPr>
          <w:lang w:val="en-US"/>
        </w:rPr>
        <w:t xml:space="preserve"> in</w:t>
      </w:r>
      <w:r w:rsidR="00D544A1">
        <w:rPr>
          <w:lang w:val="en-US"/>
        </w:rPr>
        <w:t>)</w:t>
      </w:r>
      <w:r w:rsidR="00365742">
        <w:rPr>
          <w:lang w:val="en-US"/>
        </w:rPr>
        <w:t xml:space="preserve"> </w:t>
      </w:r>
      <w:r w:rsidR="00D544A1">
        <w:rPr>
          <w:lang w:val="en-US"/>
        </w:rPr>
        <w:t xml:space="preserve">the </w:t>
      </w:r>
      <w:r w:rsidR="005A182F">
        <w:rPr>
          <w:lang w:val="en-US"/>
        </w:rPr>
        <w:t xml:space="preserve">country. </w:t>
      </w:r>
      <w:r w:rsidR="0057784F">
        <w:rPr>
          <w:lang w:val="en-US"/>
        </w:rPr>
        <w:t>Alternatively, i</w:t>
      </w:r>
      <w:r w:rsidR="00365742">
        <w:rPr>
          <w:lang w:val="en-US"/>
        </w:rPr>
        <w:t xml:space="preserve">f the IIC-based </w:t>
      </w:r>
      <w:r>
        <w:rPr>
          <w:lang w:val="en-US"/>
        </w:rPr>
        <w:t xml:space="preserve">value of </w:t>
      </w:r>
      <w:r w:rsidR="00365742">
        <w:rPr>
          <w:lang w:val="en-US"/>
        </w:rPr>
        <w:t xml:space="preserve">investment </w:t>
      </w:r>
      <w:r w:rsidR="00213612">
        <w:rPr>
          <w:lang w:val="en-US"/>
        </w:rPr>
        <w:t xml:space="preserve">is </w:t>
      </w:r>
      <w:r w:rsidR="00365742">
        <w:rPr>
          <w:lang w:val="en-US"/>
        </w:rPr>
        <w:t>lower tha</w:t>
      </w:r>
      <w:r w:rsidR="00BB11B8">
        <w:rPr>
          <w:lang w:val="en-US"/>
        </w:rPr>
        <w:t xml:space="preserve">n </w:t>
      </w:r>
      <w:r w:rsidR="00365742">
        <w:rPr>
          <w:lang w:val="en-US"/>
        </w:rPr>
        <w:t>the UIC-based</w:t>
      </w:r>
      <w:r w:rsidR="00213612">
        <w:rPr>
          <w:lang w:val="en-US"/>
        </w:rPr>
        <w:t xml:space="preserve"> </w:t>
      </w:r>
      <w:r w:rsidR="00817118">
        <w:rPr>
          <w:lang w:val="en-US"/>
        </w:rPr>
        <w:t>value</w:t>
      </w:r>
      <w:r w:rsidR="00D544A1">
        <w:rPr>
          <w:lang w:val="en-US"/>
        </w:rPr>
        <w:t>, the</w:t>
      </w:r>
      <w:r w:rsidR="005A182F">
        <w:rPr>
          <w:lang w:val="en-US"/>
        </w:rPr>
        <w:t xml:space="preserve"> difference indicates that </w:t>
      </w:r>
      <w:r w:rsidR="00D544A1">
        <w:rPr>
          <w:lang w:val="en-US"/>
        </w:rPr>
        <w:t xml:space="preserve">some </w:t>
      </w:r>
      <w:r w:rsidR="00DE30EF">
        <w:rPr>
          <w:lang w:val="en-US"/>
        </w:rPr>
        <w:t xml:space="preserve">UIC-based </w:t>
      </w:r>
      <w:r w:rsidR="00D544A1">
        <w:rPr>
          <w:lang w:val="en-US"/>
        </w:rPr>
        <w:t>investment funds were channeled through other intermediary countries</w:t>
      </w:r>
      <w:bookmarkEnd w:id="2"/>
      <w:r w:rsidR="005A182F">
        <w:rPr>
          <w:lang w:val="en-US"/>
        </w:rPr>
        <w:t xml:space="preserve">. </w:t>
      </w:r>
    </w:p>
    <w:p w14:paraId="5DB63882" w14:textId="77777777" w:rsidR="005A182F" w:rsidRDefault="005A182F" w:rsidP="005A182F">
      <w:pPr>
        <w:pStyle w:val="OCE-bodytext"/>
        <w:spacing w:line="252" w:lineRule="auto"/>
        <w:rPr>
          <w:lang w:val="en-US"/>
        </w:rPr>
      </w:pPr>
      <w:r>
        <w:rPr>
          <w:lang w:val="en-US"/>
        </w:rPr>
        <w:t xml:space="preserve">Reasons why an investor may decide to make its investment transit through an intermediary country include: </w:t>
      </w:r>
    </w:p>
    <w:p w14:paraId="32A2CDE3" w14:textId="1FCC44D3" w:rsidR="005A182F" w:rsidRDefault="005A182F" w:rsidP="00D76161">
      <w:pPr>
        <w:pStyle w:val="OCE-bodytext"/>
        <w:numPr>
          <w:ilvl w:val="0"/>
          <w:numId w:val="1"/>
        </w:numPr>
        <w:spacing w:line="252" w:lineRule="auto"/>
        <w:rPr>
          <w:lang w:val="en-US"/>
        </w:rPr>
      </w:pPr>
      <w:r>
        <w:rPr>
          <w:lang w:val="en-US"/>
        </w:rPr>
        <w:t xml:space="preserve">to finance an investment by using revenues from an affiliate in another country (e.g. </w:t>
      </w:r>
      <w:r w:rsidR="00D76161">
        <w:rPr>
          <w:lang w:val="en-US"/>
        </w:rPr>
        <w:t>{{</w:t>
      </w:r>
      <w:proofErr w:type="spellStart"/>
      <w:r w:rsidR="00D76161" w:rsidRPr="00D76161">
        <w:rPr>
          <w:lang w:val="en-US"/>
        </w:rPr>
        <w:t>companyExample</w:t>
      </w:r>
      <w:proofErr w:type="spellEnd"/>
      <w:r w:rsidR="00C35B76" w:rsidRPr="00C35B76">
        <w:rPr>
          <w:lang w:val="en-US"/>
        </w:rPr>
        <w:t>}}</w:t>
      </w:r>
      <w:r>
        <w:rPr>
          <w:lang w:val="en-US"/>
        </w:rPr>
        <w:t xml:space="preserve">) </w:t>
      </w:r>
    </w:p>
    <w:p w14:paraId="2AC13E34" w14:textId="52E4DEB0" w:rsidR="005A182F" w:rsidRDefault="005A182F" w:rsidP="005A182F">
      <w:pPr>
        <w:pStyle w:val="OCE-bodytext"/>
        <w:numPr>
          <w:ilvl w:val="0"/>
          <w:numId w:val="1"/>
        </w:numPr>
        <w:spacing w:line="252" w:lineRule="auto"/>
        <w:rPr>
          <w:lang w:val="en-US"/>
        </w:rPr>
      </w:pPr>
      <w:r>
        <w:rPr>
          <w:lang w:val="en-US"/>
        </w:rPr>
        <w:t>to finance the investment using an international financial institution located in a third “immediate” country</w:t>
      </w:r>
    </w:p>
    <w:p w14:paraId="527C2855" w14:textId="7ADA6291" w:rsidR="005A182F" w:rsidRDefault="005A182F" w:rsidP="005A182F">
      <w:pPr>
        <w:pStyle w:val="OCE-bodytext"/>
        <w:numPr>
          <w:ilvl w:val="0"/>
          <w:numId w:val="1"/>
        </w:numPr>
        <w:spacing w:line="252" w:lineRule="auto"/>
        <w:rPr>
          <w:lang w:val="en-US"/>
        </w:rPr>
      </w:pPr>
      <w:r>
        <w:rPr>
          <w:lang w:val="en-US"/>
        </w:rPr>
        <w:t xml:space="preserve">for fiscal reasons (e.g. tax minimization) </w:t>
      </w:r>
    </w:p>
    <w:p w14:paraId="00241DC0" w14:textId="000757DF" w:rsidR="005A182F" w:rsidRPr="00BE3664" w:rsidRDefault="005A182F" w:rsidP="005A182F">
      <w:pPr>
        <w:pStyle w:val="OCE-bodytext"/>
        <w:spacing w:line="252" w:lineRule="auto"/>
        <w:rPr>
          <w:lang w:val="en-US"/>
        </w:rPr>
      </w:pPr>
      <w:bookmarkStart w:id="3" w:name="_Hlk94546336"/>
      <w:r>
        <w:rPr>
          <w:lang w:val="en-US"/>
        </w:rPr>
        <w:t xml:space="preserve">For </w:t>
      </w:r>
      <w:r w:rsidR="00B41424">
        <w:rPr>
          <w:lang w:val="en-US"/>
        </w:rPr>
        <w:t xml:space="preserve">activities related to attracting </w:t>
      </w:r>
      <w:r>
        <w:rPr>
          <w:lang w:val="en-US"/>
        </w:rPr>
        <w:t xml:space="preserve">investment, the focus should be on </w:t>
      </w:r>
      <w:r w:rsidR="00D544A1">
        <w:rPr>
          <w:lang w:val="en-US"/>
        </w:rPr>
        <w:t xml:space="preserve">the country of origin of the investor </w:t>
      </w:r>
      <w:r w:rsidR="00625A06">
        <w:rPr>
          <w:lang w:val="en-US"/>
        </w:rPr>
        <w:t xml:space="preserve">that </w:t>
      </w:r>
      <w:r w:rsidR="00D544A1">
        <w:rPr>
          <w:lang w:val="en-US"/>
        </w:rPr>
        <w:t>controls the investment</w:t>
      </w:r>
      <w:r>
        <w:rPr>
          <w:lang w:val="en-US"/>
        </w:rPr>
        <w:t xml:space="preserve">, which </w:t>
      </w:r>
      <w:r w:rsidRPr="00D02199">
        <w:rPr>
          <w:lang w:val="en-US"/>
        </w:rPr>
        <w:t xml:space="preserve">often </w:t>
      </w:r>
      <w:r>
        <w:rPr>
          <w:lang w:val="en-US"/>
        </w:rPr>
        <w:t>equates to where the headquarters are located rather than a foreign affiliate or a financial institution. It follows that the UIC-based FDI stock statistics may be more appropriate despite the one-year reporting lag for these figures</w:t>
      </w:r>
      <w:bookmarkEnd w:id="3"/>
      <w:r>
        <w:rPr>
          <w:lang w:val="en-US"/>
        </w:rPr>
        <w:t>.</w:t>
      </w:r>
    </w:p>
    <w:p w14:paraId="53E0C8EA" w14:textId="77777777" w:rsidR="005A182F" w:rsidRDefault="005A182F" w:rsidP="00FC156E">
      <w:pPr>
        <w:jc w:val="both"/>
        <w:rPr>
          <w:rFonts w:ascii="Verdana" w:hAnsi="Verdana"/>
          <w:bCs/>
          <w:sz w:val="16"/>
        </w:rPr>
      </w:pPr>
    </w:p>
    <w:p w14:paraId="3EB5C055" w14:textId="7785A972" w:rsidR="00691858" w:rsidRDefault="00691858" w:rsidP="00FC156E">
      <w:pPr>
        <w:jc w:val="both"/>
        <w:rPr>
          <w:rFonts w:ascii="Verdana" w:hAnsi="Verdana"/>
          <w:bCs/>
          <w:sz w:val="16"/>
        </w:rPr>
      </w:pPr>
    </w:p>
    <w:sectPr w:rsidR="00691858" w:rsidSect="00285E57">
      <w:headerReference w:type="default" r:id="rId13"/>
      <w:footerReference w:type="even" r:id="rId14"/>
      <w:footerReference w:type="default" r:id="rId15"/>
      <w:headerReference w:type="first" r:id="rId16"/>
      <w:footerReference w:type="first" r:id="rId17"/>
      <w:type w:val="continuous"/>
      <w:pgSz w:w="12240" w:h="15840"/>
      <w:pgMar w:top="1871" w:right="1440" w:bottom="1644" w:left="1440" w:header="709" w:footer="51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5A90" w16cex:dateUtc="2022-02-01T12:06:00Z"/>
  <w16cex:commentExtensible w16cex:durableId="25A3D1B4" w16cex:dateUtc="2022-02-01T20:35:00Z"/>
  <w16cex:commentExtensible w16cex:durableId="25A28F37" w16cex:dateUtc="2022-01-31T15:40:00Z"/>
  <w16cex:commentExtensible w16cex:durableId="25A293E0" w16cex:dateUtc="2022-01-31T21:59:00Z"/>
  <w16cex:commentExtensible w16cex:durableId="25A28F38" w16cex:dateUtc="2022-01-29T15:07:00Z"/>
  <w16cex:commentExtensible w16cex:durableId="25A2941D" w16cex:dateUtc="2022-01-31T22:00:00Z"/>
  <w16cex:commentExtensible w16cex:durableId="25A2A4B3" w16cex:dateUtc="2022-01-29T15:07:00Z"/>
  <w16cex:commentExtensible w16cex:durableId="25A2A4B2" w16cex:dateUtc="2022-01-31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989B4F" w16cid:durableId="25A35A90"/>
  <w16cid:commentId w16cid:paraId="09B34F81" w16cid:durableId="25A3D1B4"/>
  <w16cid:commentId w16cid:paraId="590F07AC" w16cid:durableId="25A28F37"/>
  <w16cid:commentId w16cid:paraId="5BE80CE4" w16cid:durableId="25A293E0"/>
  <w16cid:commentId w16cid:paraId="0A6D590F" w16cid:durableId="25A28F38"/>
  <w16cid:commentId w16cid:paraId="4F549A6B" w16cid:durableId="25A2941D"/>
  <w16cid:commentId w16cid:paraId="0E9A33BD" w16cid:durableId="25A2A4B3"/>
  <w16cid:commentId w16cid:paraId="4CBF9E72" w16cid:durableId="25A2A4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59453" w14:textId="77777777" w:rsidR="007412AD" w:rsidRDefault="007412AD" w:rsidP="00317C2F">
      <w:r>
        <w:separator/>
      </w:r>
    </w:p>
  </w:endnote>
  <w:endnote w:type="continuationSeparator" w:id="0">
    <w:p w14:paraId="18F56729" w14:textId="77777777" w:rsidR="007412AD" w:rsidRDefault="007412AD" w:rsidP="00317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47482044"/>
      <w:docPartObj>
        <w:docPartGallery w:val="Page Numbers (Bottom of Page)"/>
        <w:docPartUnique/>
      </w:docPartObj>
    </w:sdtPr>
    <w:sdtEndPr>
      <w:rPr>
        <w:rStyle w:val="PageNumber"/>
      </w:rPr>
    </w:sdtEndPr>
    <w:sdtContent>
      <w:p w14:paraId="4DE02A01" w14:textId="77777777" w:rsidR="00D544A1" w:rsidRDefault="00D544A1" w:rsidP="00CA7A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846D9" w14:textId="77777777" w:rsidR="00D544A1" w:rsidRDefault="00D544A1" w:rsidP="00CA7A5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31930217"/>
      <w:docPartObj>
        <w:docPartGallery w:val="Page Numbers (Bottom of Page)"/>
        <w:docPartUnique/>
      </w:docPartObj>
    </w:sdtPr>
    <w:sdtEndPr>
      <w:rPr>
        <w:rStyle w:val="PageNumber"/>
        <w:sz w:val="20"/>
        <w:szCs w:val="20"/>
      </w:rPr>
    </w:sdtEndPr>
    <w:sdtContent>
      <w:p w14:paraId="503A90EC" w14:textId="11A30067" w:rsidR="00D544A1" w:rsidRDefault="00D544A1" w:rsidP="00CA7A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F7580">
          <w:rPr>
            <w:rStyle w:val="PageNumber"/>
            <w:noProof/>
          </w:rPr>
          <w:t>4</w:t>
        </w:r>
        <w:r>
          <w:rPr>
            <w:rStyle w:val="PageNumber"/>
          </w:rPr>
          <w:fldChar w:fldCharType="end"/>
        </w:r>
      </w:p>
    </w:sdtContent>
  </w:sdt>
  <w:p w14:paraId="71D6932F" w14:textId="77777777" w:rsidR="00D544A1" w:rsidRDefault="00D544A1" w:rsidP="00CA7A53">
    <w:pPr>
      <w:pStyle w:val="Footer"/>
      <w:ind w:right="360" w:firstLine="360"/>
    </w:pPr>
    <w:r>
      <w:rPr>
        <w:noProof/>
        <w:lang w:eastAsia="en-CA"/>
      </w:rPr>
      <w:drawing>
        <wp:anchor distT="0" distB="0" distL="114300" distR="114300" simplePos="0" relativeHeight="251661312" behindDoc="1" locked="0" layoutInCell="1" allowOverlap="1" wp14:anchorId="62134A23" wp14:editId="191018C1">
          <wp:simplePos x="0" y="0"/>
          <wp:positionH relativeFrom="column">
            <wp:posOffset>-905774</wp:posOffset>
          </wp:positionH>
          <wp:positionV relativeFrom="paragraph">
            <wp:posOffset>39322</wp:posOffset>
          </wp:positionV>
          <wp:extent cx="7772400" cy="609502"/>
          <wp:effectExtent l="0" t="0" r="0" b="63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2-BOTTOM.jpg"/>
                  <pic:cNvPicPr/>
                </pic:nvPicPr>
                <pic:blipFill>
                  <a:blip r:embed="rId1">
                    <a:extLst>
                      <a:ext uri="{28A0092B-C50C-407E-A947-70E740481C1C}">
                        <a14:useLocalDpi xmlns:a14="http://schemas.microsoft.com/office/drawing/2010/main" val="0"/>
                      </a:ext>
                    </a:extLst>
                  </a:blip>
                  <a:stretch>
                    <a:fillRect/>
                  </a:stretch>
                </pic:blipFill>
                <pic:spPr>
                  <a:xfrm flipH="1">
                    <a:off x="0" y="0"/>
                    <a:ext cx="7772400" cy="609502"/>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F2CB" w14:textId="77777777" w:rsidR="00D544A1" w:rsidRDefault="00D544A1">
    <w:pPr>
      <w:pStyle w:val="Footer"/>
    </w:pPr>
    <w:r>
      <w:rPr>
        <w:noProof/>
        <w:lang w:eastAsia="en-CA"/>
      </w:rPr>
      <w:drawing>
        <wp:anchor distT="0" distB="0" distL="114300" distR="114300" simplePos="0" relativeHeight="251659264" behindDoc="1" locked="0" layoutInCell="1" allowOverlap="1" wp14:anchorId="2B685217" wp14:editId="45CF2880">
          <wp:simplePos x="0" y="0"/>
          <wp:positionH relativeFrom="column">
            <wp:posOffset>-922655</wp:posOffset>
          </wp:positionH>
          <wp:positionV relativeFrom="paragraph">
            <wp:posOffset>-569379</wp:posOffset>
          </wp:positionV>
          <wp:extent cx="7772400" cy="119380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BOTTOM.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1938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1243A" w14:textId="77777777" w:rsidR="007412AD" w:rsidRDefault="007412AD" w:rsidP="00317C2F">
      <w:r>
        <w:separator/>
      </w:r>
    </w:p>
  </w:footnote>
  <w:footnote w:type="continuationSeparator" w:id="0">
    <w:p w14:paraId="28DEBB9C" w14:textId="77777777" w:rsidR="007412AD" w:rsidRDefault="007412AD" w:rsidP="00317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0C5C" w14:textId="77777777" w:rsidR="00D544A1" w:rsidRDefault="00D544A1">
    <w:pPr>
      <w:pStyle w:val="Header"/>
    </w:pPr>
    <w:r>
      <w:rPr>
        <w:noProof/>
        <w:lang w:eastAsia="en-CA"/>
      </w:rPr>
      <w:drawing>
        <wp:anchor distT="0" distB="0" distL="114300" distR="114300" simplePos="0" relativeHeight="251660288" behindDoc="1" locked="0" layoutInCell="1" allowOverlap="1" wp14:anchorId="73C39F73" wp14:editId="32C8F2B1">
          <wp:simplePos x="0" y="0"/>
          <wp:positionH relativeFrom="column">
            <wp:posOffset>-905774</wp:posOffset>
          </wp:positionH>
          <wp:positionV relativeFrom="paragraph">
            <wp:posOffset>-431463</wp:posOffset>
          </wp:positionV>
          <wp:extent cx="7772400" cy="9779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2-TOP-EN.jpg"/>
                  <pic:cNvPicPr/>
                </pic:nvPicPr>
                <pic:blipFill>
                  <a:blip r:embed="rId1">
                    <a:extLst>
                      <a:ext uri="{28A0092B-C50C-407E-A947-70E740481C1C}">
                        <a14:useLocalDpi xmlns:a14="http://schemas.microsoft.com/office/drawing/2010/main" val="0"/>
                      </a:ext>
                    </a:extLst>
                  </a:blip>
                  <a:stretch>
                    <a:fillRect/>
                  </a:stretch>
                </pic:blipFill>
                <pic:spPr>
                  <a:xfrm>
                    <a:off x="0" y="0"/>
                    <a:ext cx="7772400" cy="9779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BA36B" w14:textId="77777777" w:rsidR="00D544A1" w:rsidRDefault="00D544A1">
    <w:pPr>
      <w:pStyle w:val="Header"/>
    </w:pPr>
    <w:r>
      <w:rPr>
        <w:noProof/>
        <w:lang w:eastAsia="en-CA"/>
      </w:rPr>
      <w:drawing>
        <wp:anchor distT="0" distB="0" distL="114300" distR="114300" simplePos="0" relativeHeight="251658240" behindDoc="1" locked="0" layoutInCell="1" allowOverlap="1" wp14:anchorId="19925724" wp14:editId="1B8A0B58">
          <wp:simplePos x="0" y="0"/>
          <wp:positionH relativeFrom="column">
            <wp:posOffset>-901065</wp:posOffset>
          </wp:positionH>
          <wp:positionV relativeFrom="paragraph">
            <wp:posOffset>-436880</wp:posOffset>
          </wp:positionV>
          <wp:extent cx="7751344" cy="2102488"/>
          <wp:effectExtent l="0" t="0" r="0" b="5715"/>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TOP-EN.jpg"/>
                  <pic:cNvPicPr/>
                </pic:nvPicPr>
                <pic:blipFill>
                  <a:blip r:embed="rId1">
                    <a:extLst>
                      <a:ext uri="{28A0092B-C50C-407E-A947-70E740481C1C}">
                        <a14:useLocalDpi xmlns:a14="http://schemas.microsoft.com/office/drawing/2010/main" val="0"/>
                      </a:ext>
                    </a:extLst>
                  </a:blip>
                  <a:stretch>
                    <a:fillRect/>
                  </a:stretch>
                </pic:blipFill>
                <pic:spPr>
                  <a:xfrm>
                    <a:off x="0" y="0"/>
                    <a:ext cx="7751344" cy="21024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566D"/>
    <w:multiLevelType w:val="hybridMultilevel"/>
    <w:tmpl w:val="EF74E7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352C26"/>
    <w:multiLevelType w:val="hybridMultilevel"/>
    <w:tmpl w:val="C4822064"/>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21"/>
    <w:rsid w:val="00002B7C"/>
    <w:rsid w:val="000063EA"/>
    <w:rsid w:val="00006F59"/>
    <w:rsid w:val="000127D9"/>
    <w:rsid w:val="000146AF"/>
    <w:rsid w:val="00014859"/>
    <w:rsid w:val="00022921"/>
    <w:rsid w:val="000278F7"/>
    <w:rsid w:val="00036A1D"/>
    <w:rsid w:val="00041E1E"/>
    <w:rsid w:val="00046D4A"/>
    <w:rsid w:val="00053BA5"/>
    <w:rsid w:val="000661EE"/>
    <w:rsid w:val="00080553"/>
    <w:rsid w:val="00081FED"/>
    <w:rsid w:val="0008309E"/>
    <w:rsid w:val="00092635"/>
    <w:rsid w:val="0009439D"/>
    <w:rsid w:val="000A5B87"/>
    <w:rsid w:val="000A7E9D"/>
    <w:rsid w:val="000B383B"/>
    <w:rsid w:val="000B665C"/>
    <w:rsid w:val="000C56F3"/>
    <w:rsid w:val="000C5911"/>
    <w:rsid w:val="000C755D"/>
    <w:rsid w:val="000D26E3"/>
    <w:rsid w:val="000D2904"/>
    <w:rsid w:val="000D7C30"/>
    <w:rsid w:val="000E23BE"/>
    <w:rsid w:val="000E2BA3"/>
    <w:rsid w:val="000E31B1"/>
    <w:rsid w:val="000E7581"/>
    <w:rsid w:val="00102E5E"/>
    <w:rsid w:val="0011089E"/>
    <w:rsid w:val="0011393F"/>
    <w:rsid w:val="00122E5B"/>
    <w:rsid w:val="00126164"/>
    <w:rsid w:val="0013173D"/>
    <w:rsid w:val="001544A3"/>
    <w:rsid w:val="00155084"/>
    <w:rsid w:val="00155B0B"/>
    <w:rsid w:val="00157E21"/>
    <w:rsid w:val="00160473"/>
    <w:rsid w:val="0016383B"/>
    <w:rsid w:val="00165BF9"/>
    <w:rsid w:val="0018460A"/>
    <w:rsid w:val="00184766"/>
    <w:rsid w:val="00192667"/>
    <w:rsid w:val="0019629D"/>
    <w:rsid w:val="001A1F99"/>
    <w:rsid w:val="001A2DD3"/>
    <w:rsid w:val="001B217E"/>
    <w:rsid w:val="001C3FFE"/>
    <w:rsid w:val="001E4ED0"/>
    <w:rsid w:val="001F0A82"/>
    <w:rsid w:val="001F2FCB"/>
    <w:rsid w:val="002034CD"/>
    <w:rsid w:val="00205471"/>
    <w:rsid w:val="00213612"/>
    <w:rsid w:val="00215E13"/>
    <w:rsid w:val="002168DC"/>
    <w:rsid w:val="00224358"/>
    <w:rsid w:val="00224ABD"/>
    <w:rsid w:val="0023075C"/>
    <w:rsid w:val="00237583"/>
    <w:rsid w:val="00243009"/>
    <w:rsid w:val="0024390C"/>
    <w:rsid w:val="002449C2"/>
    <w:rsid w:val="0024675E"/>
    <w:rsid w:val="00250715"/>
    <w:rsid w:val="00254FA3"/>
    <w:rsid w:val="0025614A"/>
    <w:rsid w:val="00257308"/>
    <w:rsid w:val="00263B6E"/>
    <w:rsid w:val="00266D33"/>
    <w:rsid w:val="00270D30"/>
    <w:rsid w:val="0027197F"/>
    <w:rsid w:val="00285E57"/>
    <w:rsid w:val="002867D4"/>
    <w:rsid w:val="002A3C31"/>
    <w:rsid w:val="002C55CE"/>
    <w:rsid w:val="002F074B"/>
    <w:rsid w:val="00300415"/>
    <w:rsid w:val="00301557"/>
    <w:rsid w:val="00304A00"/>
    <w:rsid w:val="00305004"/>
    <w:rsid w:val="00316CA3"/>
    <w:rsid w:val="00317C2F"/>
    <w:rsid w:val="003211C8"/>
    <w:rsid w:val="003224AE"/>
    <w:rsid w:val="00323054"/>
    <w:rsid w:val="00326B90"/>
    <w:rsid w:val="0033396A"/>
    <w:rsid w:val="00352D93"/>
    <w:rsid w:val="003622DD"/>
    <w:rsid w:val="00362EE7"/>
    <w:rsid w:val="00365742"/>
    <w:rsid w:val="00365980"/>
    <w:rsid w:val="003919D9"/>
    <w:rsid w:val="00393FF1"/>
    <w:rsid w:val="003A34BB"/>
    <w:rsid w:val="003A6382"/>
    <w:rsid w:val="003A6C9C"/>
    <w:rsid w:val="003A6E13"/>
    <w:rsid w:val="003B1B23"/>
    <w:rsid w:val="003B4AC3"/>
    <w:rsid w:val="003D060B"/>
    <w:rsid w:val="003D0BA4"/>
    <w:rsid w:val="003D6241"/>
    <w:rsid w:val="003E13B2"/>
    <w:rsid w:val="003E418D"/>
    <w:rsid w:val="003F7580"/>
    <w:rsid w:val="003F7721"/>
    <w:rsid w:val="003F7DC6"/>
    <w:rsid w:val="0040351E"/>
    <w:rsid w:val="00406057"/>
    <w:rsid w:val="0041613E"/>
    <w:rsid w:val="00423317"/>
    <w:rsid w:val="0042499B"/>
    <w:rsid w:val="00434BF8"/>
    <w:rsid w:val="00440E57"/>
    <w:rsid w:val="00445E85"/>
    <w:rsid w:val="004528D9"/>
    <w:rsid w:val="00454B9F"/>
    <w:rsid w:val="00457513"/>
    <w:rsid w:val="00460A62"/>
    <w:rsid w:val="00464B83"/>
    <w:rsid w:val="0047306F"/>
    <w:rsid w:val="00474CB2"/>
    <w:rsid w:val="004759A7"/>
    <w:rsid w:val="004773D5"/>
    <w:rsid w:val="00481102"/>
    <w:rsid w:val="00493949"/>
    <w:rsid w:val="0049470A"/>
    <w:rsid w:val="004A5856"/>
    <w:rsid w:val="004A6426"/>
    <w:rsid w:val="004B316D"/>
    <w:rsid w:val="004C3968"/>
    <w:rsid w:val="004C7EF2"/>
    <w:rsid w:val="004D25A2"/>
    <w:rsid w:val="004E0537"/>
    <w:rsid w:val="004E41B1"/>
    <w:rsid w:val="004E4BC6"/>
    <w:rsid w:val="00500696"/>
    <w:rsid w:val="0050298F"/>
    <w:rsid w:val="00510724"/>
    <w:rsid w:val="005107FC"/>
    <w:rsid w:val="00511A1E"/>
    <w:rsid w:val="00513D4C"/>
    <w:rsid w:val="00514696"/>
    <w:rsid w:val="00520ABD"/>
    <w:rsid w:val="0052338A"/>
    <w:rsid w:val="00533498"/>
    <w:rsid w:val="0053608E"/>
    <w:rsid w:val="0054593D"/>
    <w:rsid w:val="005459B6"/>
    <w:rsid w:val="00551B2C"/>
    <w:rsid w:val="00552D21"/>
    <w:rsid w:val="0056046F"/>
    <w:rsid w:val="0056188E"/>
    <w:rsid w:val="00574EDB"/>
    <w:rsid w:val="0057784F"/>
    <w:rsid w:val="005919D3"/>
    <w:rsid w:val="005A182F"/>
    <w:rsid w:val="005A25B9"/>
    <w:rsid w:val="005A78BA"/>
    <w:rsid w:val="005A79D0"/>
    <w:rsid w:val="005C539C"/>
    <w:rsid w:val="005C6F43"/>
    <w:rsid w:val="005C7584"/>
    <w:rsid w:val="005C7EFF"/>
    <w:rsid w:val="005D4087"/>
    <w:rsid w:val="005F13C9"/>
    <w:rsid w:val="005F41C6"/>
    <w:rsid w:val="005F6DF7"/>
    <w:rsid w:val="00602A88"/>
    <w:rsid w:val="00603DB4"/>
    <w:rsid w:val="00625A06"/>
    <w:rsid w:val="00641BA4"/>
    <w:rsid w:val="006437DF"/>
    <w:rsid w:val="00652732"/>
    <w:rsid w:val="00662E16"/>
    <w:rsid w:val="00666295"/>
    <w:rsid w:val="006667AD"/>
    <w:rsid w:val="00672417"/>
    <w:rsid w:val="006743E6"/>
    <w:rsid w:val="00683678"/>
    <w:rsid w:val="006865CE"/>
    <w:rsid w:val="00691858"/>
    <w:rsid w:val="00697087"/>
    <w:rsid w:val="006977A1"/>
    <w:rsid w:val="00697D89"/>
    <w:rsid w:val="006A46D5"/>
    <w:rsid w:val="006B51E2"/>
    <w:rsid w:val="006C0492"/>
    <w:rsid w:val="006C0E03"/>
    <w:rsid w:val="006C1EF4"/>
    <w:rsid w:val="006C3596"/>
    <w:rsid w:val="006C3ED3"/>
    <w:rsid w:val="006C41DA"/>
    <w:rsid w:val="006C67FA"/>
    <w:rsid w:val="006C7A93"/>
    <w:rsid w:val="006D4EFD"/>
    <w:rsid w:val="006D5836"/>
    <w:rsid w:val="006D65B2"/>
    <w:rsid w:val="006E6DFE"/>
    <w:rsid w:val="006F28EB"/>
    <w:rsid w:val="00700722"/>
    <w:rsid w:val="00701CB5"/>
    <w:rsid w:val="007036B7"/>
    <w:rsid w:val="00704BDF"/>
    <w:rsid w:val="0070669A"/>
    <w:rsid w:val="00707E14"/>
    <w:rsid w:val="0071295F"/>
    <w:rsid w:val="00717AD4"/>
    <w:rsid w:val="00721850"/>
    <w:rsid w:val="007412AD"/>
    <w:rsid w:val="007425B0"/>
    <w:rsid w:val="00745E0C"/>
    <w:rsid w:val="00755912"/>
    <w:rsid w:val="007707C1"/>
    <w:rsid w:val="00780256"/>
    <w:rsid w:val="00793AB7"/>
    <w:rsid w:val="007A5641"/>
    <w:rsid w:val="007B7B42"/>
    <w:rsid w:val="007C02D7"/>
    <w:rsid w:val="007C2DFF"/>
    <w:rsid w:val="007C3975"/>
    <w:rsid w:val="007C6058"/>
    <w:rsid w:val="007D1680"/>
    <w:rsid w:val="007D3D75"/>
    <w:rsid w:val="007D3E20"/>
    <w:rsid w:val="007D59B9"/>
    <w:rsid w:val="007E4EC8"/>
    <w:rsid w:val="007E69D4"/>
    <w:rsid w:val="007E70CB"/>
    <w:rsid w:val="008014EE"/>
    <w:rsid w:val="008039A9"/>
    <w:rsid w:val="00817118"/>
    <w:rsid w:val="008229A0"/>
    <w:rsid w:val="00822A01"/>
    <w:rsid w:val="00830BE6"/>
    <w:rsid w:val="008335B8"/>
    <w:rsid w:val="00835DE5"/>
    <w:rsid w:val="00840CC9"/>
    <w:rsid w:val="00845723"/>
    <w:rsid w:val="008538CA"/>
    <w:rsid w:val="00874064"/>
    <w:rsid w:val="008756F5"/>
    <w:rsid w:val="00875962"/>
    <w:rsid w:val="008777BA"/>
    <w:rsid w:val="0088006A"/>
    <w:rsid w:val="008801FE"/>
    <w:rsid w:val="00881BE1"/>
    <w:rsid w:val="00881EBE"/>
    <w:rsid w:val="0088471E"/>
    <w:rsid w:val="00892095"/>
    <w:rsid w:val="00893853"/>
    <w:rsid w:val="00893A4E"/>
    <w:rsid w:val="00896108"/>
    <w:rsid w:val="008A010A"/>
    <w:rsid w:val="008A0C6F"/>
    <w:rsid w:val="008A4479"/>
    <w:rsid w:val="008B05DE"/>
    <w:rsid w:val="008B418E"/>
    <w:rsid w:val="008C2C37"/>
    <w:rsid w:val="008C4E1E"/>
    <w:rsid w:val="008E6E7C"/>
    <w:rsid w:val="008F0F6C"/>
    <w:rsid w:val="008F1BF2"/>
    <w:rsid w:val="008F1FAA"/>
    <w:rsid w:val="008F3A89"/>
    <w:rsid w:val="008F3BE0"/>
    <w:rsid w:val="008F735A"/>
    <w:rsid w:val="00902D3C"/>
    <w:rsid w:val="00904C48"/>
    <w:rsid w:val="009170D9"/>
    <w:rsid w:val="0093210D"/>
    <w:rsid w:val="009421C3"/>
    <w:rsid w:val="00944597"/>
    <w:rsid w:val="009453B3"/>
    <w:rsid w:val="00946C50"/>
    <w:rsid w:val="009472A5"/>
    <w:rsid w:val="00970144"/>
    <w:rsid w:val="00977AE3"/>
    <w:rsid w:val="00982F2B"/>
    <w:rsid w:val="009834BC"/>
    <w:rsid w:val="009851E0"/>
    <w:rsid w:val="00993908"/>
    <w:rsid w:val="009A3BC3"/>
    <w:rsid w:val="009A6452"/>
    <w:rsid w:val="009C7329"/>
    <w:rsid w:val="009D3202"/>
    <w:rsid w:val="009E329E"/>
    <w:rsid w:val="009F02D8"/>
    <w:rsid w:val="009F43EF"/>
    <w:rsid w:val="009F7F8B"/>
    <w:rsid w:val="00A04650"/>
    <w:rsid w:val="00A1030F"/>
    <w:rsid w:val="00A115B9"/>
    <w:rsid w:val="00A11FD6"/>
    <w:rsid w:val="00A12997"/>
    <w:rsid w:val="00A1539F"/>
    <w:rsid w:val="00A1622B"/>
    <w:rsid w:val="00A30381"/>
    <w:rsid w:val="00A332C9"/>
    <w:rsid w:val="00A467BC"/>
    <w:rsid w:val="00A4745E"/>
    <w:rsid w:val="00A525BE"/>
    <w:rsid w:val="00A568A8"/>
    <w:rsid w:val="00A71411"/>
    <w:rsid w:val="00A722B8"/>
    <w:rsid w:val="00A80CEE"/>
    <w:rsid w:val="00A85ED5"/>
    <w:rsid w:val="00A91B13"/>
    <w:rsid w:val="00A93161"/>
    <w:rsid w:val="00AA78C5"/>
    <w:rsid w:val="00AB48E1"/>
    <w:rsid w:val="00AB6B10"/>
    <w:rsid w:val="00AB7F90"/>
    <w:rsid w:val="00AC7F39"/>
    <w:rsid w:val="00AF084E"/>
    <w:rsid w:val="00AF6AF5"/>
    <w:rsid w:val="00B014D4"/>
    <w:rsid w:val="00B10CB8"/>
    <w:rsid w:val="00B11121"/>
    <w:rsid w:val="00B1327C"/>
    <w:rsid w:val="00B23484"/>
    <w:rsid w:val="00B25716"/>
    <w:rsid w:val="00B41424"/>
    <w:rsid w:val="00B4520F"/>
    <w:rsid w:val="00B50D83"/>
    <w:rsid w:val="00B5486B"/>
    <w:rsid w:val="00B54FCC"/>
    <w:rsid w:val="00B60436"/>
    <w:rsid w:val="00B62F00"/>
    <w:rsid w:val="00B66C86"/>
    <w:rsid w:val="00B718B3"/>
    <w:rsid w:val="00B71E30"/>
    <w:rsid w:val="00B7258B"/>
    <w:rsid w:val="00BB11B8"/>
    <w:rsid w:val="00BD0C43"/>
    <w:rsid w:val="00BD1F20"/>
    <w:rsid w:val="00BD2E7C"/>
    <w:rsid w:val="00BD3368"/>
    <w:rsid w:val="00BE1FBC"/>
    <w:rsid w:val="00BF2194"/>
    <w:rsid w:val="00C00871"/>
    <w:rsid w:val="00C01869"/>
    <w:rsid w:val="00C064B9"/>
    <w:rsid w:val="00C20AB6"/>
    <w:rsid w:val="00C24EB3"/>
    <w:rsid w:val="00C273FF"/>
    <w:rsid w:val="00C305B2"/>
    <w:rsid w:val="00C305D7"/>
    <w:rsid w:val="00C327DF"/>
    <w:rsid w:val="00C33F39"/>
    <w:rsid w:val="00C35B76"/>
    <w:rsid w:val="00C41623"/>
    <w:rsid w:val="00C518D2"/>
    <w:rsid w:val="00C521C6"/>
    <w:rsid w:val="00C53BB0"/>
    <w:rsid w:val="00C65414"/>
    <w:rsid w:val="00C7494C"/>
    <w:rsid w:val="00C76731"/>
    <w:rsid w:val="00C86758"/>
    <w:rsid w:val="00C905A1"/>
    <w:rsid w:val="00CA4ADC"/>
    <w:rsid w:val="00CA7A53"/>
    <w:rsid w:val="00CA7C26"/>
    <w:rsid w:val="00CB3D44"/>
    <w:rsid w:val="00CB42E9"/>
    <w:rsid w:val="00CC1577"/>
    <w:rsid w:val="00CC3ABF"/>
    <w:rsid w:val="00CC6DBE"/>
    <w:rsid w:val="00CD0155"/>
    <w:rsid w:val="00CD3084"/>
    <w:rsid w:val="00CD48AA"/>
    <w:rsid w:val="00CD5BCA"/>
    <w:rsid w:val="00CE0D1A"/>
    <w:rsid w:val="00CE24C5"/>
    <w:rsid w:val="00CF3C0F"/>
    <w:rsid w:val="00CF46E3"/>
    <w:rsid w:val="00CF729B"/>
    <w:rsid w:val="00D011E7"/>
    <w:rsid w:val="00D05CF6"/>
    <w:rsid w:val="00D06896"/>
    <w:rsid w:val="00D10A11"/>
    <w:rsid w:val="00D11306"/>
    <w:rsid w:val="00D14855"/>
    <w:rsid w:val="00D14B14"/>
    <w:rsid w:val="00D3491C"/>
    <w:rsid w:val="00D43A40"/>
    <w:rsid w:val="00D447ED"/>
    <w:rsid w:val="00D51732"/>
    <w:rsid w:val="00D544A1"/>
    <w:rsid w:val="00D5479C"/>
    <w:rsid w:val="00D55DA5"/>
    <w:rsid w:val="00D63B2A"/>
    <w:rsid w:val="00D64A8B"/>
    <w:rsid w:val="00D735F7"/>
    <w:rsid w:val="00D76161"/>
    <w:rsid w:val="00D76CA6"/>
    <w:rsid w:val="00D8432C"/>
    <w:rsid w:val="00D9133D"/>
    <w:rsid w:val="00D924D4"/>
    <w:rsid w:val="00D9418E"/>
    <w:rsid w:val="00DA159A"/>
    <w:rsid w:val="00DA41B6"/>
    <w:rsid w:val="00DA5ACA"/>
    <w:rsid w:val="00DA5B02"/>
    <w:rsid w:val="00DB12A5"/>
    <w:rsid w:val="00DB3CAE"/>
    <w:rsid w:val="00DB5346"/>
    <w:rsid w:val="00DC0E0D"/>
    <w:rsid w:val="00DD60EF"/>
    <w:rsid w:val="00DD6695"/>
    <w:rsid w:val="00DE104B"/>
    <w:rsid w:val="00DE1278"/>
    <w:rsid w:val="00DE2EFC"/>
    <w:rsid w:val="00DE30EF"/>
    <w:rsid w:val="00DE787D"/>
    <w:rsid w:val="00E10211"/>
    <w:rsid w:val="00E2460E"/>
    <w:rsid w:val="00E24A7E"/>
    <w:rsid w:val="00E32746"/>
    <w:rsid w:val="00E363FB"/>
    <w:rsid w:val="00E40BEC"/>
    <w:rsid w:val="00E433DD"/>
    <w:rsid w:val="00E4417F"/>
    <w:rsid w:val="00E447F7"/>
    <w:rsid w:val="00E53092"/>
    <w:rsid w:val="00E60B5F"/>
    <w:rsid w:val="00E6524D"/>
    <w:rsid w:val="00E652E7"/>
    <w:rsid w:val="00E80D10"/>
    <w:rsid w:val="00E814D6"/>
    <w:rsid w:val="00E86F4F"/>
    <w:rsid w:val="00E930E0"/>
    <w:rsid w:val="00EA14BB"/>
    <w:rsid w:val="00EA7776"/>
    <w:rsid w:val="00EB00AC"/>
    <w:rsid w:val="00EB3F1F"/>
    <w:rsid w:val="00EB4491"/>
    <w:rsid w:val="00EC21A6"/>
    <w:rsid w:val="00EE246A"/>
    <w:rsid w:val="00EE5796"/>
    <w:rsid w:val="00EF0DD6"/>
    <w:rsid w:val="00EF48CE"/>
    <w:rsid w:val="00EF50A0"/>
    <w:rsid w:val="00F1421B"/>
    <w:rsid w:val="00F166D1"/>
    <w:rsid w:val="00F20FB9"/>
    <w:rsid w:val="00F2315E"/>
    <w:rsid w:val="00F257F4"/>
    <w:rsid w:val="00F2701B"/>
    <w:rsid w:val="00F33874"/>
    <w:rsid w:val="00F422CE"/>
    <w:rsid w:val="00F44513"/>
    <w:rsid w:val="00F5077E"/>
    <w:rsid w:val="00F52005"/>
    <w:rsid w:val="00F57FF3"/>
    <w:rsid w:val="00F602F0"/>
    <w:rsid w:val="00F60EA6"/>
    <w:rsid w:val="00F61D80"/>
    <w:rsid w:val="00F91BFD"/>
    <w:rsid w:val="00FA764B"/>
    <w:rsid w:val="00FA7A3E"/>
    <w:rsid w:val="00FB7C6C"/>
    <w:rsid w:val="00FC07CC"/>
    <w:rsid w:val="00FC156E"/>
    <w:rsid w:val="00FC4785"/>
    <w:rsid w:val="00FD54C3"/>
    <w:rsid w:val="00FE642C"/>
    <w:rsid w:val="00FE656C"/>
    <w:rsid w:val="00FF38EF"/>
    <w:rsid w:val="00FF532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0C6D9AC"/>
  <w15:chartTrackingRefBased/>
  <w15:docId w15:val="{FCF9F334-4284-40D9-AA37-2A4D5A82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D93"/>
  </w:style>
  <w:style w:type="paragraph" w:styleId="Heading1">
    <w:name w:val="heading 1"/>
    <w:basedOn w:val="Normal"/>
    <w:next w:val="Normal"/>
    <w:link w:val="Heading1Char"/>
    <w:uiPriority w:val="9"/>
    <w:qFormat/>
    <w:rsid w:val="00317C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4AC3"/>
    <w:pPr>
      <w:spacing w:before="100" w:beforeAutospacing="1" w:after="100" w:afterAutospacing="1"/>
      <w:outlineLvl w:val="1"/>
    </w:pPr>
    <w:rPr>
      <w:rFonts w:eastAsia="Times New Roman" w:cstheme="minorHAnsi"/>
      <w:b/>
      <w:bCs/>
      <w:color w:val="1F3864" w:themeColor="accent1" w:themeShade="80"/>
      <w:sz w:val="28"/>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C2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7C2F"/>
    <w:pPr>
      <w:tabs>
        <w:tab w:val="center" w:pos="4680"/>
        <w:tab w:val="right" w:pos="9360"/>
      </w:tabs>
    </w:pPr>
  </w:style>
  <w:style w:type="character" w:customStyle="1" w:styleId="HeaderChar">
    <w:name w:val="Header Char"/>
    <w:basedOn w:val="DefaultParagraphFont"/>
    <w:link w:val="Header"/>
    <w:uiPriority w:val="99"/>
    <w:rsid w:val="00317C2F"/>
  </w:style>
  <w:style w:type="paragraph" w:styleId="Footer">
    <w:name w:val="footer"/>
    <w:basedOn w:val="Normal"/>
    <w:link w:val="FooterChar"/>
    <w:uiPriority w:val="99"/>
    <w:unhideWhenUsed/>
    <w:rsid w:val="00317C2F"/>
    <w:pPr>
      <w:tabs>
        <w:tab w:val="center" w:pos="4680"/>
        <w:tab w:val="right" w:pos="9360"/>
      </w:tabs>
    </w:pPr>
  </w:style>
  <w:style w:type="character" w:customStyle="1" w:styleId="FooterChar">
    <w:name w:val="Footer Char"/>
    <w:basedOn w:val="DefaultParagraphFont"/>
    <w:link w:val="Footer"/>
    <w:uiPriority w:val="99"/>
    <w:rsid w:val="00317C2F"/>
  </w:style>
  <w:style w:type="paragraph" w:customStyle="1" w:styleId="OCE-covertitle">
    <w:name w:val="OCE-cover title"/>
    <w:basedOn w:val="Heading1"/>
    <w:qFormat/>
    <w:rsid w:val="00B23484"/>
    <w:rPr>
      <w:rFonts w:ascii="Arial" w:hAnsi="Arial" w:cs="Arial"/>
      <w:color w:val="DF4C4F"/>
      <w:sz w:val="40"/>
      <w:szCs w:val="40"/>
    </w:rPr>
  </w:style>
  <w:style w:type="character" w:customStyle="1" w:styleId="Heading2Char">
    <w:name w:val="Heading 2 Char"/>
    <w:basedOn w:val="DefaultParagraphFont"/>
    <w:link w:val="Heading2"/>
    <w:uiPriority w:val="9"/>
    <w:rsid w:val="003B4AC3"/>
    <w:rPr>
      <w:rFonts w:eastAsia="Times New Roman" w:cstheme="minorHAnsi"/>
      <w:b/>
      <w:bCs/>
      <w:color w:val="1F3864" w:themeColor="accent1" w:themeShade="80"/>
      <w:sz w:val="28"/>
      <w:szCs w:val="36"/>
      <w:lang w:eastAsia="en-CA"/>
    </w:rPr>
  </w:style>
  <w:style w:type="paragraph" w:customStyle="1" w:styleId="OCE-Subhead">
    <w:name w:val="OCE-Subhead"/>
    <w:basedOn w:val="Heading2"/>
    <w:qFormat/>
    <w:rsid w:val="003B4AC3"/>
    <w:rPr>
      <w:rFonts w:ascii="Arial" w:hAnsi="Arial" w:cs="Arial"/>
      <w:b w:val="0"/>
      <w:bCs w:val="0"/>
      <w:color w:val="DF4C4F"/>
    </w:rPr>
  </w:style>
  <w:style w:type="paragraph" w:customStyle="1" w:styleId="OCE-bodytext">
    <w:name w:val="OCE-body text"/>
    <w:basedOn w:val="Normal"/>
    <w:qFormat/>
    <w:rsid w:val="003B4AC3"/>
    <w:pPr>
      <w:spacing w:before="100" w:beforeAutospacing="1" w:after="100" w:afterAutospacing="1"/>
    </w:pPr>
    <w:rPr>
      <w:rFonts w:ascii="Arial" w:eastAsia="Times New Roman" w:hAnsi="Arial" w:cs="Arial"/>
      <w:color w:val="19304B"/>
      <w:sz w:val="19"/>
      <w:szCs w:val="19"/>
      <w:lang w:eastAsia="en-CA"/>
    </w:rPr>
  </w:style>
  <w:style w:type="character" w:styleId="PageNumber">
    <w:name w:val="page number"/>
    <w:basedOn w:val="DefaultParagraphFont"/>
    <w:uiPriority w:val="99"/>
    <w:semiHidden/>
    <w:unhideWhenUsed/>
    <w:rsid w:val="0041613E"/>
  </w:style>
  <w:style w:type="character" w:styleId="CommentReference">
    <w:name w:val="annotation reference"/>
    <w:basedOn w:val="DefaultParagraphFont"/>
    <w:uiPriority w:val="99"/>
    <w:semiHidden/>
    <w:unhideWhenUsed/>
    <w:rsid w:val="000278F7"/>
    <w:rPr>
      <w:sz w:val="16"/>
      <w:szCs w:val="16"/>
    </w:rPr>
  </w:style>
  <w:style w:type="paragraph" w:styleId="CommentText">
    <w:name w:val="annotation text"/>
    <w:basedOn w:val="Normal"/>
    <w:link w:val="CommentTextChar"/>
    <w:uiPriority w:val="99"/>
    <w:unhideWhenUsed/>
    <w:rsid w:val="000278F7"/>
    <w:rPr>
      <w:sz w:val="20"/>
      <w:szCs w:val="20"/>
    </w:rPr>
  </w:style>
  <w:style w:type="character" w:customStyle="1" w:styleId="CommentTextChar">
    <w:name w:val="Comment Text Char"/>
    <w:basedOn w:val="DefaultParagraphFont"/>
    <w:link w:val="CommentText"/>
    <w:uiPriority w:val="99"/>
    <w:rsid w:val="000278F7"/>
    <w:rPr>
      <w:sz w:val="20"/>
      <w:szCs w:val="20"/>
    </w:rPr>
  </w:style>
  <w:style w:type="paragraph" w:styleId="CommentSubject">
    <w:name w:val="annotation subject"/>
    <w:basedOn w:val="CommentText"/>
    <w:next w:val="CommentText"/>
    <w:link w:val="CommentSubjectChar"/>
    <w:uiPriority w:val="99"/>
    <w:semiHidden/>
    <w:unhideWhenUsed/>
    <w:rsid w:val="000278F7"/>
    <w:rPr>
      <w:b/>
      <w:bCs/>
    </w:rPr>
  </w:style>
  <w:style w:type="character" w:customStyle="1" w:styleId="CommentSubjectChar">
    <w:name w:val="Comment Subject Char"/>
    <w:basedOn w:val="CommentTextChar"/>
    <w:link w:val="CommentSubject"/>
    <w:uiPriority w:val="99"/>
    <w:semiHidden/>
    <w:rsid w:val="000278F7"/>
    <w:rPr>
      <w:b/>
      <w:bCs/>
      <w:sz w:val="20"/>
      <w:szCs w:val="20"/>
    </w:rPr>
  </w:style>
  <w:style w:type="paragraph" w:styleId="BalloonText">
    <w:name w:val="Balloon Text"/>
    <w:basedOn w:val="Normal"/>
    <w:link w:val="BalloonTextChar"/>
    <w:uiPriority w:val="99"/>
    <w:semiHidden/>
    <w:unhideWhenUsed/>
    <w:rsid w:val="000278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8F7"/>
    <w:rPr>
      <w:rFonts w:ascii="Segoe UI" w:hAnsi="Segoe UI" w:cs="Segoe UI"/>
      <w:sz w:val="18"/>
      <w:szCs w:val="18"/>
    </w:rPr>
  </w:style>
  <w:style w:type="paragraph" w:styleId="FootnoteText">
    <w:name w:val="footnote text"/>
    <w:basedOn w:val="Normal"/>
    <w:link w:val="FootnoteTextChar"/>
    <w:uiPriority w:val="99"/>
    <w:semiHidden/>
    <w:unhideWhenUsed/>
    <w:rsid w:val="00DB5346"/>
    <w:rPr>
      <w:sz w:val="20"/>
      <w:szCs w:val="20"/>
    </w:rPr>
  </w:style>
  <w:style w:type="character" w:customStyle="1" w:styleId="FootnoteTextChar">
    <w:name w:val="Footnote Text Char"/>
    <w:basedOn w:val="DefaultParagraphFont"/>
    <w:link w:val="FootnoteText"/>
    <w:uiPriority w:val="99"/>
    <w:semiHidden/>
    <w:rsid w:val="00DB5346"/>
    <w:rPr>
      <w:sz w:val="20"/>
      <w:szCs w:val="20"/>
    </w:rPr>
  </w:style>
  <w:style w:type="character" w:styleId="FootnoteReference">
    <w:name w:val="footnote reference"/>
    <w:basedOn w:val="DefaultParagraphFont"/>
    <w:uiPriority w:val="99"/>
    <w:semiHidden/>
    <w:unhideWhenUsed/>
    <w:rsid w:val="00DB5346"/>
    <w:rPr>
      <w:vertAlign w:val="superscript"/>
    </w:rPr>
  </w:style>
  <w:style w:type="table" w:styleId="TableGrid">
    <w:name w:val="Table Grid"/>
    <w:basedOn w:val="TableNormal"/>
    <w:uiPriority w:val="39"/>
    <w:rsid w:val="0039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D3202"/>
  </w:style>
  <w:style w:type="table" w:styleId="PlainTable5">
    <w:name w:val="Plain Table 5"/>
    <w:basedOn w:val="TableNormal"/>
    <w:uiPriority w:val="45"/>
    <w:rsid w:val="009D32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D32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50D83"/>
  </w:style>
  <w:style w:type="paragraph" w:styleId="NormalWeb">
    <w:name w:val="Normal (Web)"/>
    <w:basedOn w:val="Normal"/>
    <w:uiPriority w:val="99"/>
    <w:semiHidden/>
    <w:unhideWhenUsed/>
    <w:rsid w:val="004E0537"/>
    <w:pPr>
      <w:spacing w:before="100" w:beforeAutospacing="1" w:after="100" w:afterAutospacing="1"/>
    </w:pPr>
    <w:rPr>
      <w:rFonts w:ascii="Times New Roman" w:eastAsiaTheme="minorEastAsia" w:hAnsi="Times New Roman" w:cs="Times New Roman"/>
      <w:lang w:eastAsia="en-CA"/>
    </w:rPr>
  </w:style>
  <w:style w:type="character" w:styleId="Hyperlink">
    <w:name w:val="Hyperlink"/>
    <w:basedOn w:val="DefaultParagraphFont"/>
    <w:uiPriority w:val="99"/>
    <w:semiHidden/>
    <w:unhideWhenUsed/>
    <w:rsid w:val="00B66C8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7181">
      <w:bodyDiv w:val="1"/>
      <w:marLeft w:val="0"/>
      <w:marRight w:val="0"/>
      <w:marTop w:val="0"/>
      <w:marBottom w:val="0"/>
      <w:divBdr>
        <w:top w:val="none" w:sz="0" w:space="0" w:color="auto"/>
        <w:left w:val="none" w:sz="0" w:space="0" w:color="auto"/>
        <w:bottom w:val="none" w:sz="0" w:space="0" w:color="auto"/>
        <w:right w:val="none" w:sz="0" w:space="0" w:color="auto"/>
      </w:divBdr>
    </w:div>
    <w:div w:id="260840904">
      <w:bodyDiv w:val="1"/>
      <w:marLeft w:val="0"/>
      <w:marRight w:val="0"/>
      <w:marTop w:val="0"/>
      <w:marBottom w:val="0"/>
      <w:divBdr>
        <w:top w:val="none" w:sz="0" w:space="0" w:color="auto"/>
        <w:left w:val="none" w:sz="0" w:space="0" w:color="auto"/>
        <w:bottom w:val="none" w:sz="0" w:space="0" w:color="auto"/>
        <w:right w:val="none" w:sz="0" w:space="0" w:color="auto"/>
      </w:divBdr>
    </w:div>
    <w:div w:id="278679987">
      <w:bodyDiv w:val="1"/>
      <w:marLeft w:val="0"/>
      <w:marRight w:val="0"/>
      <w:marTop w:val="0"/>
      <w:marBottom w:val="0"/>
      <w:divBdr>
        <w:top w:val="none" w:sz="0" w:space="0" w:color="auto"/>
        <w:left w:val="none" w:sz="0" w:space="0" w:color="auto"/>
        <w:bottom w:val="none" w:sz="0" w:space="0" w:color="auto"/>
        <w:right w:val="none" w:sz="0" w:space="0" w:color="auto"/>
      </w:divBdr>
    </w:div>
    <w:div w:id="549651536">
      <w:bodyDiv w:val="1"/>
      <w:marLeft w:val="0"/>
      <w:marRight w:val="0"/>
      <w:marTop w:val="0"/>
      <w:marBottom w:val="0"/>
      <w:divBdr>
        <w:top w:val="none" w:sz="0" w:space="0" w:color="auto"/>
        <w:left w:val="none" w:sz="0" w:space="0" w:color="auto"/>
        <w:bottom w:val="none" w:sz="0" w:space="0" w:color="auto"/>
        <w:right w:val="none" w:sz="0" w:space="0" w:color="auto"/>
      </w:divBdr>
    </w:div>
    <w:div w:id="595290453">
      <w:bodyDiv w:val="1"/>
      <w:marLeft w:val="0"/>
      <w:marRight w:val="0"/>
      <w:marTop w:val="0"/>
      <w:marBottom w:val="0"/>
      <w:divBdr>
        <w:top w:val="none" w:sz="0" w:space="0" w:color="auto"/>
        <w:left w:val="none" w:sz="0" w:space="0" w:color="auto"/>
        <w:bottom w:val="none" w:sz="0" w:space="0" w:color="auto"/>
        <w:right w:val="none" w:sz="0" w:space="0" w:color="auto"/>
      </w:divBdr>
    </w:div>
    <w:div w:id="617445154">
      <w:bodyDiv w:val="1"/>
      <w:marLeft w:val="0"/>
      <w:marRight w:val="0"/>
      <w:marTop w:val="0"/>
      <w:marBottom w:val="0"/>
      <w:divBdr>
        <w:top w:val="none" w:sz="0" w:space="0" w:color="auto"/>
        <w:left w:val="none" w:sz="0" w:space="0" w:color="auto"/>
        <w:bottom w:val="none" w:sz="0" w:space="0" w:color="auto"/>
        <w:right w:val="none" w:sz="0" w:space="0" w:color="auto"/>
      </w:divBdr>
    </w:div>
    <w:div w:id="637297501">
      <w:bodyDiv w:val="1"/>
      <w:marLeft w:val="0"/>
      <w:marRight w:val="0"/>
      <w:marTop w:val="0"/>
      <w:marBottom w:val="0"/>
      <w:divBdr>
        <w:top w:val="none" w:sz="0" w:space="0" w:color="auto"/>
        <w:left w:val="none" w:sz="0" w:space="0" w:color="auto"/>
        <w:bottom w:val="none" w:sz="0" w:space="0" w:color="auto"/>
        <w:right w:val="none" w:sz="0" w:space="0" w:color="auto"/>
      </w:divBdr>
    </w:div>
    <w:div w:id="805003874">
      <w:bodyDiv w:val="1"/>
      <w:marLeft w:val="0"/>
      <w:marRight w:val="0"/>
      <w:marTop w:val="0"/>
      <w:marBottom w:val="0"/>
      <w:divBdr>
        <w:top w:val="none" w:sz="0" w:space="0" w:color="auto"/>
        <w:left w:val="none" w:sz="0" w:space="0" w:color="auto"/>
        <w:bottom w:val="none" w:sz="0" w:space="0" w:color="auto"/>
        <w:right w:val="none" w:sz="0" w:space="0" w:color="auto"/>
      </w:divBdr>
    </w:div>
    <w:div w:id="1002852113">
      <w:bodyDiv w:val="1"/>
      <w:marLeft w:val="0"/>
      <w:marRight w:val="0"/>
      <w:marTop w:val="0"/>
      <w:marBottom w:val="0"/>
      <w:divBdr>
        <w:top w:val="none" w:sz="0" w:space="0" w:color="auto"/>
        <w:left w:val="none" w:sz="0" w:space="0" w:color="auto"/>
        <w:bottom w:val="none" w:sz="0" w:space="0" w:color="auto"/>
        <w:right w:val="none" w:sz="0" w:space="0" w:color="auto"/>
      </w:divBdr>
    </w:div>
    <w:div w:id="1146314814">
      <w:bodyDiv w:val="1"/>
      <w:marLeft w:val="0"/>
      <w:marRight w:val="0"/>
      <w:marTop w:val="0"/>
      <w:marBottom w:val="0"/>
      <w:divBdr>
        <w:top w:val="none" w:sz="0" w:space="0" w:color="auto"/>
        <w:left w:val="none" w:sz="0" w:space="0" w:color="auto"/>
        <w:bottom w:val="none" w:sz="0" w:space="0" w:color="auto"/>
        <w:right w:val="none" w:sz="0" w:space="0" w:color="auto"/>
      </w:divBdr>
    </w:div>
    <w:div w:id="1168397832">
      <w:bodyDiv w:val="1"/>
      <w:marLeft w:val="0"/>
      <w:marRight w:val="0"/>
      <w:marTop w:val="0"/>
      <w:marBottom w:val="0"/>
      <w:divBdr>
        <w:top w:val="none" w:sz="0" w:space="0" w:color="auto"/>
        <w:left w:val="none" w:sz="0" w:space="0" w:color="auto"/>
        <w:bottom w:val="none" w:sz="0" w:space="0" w:color="auto"/>
        <w:right w:val="none" w:sz="0" w:space="0" w:color="auto"/>
      </w:divBdr>
    </w:div>
    <w:div w:id="1527325252">
      <w:bodyDiv w:val="1"/>
      <w:marLeft w:val="0"/>
      <w:marRight w:val="0"/>
      <w:marTop w:val="0"/>
      <w:marBottom w:val="0"/>
      <w:divBdr>
        <w:top w:val="none" w:sz="0" w:space="0" w:color="auto"/>
        <w:left w:val="none" w:sz="0" w:space="0" w:color="auto"/>
        <w:bottom w:val="none" w:sz="0" w:space="0" w:color="auto"/>
        <w:right w:val="none" w:sz="0" w:space="0" w:color="auto"/>
      </w:divBdr>
    </w:div>
    <w:div w:id="1528909336">
      <w:bodyDiv w:val="1"/>
      <w:marLeft w:val="0"/>
      <w:marRight w:val="0"/>
      <w:marTop w:val="0"/>
      <w:marBottom w:val="0"/>
      <w:divBdr>
        <w:top w:val="none" w:sz="0" w:space="0" w:color="auto"/>
        <w:left w:val="none" w:sz="0" w:space="0" w:color="auto"/>
        <w:bottom w:val="none" w:sz="0" w:space="0" w:color="auto"/>
        <w:right w:val="none" w:sz="0" w:space="0" w:color="auto"/>
      </w:divBdr>
    </w:div>
    <w:div w:id="1539776154">
      <w:bodyDiv w:val="1"/>
      <w:marLeft w:val="0"/>
      <w:marRight w:val="0"/>
      <w:marTop w:val="0"/>
      <w:marBottom w:val="0"/>
      <w:divBdr>
        <w:top w:val="none" w:sz="0" w:space="0" w:color="auto"/>
        <w:left w:val="none" w:sz="0" w:space="0" w:color="auto"/>
        <w:bottom w:val="none" w:sz="0" w:space="0" w:color="auto"/>
        <w:right w:val="none" w:sz="0" w:space="0" w:color="auto"/>
      </w:divBdr>
    </w:div>
    <w:div w:id="1577397349">
      <w:bodyDiv w:val="1"/>
      <w:marLeft w:val="0"/>
      <w:marRight w:val="0"/>
      <w:marTop w:val="0"/>
      <w:marBottom w:val="0"/>
      <w:divBdr>
        <w:top w:val="none" w:sz="0" w:space="0" w:color="auto"/>
        <w:left w:val="none" w:sz="0" w:space="0" w:color="auto"/>
        <w:bottom w:val="none" w:sz="0" w:space="0" w:color="auto"/>
        <w:right w:val="none" w:sz="0" w:space="0" w:color="auto"/>
      </w:divBdr>
    </w:div>
    <w:div w:id="1642729422">
      <w:bodyDiv w:val="1"/>
      <w:marLeft w:val="0"/>
      <w:marRight w:val="0"/>
      <w:marTop w:val="0"/>
      <w:marBottom w:val="0"/>
      <w:divBdr>
        <w:top w:val="none" w:sz="0" w:space="0" w:color="auto"/>
        <w:left w:val="none" w:sz="0" w:space="0" w:color="auto"/>
        <w:bottom w:val="none" w:sz="0" w:space="0" w:color="auto"/>
        <w:right w:val="none" w:sz="0" w:space="0" w:color="auto"/>
      </w:divBdr>
    </w:div>
    <w:div w:id="1903904456">
      <w:bodyDiv w:val="1"/>
      <w:marLeft w:val="0"/>
      <w:marRight w:val="0"/>
      <w:marTop w:val="0"/>
      <w:marBottom w:val="0"/>
      <w:divBdr>
        <w:top w:val="none" w:sz="0" w:space="0" w:color="auto"/>
        <w:left w:val="none" w:sz="0" w:space="0" w:color="auto"/>
        <w:bottom w:val="none" w:sz="0" w:space="0" w:color="auto"/>
        <w:right w:val="none" w:sz="0" w:space="0" w:color="auto"/>
      </w:divBdr>
    </w:div>
    <w:div w:id="1917087159">
      <w:bodyDiv w:val="1"/>
      <w:marLeft w:val="0"/>
      <w:marRight w:val="0"/>
      <w:marTop w:val="0"/>
      <w:marBottom w:val="0"/>
      <w:divBdr>
        <w:top w:val="none" w:sz="0" w:space="0" w:color="auto"/>
        <w:left w:val="none" w:sz="0" w:space="0" w:color="auto"/>
        <w:bottom w:val="none" w:sz="0" w:space="0" w:color="auto"/>
        <w:right w:val="none" w:sz="0" w:space="0" w:color="auto"/>
      </w:divBdr>
    </w:div>
    <w:div w:id="1925602765">
      <w:bodyDiv w:val="1"/>
      <w:marLeft w:val="0"/>
      <w:marRight w:val="0"/>
      <w:marTop w:val="0"/>
      <w:marBottom w:val="0"/>
      <w:divBdr>
        <w:top w:val="none" w:sz="0" w:space="0" w:color="auto"/>
        <w:left w:val="none" w:sz="0" w:space="0" w:color="auto"/>
        <w:bottom w:val="none" w:sz="0" w:space="0" w:color="auto"/>
        <w:right w:val="none" w:sz="0" w:space="0" w:color="auto"/>
      </w:divBdr>
    </w:div>
    <w:div w:id="1936355303">
      <w:bodyDiv w:val="1"/>
      <w:marLeft w:val="0"/>
      <w:marRight w:val="0"/>
      <w:marTop w:val="0"/>
      <w:marBottom w:val="0"/>
      <w:divBdr>
        <w:top w:val="none" w:sz="0" w:space="0" w:color="auto"/>
        <w:left w:val="none" w:sz="0" w:space="0" w:color="auto"/>
        <w:bottom w:val="none" w:sz="0" w:space="0" w:color="auto"/>
        <w:right w:val="none" w:sz="0" w:space="0" w:color="auto"/>
      </w:divBdr>
    </w:div>
    <w:div w:id="2027097390">
      <w:bodyDiv w:val="1"/>
      <w:marLeft w:val="0"/>
      <w:marRight w:val="0"/>
      <w:marTop w:val="0"/>
      <w:marBottom w:val="0"/>
      <w:divBdr>
        <w:top w:val="none" w:sz="0" w:space="0" w:color="auto"/>
        <w:left w:val="none" w:sz="0" w:space="0" w:color="auto"/>
        <w:bottom w:val="none" w:sz="0" w:space="0" w:color="auto"/>
        <w:right w:val="none" w:sz="0" w:space="0" w:color="auto"/>
      </w:divBdr>
    </w:div>
    <w:div w:id="2033458827">
      <w:bodyDiv w:val="1"/>
      <w:marLeft w:val="0"/>
      <w:marRight w:val="0"/>
      <w:marTop w:val="0"/>
      <w:marBottom w:val="0"/>
      <w:divBdr>
        <w:top w:val="none" w:sz="0" w:space="0" w:color="auto"/>
        <w:left w:val="none" w:sz="0" w:space="0" w:color="auto"/>
        <w:bottom w:val="none" w:sz="0" w:space="0" w:color="auto"/>
        <w:right w:val="none" w:sz="0" w:space="0" w:color="auto"/>
      </w:divBdr>
    </w:div>
    <w:div w:id="2089646177">
      <w:bodyDiv w:val="1"/>
      <w:marLeft w:val="0"/>
      <w:marRight w:val="0"/>
      <w:marTop w:val="0"/>
      <w:marBottom w:val="0"/>
      <w:divBdr>
        <w:top w:val="none" w:sz="0" w:space="0" w:color="auto"/>
        <w:left w:val="none" w:sz="0" w:space="0" w:color="auto"/>
        <w:bottom w:val="none" w:sz="0" w:space="0" w:color="auto"/>
        <w:right w:val="none" w:sz="0" w:space="0" w:color="auto"/>
      </w:divBdr>
    </w:div>
    <w:div w:id="21184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uchad1\AppData\Local\Packages\Microsoft.MicrosoftEdge_8wekyb3d8bbwe\TempState\Downloads\GAC-OfficeChiefEconomist-Letterhead2-TEMPLATE-E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CB984-0CB7-40B8-BAD5-A29D3B087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GAC-OfficeChiefEconomist-Letterhead2-TEMPLATE-EN (1).dotx</Template>
  <TotalTime>319</TotalTime>
  <Pages>4</Pages>
  <Words>522</Words>
  <Characters>2982</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Bouchard, Dominique -BEI</dc:creator>
  <cp:keywords/>
  <dc:description/>
  <cp:lastModifiedBy>Morency, Samuel -XEI</cp:lastModifiedBy>
  <cp:revision>42</cp:revision>
  <dcterms:created xsi:type="dcterms:W3CDTF">2022-05-10T19:53:00Z</dcterms:created>
  <dcterms:modified xsi:type="dcterms:W3CDTF">2022-10-18T18:15:00Z</dcterms:modified>
</cp:coreProperties>
</file>