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49EE" w:rsidRDefault="00000000">
      <w:pPr>
        <w:pStyle w:val="Titre"/>
        <w:spacing w:after="100"/>
        <w:jc w:val="center"/>
      </w:pPr>
      <w:r>
        <w:t>Facteur Momentum et Rendements Boursiers Futurs</w:t>
      </w:r>
    </w:p>
    <w:p w:rsidR="00FF49EE" w:rsidRDefault="00000000">
      <w:pPr>
        <w:spacing w:after="400"/>
        <w:jc w:val="center"/>
      </w:pPr>
      <w:r>
        <w:rPr>
          <w:i/>
          <w:iCs/>
        </w:rPr>
        <w:t xml:space="preserve">Étude exploratoire de factor </w:t>
      </w:r>
      <w:proofErr w:type="spellStart"/>
      <w:r>
        <w:rPr>
          <w:i/>
          <w:iCs/>
        </w:rPr>
        <w:t>investing</w:t>
      </w:r>
      <w:proofErr w:type="spellEnd"/>
      <w:r>
        <w:rPr>
          <w:i/>
          <w:iCs/>
        </w:rPr>
        <w:t xml:space="preserve"> appliquée à un panier d'actions du CAC 40</w:t>
      </w:r>
    </w:p>
    <w:p w:rsidR="00FF49EE" w:rsidRDefault="00000000">
      <w:pPr>
        <w:pStyle w:val="Titre1"/>
        <w:spacing w:before="300" w:after="150"/>
      </w:pPr>
      <w:r>
        <w:t>Sommaire</w:t>
      </w:r>
    </w:p>
    <w:p w:rsidR="00FF49EE" w:rsidRDefault="00000000">
      <w:pPr>
        <w:spacing w:after="60"/>
        <w:ind w:left="200"/>
      </w:pPr>
      <w:r>
        <w:t>1. Contexte et motivations</w:t>
      </w:r>
    </w:p>
    <w:p w:rsidR="00FF49EE" w:rsidRDefault="00000000">
      <w:pPr>
        <w:spacing w:after="60"/>
        <w:ind w:left="200"/>
      </w:pPr>
      <w:r>
        <w:t>2. Problématique et objectif</w:t>
      </w:r>
    </w:p>
    <w:p w:rsidR="00FF49EE" w:rsidRDefault="00000000">
      <w:pPr>
        <w:spacing w:after="60"/>
        <w:ind w:left="200"/>
      </w:pPr>
      <w:r>
        <w:t>3. Données et méthodologie</w:t>
      </w:r>
    </w:p>
    <w:p w:rsidR="00FF49EE" w:rsidRDefault="00000000">
      <w:pPr>
        <w:spacing w:after="60"/>
        <w:ind w:left="200"/>
      </w:pPr>
      <w:r>
        <w:t>4. Résultats</w:t>
      </w:r>
    </w:p>
    <w:p w:rsidR="00FF49EE" w:rsidRDefault="00000000">
      <w:pPr>
        <w:spacing w:after="60"/>
        <w:ind w:left="200"/>
      </w:pPr>
      <w:r>
        <w:t>5. Renforcement méthodologique : élargissement du panier d'actions</w:t>
      </w:r>
    </w:p>
    <w:p w:rsidR="00FF49EE" w:rsidRDefault="00000000">
      <w:pPr>
        <w:spacing w:after="60"/>
        <w:ind w:left="200"/>
      </w:pPr>
      <w:r>
        <w:t>6. Comparaison à un second facteur : la volatilité</w:t>
      </w:r>
    </w:p>
    <w:p w:rsidR="00FF49EE" w:rsidRDefault="00000000">
      <w:pPr>
        <w:spacing w:after="60"/>
        <w:ind w:left="200"/>
      </w:pPr>
      <w:r>
        <w:t>7. Limites méthodologiques</w:t>
      </w:r>
    </w:p>
    <w:p w:rsidR="00FF49EE" w:rsidRDefault="00000000">
      <w:pPr>
        <w:spacing w:after="60"/>
        <w:ind w:left="200"/>
      </w:pPr>
      <w:r>
        <w:t>8. Ce que ce projet m'a appris</w:t>
      </w:r>
    </w:p>
    <w:p w:rsidR="00FF49EE" w:rsidRDefault="00000000">
      <w:pPr>
        <w:spacing w:after="60"/>
        <w:ind w:left="200"/>
      </w:pPr>
      <w:r>
        <w:t>9. Conclusion et prochaines étapes</w:t>
      </w:r>
    </w:p>
    <w:p w:rsidR="00FF49EE" w:rsidRDefault="00000000">
      <w:pPr>
        <w:spacing w:after="60"/>
        <w:ind w:left="200"/>
      </w:pPr>
      <w:r>
        <w:t>Annexe — extraits de code Python</w:t>
      </w:r>
    </w:p>
    <w:p w:rsidR="00FF49EE" w:rsidRDefault="00FF49EE">
      <w:pPr>
        <w:spacing w:after="200"/>
      </w:pPr>
    </w:p>
    <w:p w:rsidR="00FF49EE" w:rsidRDefault="00000000">
      <w:pPr>
        <w:pStyle w:val="Titre1"/>
        <w:spacing w:before="300" w:after="150"/>
      </w:pPr>
      <w:r>
        <w:t>1. Contexte et motivations</w:t>
      </w:r>
    </w:p>
    <w:p w:rsidR="00FF49EE" w:rsidRDefault="00000000">
      <w:pPr>
        <w:spacing w:after="120"/>
      </w:pPr>
      <w:r>
        <w:t>Ce projet est né d'une démarche d'auto-formation au Machine Learning appliqué à la finance, menée en parallèle d'un parcours de spécialités Mathématiques et Physique-Chimie en Terminale, avec une orientation envisagée vers les métiers de la finance de marché. Plutôt que de suivre un cours théorique complet avant de se lancer, l'apprentissage a été mené directement au fil d'un projet concret : chaque notion (Python, statistiques, algèbre linéaire, Machine Learning) a été introduite au moment précis où le projet en avait besoin.</w:t>
      </w:r>
    </w:p>
    <w:p w:rsidR="00FF49EE" w:rsidRDefault="00000000">
      <w:pPr>
        <w:spacing w:after="120"/>
      </w:pPr>
      <w:r>
        <w:t xml:space="preserve">Le choix du factor </w:t>
      </w:r>
      <w:proofErr w:type="spellStart"/>
      <w:r>
        <w:t>investing</w:t>
      </w:r>
      <w:proofErr w:type="spellEnd"/>
      <w:r>
        <w:t xml:space="preserve"> comme thème, et du </w:t>
      </w:r>
      <w:proofErr w:type="spellStart"/>
      <w:r>
        <w:t>momentum</w:t>
      </w:r>
      <w:proofErr w:type="spellEnd"/>
      <w:r>
        <w:t xml:space="preserve"> comme facteur d'entrée, répond à un double objectif : explorer un sujet à l'intersection des mathématiques, de la programmation et de la finance de marché, tout en produisant un travail suffisamment rigoureux pour être présenté dans un dossier d'orientation </w:t>
      </w:r>
      <w:proofErr w:type="spellStart"/>
      <w:r>
        <w:t>post-bac</w:t>
      </w:r>
      <w:proofErr w:type="spellEnd"/>
      <w:r>
        <w:t xml:space="preserve"> (</w:t>
      </w:r>
      <w:proofErr w:type="spellStart"/>
      <w:r>
        <w:t>Parcoursup</w:t>
      </w:r>
      <w:proofErr w:type="spellEnd"/>
      <w:r>
        <w:t>) et publié sur GitHub.</w:t>
      </w:r>
    </w:p>
    <w:p w:rsidR="00FF49EE" w:rsidRDefault="00000000">
      <w:pPr>
        <w:pStyle w:val="Titre1"/>
        <w:spacing w:before="300" w:after="150"/>
      </w:pPr>
      <w:r>
        <w:t>2. Problématique et objectif</w:t>
      </w:r>
    </w:p>
    <w:p w:rsidR="00FF49EE" w:rsidRDefault="00000000">
      <w:pPr>
        <w:spacing w:after="120"/>
      </w:pPr>
      <w:r>
        <w:t xml:space="preserve">Ce projet s'inscrit dans le champ du « factor </w:t>
      </w:r>
      <w:proofErr w:type="spellStart"/>
      <w:r>
        <w:t>investing</w:t>
      </w:r>
      <w:proofErr w:type="spellEnd"/>
      <w:r>
        <w:t xml:space="preserve"> », une approche de la finance quantitative qui cherche à identifier des caractéristiques mesurables (les « facteurs ») capables d'expliquer, au moins en partie, les rendements futurs des actions. Le facteur étudié ici est le </w:t>
      </w:r>
      <w:proofErr w:type="spellStart"/>
      <w:r>
        <w:t>momentum</w:t>
      </w:r>
      <w:proofErr w:type="spellEnd"/>
      <w:r>
        <w:t xml:space="preserve"> : l'idée qu'une action ayant bien performé récemment aurait tendance à continuer sur sa lancée, et inversement pour une action ayant mal performé.</w:t>
      </w:r>
    </w:p>
    <w:p w:rsidR="00FF49EE" w:rsidRDefault="00000000">
      <w:pPr>
        <w:spacing w:after="120"/>
      </w:pPr>
      <w:r>
        <w:t xml:space="preserve">La question posée est précise et volontairement restreinte : le rendement d'une action sur les 6 derniers mois (le </w:t>
      </w:r>
      <w:proofErr w:type="spellStart"/>
      <w:r>
        <w:t>momentum</w:t>
      </w:r>
      <w:proofErr w:type="spellEnd"/>
      <w:r>
        <w:t>) permet-il de prédire, même partiellement, son rendement sur les 6 mois suivants ? L'objectif n'est pas de construire une stratégie de trading opérationnelle, mais de mener une démarche de data science rigoureuse, de la collecte des données jusqu'à l'évaluation honnête d'un modèle, en évitant les biais méthodologiques classiques de la finance quantitative.</w:t>
      </w:r>
    </w:p>
    <w:p w:rsidR="00FF49EE" w:rsidRDefault="00000000">
      <w:pPr>
        <w:pStyle w:val="Titre1"/>
        <w:spacing w:before="300" w:after="150"/>
      </w:pPr>
      <w:r>
        <w:t>3. Données et méthodologie</w:t>
      </w:r>
    </w:p>
    <w:p w:rsidR="00FF49EE" w:rsidRDefault="00000000">
      <w:pPr>
        <w:pStyle w:val="Titre2"/>
        <w:spacing w:before="200" w:after="100"/>
      </w:pPr>
      <w:r>
        <w:t>3.1 Univers et période</w:t>
      </w:r>
    </w:p>
    <w:p w:rsidR="00FF49EE" w:rsidRDefault="00000000">
      <w:pPr>
        <w:spacing w:after="120"/>
      </w:pPr>
      <w:r>
        <w:t xml:space="preserve">L'étude porte sur six actions du CAC 40, choisies pour représenter des secteurs variés : LVMH (luxe), L'Oréal (biens de consommation), </w:t>
      </w:r>
      <w:proofErr w:type="spellStart"/>
      <w:r>
        <w:t>TotalEnergies</w:t>
      </w:r>
      <w:proofErr w:type="spellEnd"/>
      <w:r>
        <w:t xml:space="preserve"> (énergie), Air Liquide (industrie), Sanofi (santé) et BNP Paribas (banque). Les prix de clôture quotidiens ont été récupérés via la bibliothèque Python </w:t>
      </w:r>
      <w:proofErr w:type="spellStart"/>
      <w:r>
        <w:t>yfinance</w:t>
      </w:r>
      <w:proofErr w:type="spellEnd"/>
      <w:r>
        <w:t xml:space="preserve">, sur la période du </w:t>
      </w:r>
      <w:r>
        <w:lastRenderedPageBreak/>
        <w:t>1er janvier 2019 au 1er janvier 2024, soit environ 1283 jours de cotation. Aucune valeur manquante n'a été constatée sur cette période pour les six titres.</w:t>
      </w:r>
    </w:p>
    <w:p w:rsidR="00FF49EE" w:rsidRDefault="00000000">
      <w:pPr>
        <w:pStyle w:val="Titre2"/>
        <w:spacing w:before="200" w:after="100"/>
      </w:pPr>
      <w:r>
        <w:t>3.2 Construction des variables</w:t>
      </w:r>
    </w:p>
    <w:p w:rsidR="00FF49EE" w:rsidRDefault="00000000">
      <w:pPr>
        <w:spacing w:after="120"/>
      </w:pPr>
      <w:r>
        <w:t>Deux variables ont été construites à partir des prix de clôture :</w:t>
      </w:r>
    </w:p>
    <w:p w:rsidR="00FF49EE" w:rsidRDefault="00000000">
      <w:pPr>
        <w:pStyle w:val="Paragraphedeliste"/>
        <w:numPr>
          <w:ilvl w:val="0"/>
          <w:numId w:val="2"/>
        </w:numPr>
        <w:spacing w:after="80"/>
      </w:pPr>
      <w:r>
        <w:t xml:space="preserve">Le </w:t>
      </w:r>
      <w:proofErr w:type="spellStart"/>
      <w:r>
        <w:t>momentum</w:t>
      </w:r>
      <w:proofErr w:type="spellEnd"/>
      <w:r>
        <w:t xml:space="preserve"> à 6 mois (momentum_6m) : le rendement de l'action sur les 126 derniers jours de cotation (une approximation standard de 6 mois de bourse), calculé avec la méthode </w:t>
      </w:r>
      <w:proofErr w:type="spellStart"/>
      <w:r>
        <w:t>pct_change</w:t>
      </w:r>
      <w:proofErr w:type="spellEnd"/>
      <w:r>
        <w:t xml:space="preserve"> de Pandas.</w:t>
      </w:r>
    </w:p>
    <w:p w:rsidR="00FF49EE" w:rsidRDefault="00000000">
      <w:pPr>
        <w:pStyle w:val="Paragraphedeliste"/>
        <w:numPr>
          <w:ilvl w:val="0"/>
          <w:numId w:val="2"/>
        </w:numPr>
        <w:spacing w:after="80"/>
      </w:pPr>
      <w:r>
        <w:t xml:space="preserve">Le rendement futur à 6 mois (future_return_6m) : le rendement de l'action sur les 126 jours de cotation suivants, obtenu en décalant la série de prix vers le futur (méthode </w:t>
      </w:r>
      <w:proofErr w:type="gramStart"/>
      <w:r>
        <w:t>shift(</w:t>
      </w:r>
      <w:proofErr w:type="gramEnd"/>
      <w:r>
        <w:t>-126)).</w:t>
      </w:r>
    </w:p>
    <w:p w:rsidR="00FF49EE" w:rsidRDefault="00000000">
      <w:pPr>
        <w:spacing w:after="120"/>
      </w:pPr>
      <w:r>
        <w:t>Formellement, pour une date t et un prix de clôture P :</w:t>
      </w:r>
    </w:p>
    <w:p w:rsidR="00FF49EE" w:rsidRDefault="00000000">
      <w:pPr>
        <w:shd w:val="clear" w:color="auto" w:fill="F2F2F2"/>
        <w:spacing w:before="80" w:after="120"/>
        <w:ind w:left="200"/>
      </w:pPr>
      <w:proofErr w:type="gramStart"/>
      <w:r>
        <w:rPr>
          <w:rFonts w:ascii="Consolas" w:eastAsia="Consolas" w:hAnsi="Consolas" w:cs="Consolas"/>
        </w:rPr>
        <w:t>momentum</w:t>
      </w:r>
      <w:proofErr w:type="gramEnd"/>
      <w:r>
        <w:rPr>
          <w:rFonts w:ascii="Consolas" w:eastAsia="Consolas" w:hAnsi="Consolas" w:cs="Consolas"/>
        </w:rPr>
        <w:t>_6m(t)       = (P(t) - P(t-126)) / P(t-126) * 100</w:t>
      </w:r>
    </w:p>
    <w:p w:rsidR="00FF49EE" w:rsidRDefault="00000000">
      <w:pPr>
        <w:shd w:val="clear" w:color="auto" w:fill="F2F2F2"/>
        <w:spacing w:before="80" w:after="120"/>
        <w:ind w:left="200"/>
      </w:pPr>
      <w:proofErr w:type="gramStart"/>
      <w:r>
        <w:rPr>
          <w:rFonts w:ascii="Consolas" w:eastAsia="Consolas" w:hAnsi="Consolas" w:cs="Consolas"/>
        </w:rPr>
        <w:t>future</w:t>
      </w:r>
      <w:proofErr w:type="gramEnd"/>
      <w:r>
        <w:rPr>
          <w:rFonts w:ascii="Consolas" w:eastAsia="Consolas" w:hAnsi="Consolas" w:cs="Consolas"/>
        </w:rPr>
        <w:t>_return_6m(t)  = (P(t+126) - P(t)) / P(t) * 100</w:t>
      </w:r>
    </w:p>
    <w:p w:rsidR="00FF49EE" w:rsidRDefault="00000000">
      <w:pPr>
        <w:spacing w:after="120"/>
      </w:pPr>
      <w:r>
        <w:t>Les dates trop proches du début de la période (</w:t>
      </w:r>
      <w:proofErr w:type="spellStart"/>
      <w:r>
        <w:t>momentum</w:t>
      </w:r>
      <w:proofErr w:type="spellEnd"/>
      <w:r>
        <w:t xml:space="preserve"> non calculable) ou de la fin de la période (rendement futur non encore observable) génèrent des valeurs manquantes. Ces lignes ont été supprimées plutôt que remplies par une estimation : les remplacer aurait revenu à injecter une information qui n'existait pas réellement à la date considérée, ce qu'on appelle un biais d'anticipation (look-</w:t>
      </w:r>
      <w:proofErr w:type="spellStart"/>
      <w:r>
        <w:t>ahead</w:t>
      </w:r>
      <w:proofErr w:type="spellEnd"/>
      <w:r>
        <w:t xml:space="preserve"> </w:t>
      </w:r>
      <w:proofErr w:type="spellStart"/>
      <w:r>
        <w:t>bias</w:t>
      </w:r>
      <w:proofErr w:type="spellEnd"/>
      <w:r>
        <w:t>). Après ce nettoyage, le jeu de données final compte 6186 observations (une observation par couple action / date).</w:t>
      </w:r>
    </w:p>
    <w:p w:rsidR="00FF49EE" w:rsidRDefault="00000000">
      <w:pPr>
        <w:pStyle w:val="Titre2"/>
        <w:spacing w:before="200" w:after="100"/>
      </w:pPr>
      <w:r>
        <w:t>3.3 Découpage entraînement / test</w:t>
      </w:r>
    </w:p>
    <w:p w:rsidR="00FF49EE" w:rsidRDefault="00000000">
      <w:pPr>
        <w:spacing w:after="120"/>
      </w:pPr>
      <w:r>
        <w:t>Le jeu de données a été séparé chronologiquement : les observations antérieures au 1er juillet 2022 constituent l'ensemble d'entraînement (4632 observations), celles postérieures constituent l'ensemble de test (1554 observations). Un découpage aléatoire, plus classique en Machine Learning, a été délibérément écarté ici : les fenêtres de 6 mois se chevauchant dans le temps, un tirage aléatoire aurait pu placer des observations très proches dans le temps à la fois dans l'entraînement et dans le test, ce qui aurait artificiellement avantagé le modèle lors de son évaluation.</w:t>
      </w:r>
    </w:p>
    <w:p w:rsidR="00FF49EE" w:rsidRDefault="00000000">
      <w:pPr>
        <w:pStyle w:val="Titre1"/>
        <w:spacing w:before="300" w:after="150"/>
      </w:pPr>
      <w:r>
        <w:t>4. Résultats</w:t>
      </w:r>
    </w:p>
    <w:p w:rsidR="00FF49EE" w:rsidRDefault="00000000">
      <w:pPr>
        <w:pStyle w:val="Titre2"/>
        <w:spacing w:before="200" w:after="100"/>
      </w:pPr>
      <w:r>
        <w:t xml:space="preserve">4.1 Corrélation entre </w:t>
      </w:r>
      <w:proofErr w:type="spellStart"/>
      <w:r>
        <w:t>momentum</w:t>
      </w:r>
      <w:proofErr w:type="spellEnd"/>
      <w:r>
        <w:t xml:space="preserve"> et rendement futur</w:t>
      </w:r>
    </w:p>
    <w:p w:rsidR="00FF49EE" w:rsidRDefault="00000000">
      <w:pPr>
        <w:spacing w:after="120"/>
      </w:pPr>
      <w:r>
        <w:t>Le coefficient de corrélation de Pearson entre momentum_6m et future_return_6m, calculé sur l'ensemble des 6186 observations, est de -0,18. Ce résultat appelle deux remarques. D'une part, le signe négatif indique que les actions ayant le plus progressé récemment ont ensuite tendance à moins bien performer que les autres, ce qui correspond à un effet de retour à la moyenne (</w:t>
      </w:r>
      <w:proofErr w:type="spellStart"/>
      <w:r>
        <w:t>mean</w:t>
      </w:r>
      <w:proofErr w:type="spellEnd"/>
      <w:r>
        <w:t xml:space="preserve"> </w:t>
      </w:r>
      <w:proofErr w:type="spellStart"/>
      <w:r>
        <w:t>reversion</w:t>
      </w:r>
      <w:proofErr w:type="spellEnd"/>
      <w:r>
        <w:t xml:space="preserve">) plutôt qu'à un effet de </w:t>
      </w:r>
      <w:proofErr w:type="spellStart"/>
      <w:r>
        <w:t>momentum</w:t>
      </w:r>
      <w:proofErr w:type="spellEnd"/>
      <w:r>
        <w:t xml:space="preserve"> au sens classique. D'autre part, si la valeur absolue (0,18) reste modeste, elle n'est pas négligeable dans le contexte de la finance de marché, où les corrélations « fortes » (au-delà de 0,5) sont rarissimes sur des séries de rendements.</w:t>
      </w:r>
    </w:p>
    <w:p w:rsidR="00FF49EE" w:rsidRDefault="00000000">
      <w:pPr>
        <w:pStyle w:val="Titre2"/>
        <w:spacing w:before="200" w:after="100"/>
      </w:pPr>
      <w:r>
        <w:t xml:space="preserve">4.2 Analyse en </w:t>
      </w:r>
      <w:proofErr w:type="spellStart"/>
      <w:r>
        <w:t>tertiles</w:t>
      </w:r>
      <w:proofErr w:type="spellEnd"/>
    </w:p>
    <w:p w:rsidR="00FF49EE" w:rsidRDefault="00000000">
      <w:pPr>
        <w:spacing w:after="120"/>
      </w:pPr>
      <w:r>
        <w:t>Afin de disposer d'une mesure plus robuste et plus interprétable qu'un simple coefficient de corrélation, les six actions ont été classées, à chaque date, en trois groupes de taille égale (</w:t>
      </w:r>
      <w:proofErr w:type="spellStart"/>
      <w:r>
        <w:t>tertiles</w:t>
      </w:r>
      <w:proofErr w:type="spellEnd"/>
      <w:r>
        <w:t xml:space="preserve">) selon leur </w:t>
      </w:r>
      <w:proofErr w:type="spellStart"/>
      <w:r>
        <w:t>momentum</w:t>
      </w:r>
      <w:proofErr w:type="spellEnd"/>
      <w:r>
        <w:t xml:space="preserve"> : « faible », « moyen » et « fort ». Le rendement futur moyen a ensuite été calculé pour chaque groupe.</w:t>
      </w:r>
    </w:p>
    <w:p w:rsidR="00FF49EE" w:rsidRDefault="00000000">
      <w:pPr>
        <w:spacing w:after="120"/>
      </w:pPr>
      <w:r>
        <w:t xml:space="preserve">Les résultats obtenus sont cohérents avec la corrélation négative observée précédemment : le </w:t>
      </w:r>
      <w:proofErr w:type="spellStart"/>
      <w:r>
        <w:t>tertile</w:t>
      </w:r>
      <w:proofErr w:type="spellEnd"/>
      <w:r>
        <w:t xml:space="preserve"> « faible </w:t>
      </w:r>
      <w:proofErr w:type="spellStart"/>
      <w:r>
        <w:t>momentum</w:t>
      </w:r>
      <w:proofErr w:type="spellEnd"/>
      <w:r>
        <w:t xml:space="preserve"> » affiche un rendement futur moyen de 9,46 %, contre 8,62 % pour le </w:t>
      </w:r>
      <w:proofErr w:type="spellStart"/>
      <w:r>
        <w:t>tertile</w:t>
      </w:r>
      <w:proofErr w:type="spellEnd"/>
      <w:r>
        <w:t xml:space="preserve"> « moyen » et seulement 5,18 % pour le </w:t>
      </w:r>
      <w:proofErr w:type="spellStart"/>
      <w:r>
        <w:t>tertile</w:t>
      </w:r>
      <w:proofErr w:type="spellEnd"/>
      <w:r>
        <w:t xml:space="preserve"> « fort </w:t>
      </w:r>
      <w:proofErr w:type="spellStart"/>
      <w:r>
        <w:t>momentum</w:t>
      </w:r>
      <w:proofErr w:type="spellEnd"/>
      <w:r>
        <w:t xml:space="preserve"> ». Cette décroissance progressive et régulière (et non chaotique) renforce la crédibilité du signal détecté.</w:t>
      </w:r>
    </w:p>
    <w:p w:rsidR="00FF49EE" w:rsidRDefault="00000000">
      <w:pPr>
        <w:pStyle w:val="Titre2"/>
        <w:spacing w:before="200" w:after="100"/>
      </w:pPr>
      <w:r>
        <w:t>4.3 Test statistique et sa limite méthodologique</w:t>
      </w:r>
    </w:p>
    <w:p w:rsidR="00FF49EE" w:rsidRDefault="00000000">
      <w:pPr>
        <w:spacing w:after="120"/>
      </w:pPr>
      <w:r>
        <w:t xml:space="preserve">Un test t a été mené pour comparer les rendements futurs moyens des </w:t>
      </w:r>
      <w:proofErr w:type="spellStart"/>
      <w:r>
        <w:t>tertiles</w:t>
      </w:r>
      <w:proofErr w:type="spellEnd"/>
      <w:r>
        <w:t xml:space="preserve"> « faible » et « fort » </w:t>
      </w:r>
      <w:proofErr w:type="spellStart"/>
      <w:r>
        <w:t>momentum</w:t>
      </w:r>
      <w:proofErr w:type="spellEnd"/>
      <w:r>
        <w:t>. Le résultat (t = 8,20 ; p ≈ 3×10⁻¹⁶) suggère, en apparence, une différence extrêmement significative.</w:t>
      </w:r>
    </w:p>
    <w:p w:rsidR="00FF49EE" w:rsidRDefault="00000000">
      <w:pPr>
        <w:spacing w:after="120"/>
      </w:pPr>
      <w:r>
        <w:t xml:space="preserve">Ce résultat doit toutefois être interprété avec une grande prudence méthodologique. Le test t standard suppose que les observations comparées sont indépendantes les unes des autres. Or ce n'est pas le cas ici, pour deux raisons : premièrement, un même choc de marché (par exemple le krach lié à la pandémie de Covid-19 en 2020) affecte simultanément les six actions étudiées, si bien qu'un seul événement se retrouve compté six fois dans </w:t>
      </w:r>
      <w:r>
        <w:lastRenderedPageBreak/>
        <w:t xml:space="preserve">l'échantillon ; deuxièmement, deux fenêtres de 6 mois qui se chevauchent partagent en grande partie les mêmes jours de cotation, et ne constituent donc pas deux observations réellement distinctes. Le test t utilisé ici traite ainsi les 6186 lignes comme autant d'événements indépendants, alors que le nombre d'événements de </w:t>
      </w:r>
      <w:proofErr w:type="gramStart"/>
      <w:r>
        <w:t>marché réellement indépendants</w:t>
      </w:r>
      <w:proofErr w:type="gramEnd"/>
      <w:r>
        <w:t xml:space="preserve"> est bien plus faible. La p-value obtenue est par conséquent probablement optimiste, et ne doit pas être présentée comme une preuve statistique définitive, même si la tendance qu'elle confirme (décroissance du rendement futur avec le </w:t>
      </w:r>
      <w:proofErr w:type="spellStart"/>
      <w:r>
        <w:t>momentum</w:t>
      </w:r>
      <w:proofErr w:type="spellEnd"/>
      <w:r>
        <w:t>) reste, elle, cohérente et documentée dans la littérature académique sur le sujet.</w:t>
      </w:r>
    </w:p>
    <w:p w:rsidR="00FF49EE" w:rsidRDefault="00000000">
      <w:pPr>
        <w:pStyle w:val="Titre2"/>
        <w:spacing w:before="200" w:after="100"/>
      </w:pPr>
      <w:r>
        <w:t>4.4 Modélisation par régression linéaire</w:t>
      </w:r>
    </w:p>
    <w:p w:rsidR="00FF49EE" w:rsidRDefault="00000000">
      <w:pPr>
        <w:spacing w:after="120"/>
      </w:pPr>
      <w:r>
        <w:t>Afin de dépasser la simple comparaison de groupes, une régression linéaire simple a été entraînée sur l'ensemble d'entraînement, avec momentum_6m comme unique variable explicative et future_return_6m comme variable à expliquer. Le modèle obtenu s'écrit :</w:t>
      </w:r>
    </w:p>
    <w:p w:rsidR="00FF49EE" w:rsidRDefault="00000000">
      <w:pPr>
        <w:shd w:val="clear" w:color="auto" w:fill="F2F2F2"/>
        <w:spacing w:before="80" w:after="120"/>
        <w:ind w:left="200"/>
      </w:pPr>
      <w:proofErr w:type="gramStart"/>
      <w:r>
        <w:rPr>
          <w:rFonts w:ascii="Consolas" w:eastAsia="Consolas" w:hAnsi="Consolas" w:cs="Consolas"/>
        </w:rPr>
        <w:t>rendement</w:t>
      </w:r>
      <w:proofErr w:type="gramEnd"/>
      <w:r>
        <w:rPr>
          <w:rFonts w:ascii="Consolas" w:eastAsia="Consolas" w:hAnsi="Consolas" w:cs="Consolas"/>
        </w:rPr>
        <w:t xml:space="preserve"> futur prédit = 7,53 - 0,093 x momentum_6m</w:t>
      </w:r>
    </w:p>
    <w:p w:rsidR="00FF49EE" w:rsidRDefault="00000000">
      <w:pPr>
        <w:spacing w:after="120"/>
      </w:pPr>
      <w:r>
        <w:t xml:space="preserve">Le coefficient négatif (-0,093) confirme, sous une troisième forme, l'effet de retour à la moyenne déjà identifié par la corrélation et l'analyse en </w:t>
      </w:r>
      <w:proofErr w:type="spellStart"/>
      <w:r>
        <w:t>tertiles</w:t>
      </w:r>
      <w:proofErr w:type="spellEnd"/>
      <w:r>
        <w:t xml:space="preserve">. À titre d'exemple, pour une action affichant un </w:t>
      </w:r>
      <w:proofErr w:type="spellStart"/>
      <w:r>
        <w:t>momentum</w:t>
      </w:r>
      <w:proofErr w:type="spellEnd"/>
      <w:r>
        <w:t xml:space="preserve"> de +50 % sur les 6 derniers mois, le modèle prédit un rendement futur d'environ 2,88 %, contre 7,53 % pour une action dont le </w:t>
      </w:r>
      <w:proofErr w:type="spellStart"/>
      <w:r>
        <w:t>momentum</w:t>
      </w:r>
      <w:proofErr w:type="spellEnd"/>
      <w:r>
        <w:t xml:space="preserve"> serait nul.</w:t>
      </w:r>
    </w:p>
    <w:p w:rsidR="00FF49EE" w:rsidRDefault="00000000">
      <w:pPr>
        <w:spacing w:after="120"/>
      </w:pPr>
      <w:r>
        <w:t xml:space="preserve">Évalué sur l'ensemble de test (les 1554 observations postérieures à juillet 2022, jamais utilisées pour l'entraînement), le modèle affiche un coefficient de détermination (R²) de 0,019 et une erreur absolue moyenne (MAE) de 10,28 points de pourcentage. Le R² très faible ne doit pas être interprété comme un échec du modèle : les rendements financiers sont dominés par un grand nombre de facteurs imprévisibles (actualité macroéconomique, décisions de politique monétaire, résultats d'entreprises, sentiment de marché), et le </w:t>
      </w:r>
      <w:proofErr w:type="spellStart"/>
      <w:r>
        <w:t>momentum</w:t>
      </w:r>
      <w:proofErr w:type="spellEnd"/>
      <w:r>
        <w:t xml:space="preserve"> n'en constitue qu'un parmi des centaines. Un R² élevé sur ce type de problème serait, à l'inverse, un signal probable de biais méthodologique (par exemple un biais d'anticipation non détecté) plutôt que la preuve d'un bon modèle.</w:t>
      </w:r>
    </w:p>
    <w:p w:rsidR="00FF49EE" w:rsidRDefault="00000000">
      <w:pPr>
        <w:pStyle w:val="Titre2"/>
        <w:spacing w:before="200" w:after="100"/>
      </w:pPr>
      <w:r>
        <w:t>4.5 Tableau récapitulatif des résultats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00"/>
      </w:tblGrid>
      <w:tr w:rsidR="00FF49EE">
        <w:tblPrEx>
          <w:tblCellMar>
            <w:top w:w="0" w:type="dxa"/>
            <w:bottom w:w="0" w:type="dxa"/>
          </w:tblCellMar>
        </w:tblPrEx>
        <w:tc>
          <w:tcPr>
            <w:tcW w:w="2600" w:type="dxa"/>
            <w:shd w:val="clear" w:color="auto" w:fill="D9E2F3"/>
          </w:tcPr>
          <w:p w:rsidR="00FF49EE" w:rsidRDefault="00000000">
            <w:r>
              <w:rPr>
                <w:b/>
                <w:bCs/>
              </w:rPr>
              <w:t>Analyse</w:t>
            </w:r>
          </w:p>
        </w:tc>
        <w:tc>
          <w:tcPr>
            <w:tcW w:w="2200" w:type="dxa"/>
            <w:shd w:val="clear" w:color="auto" w:fill="D9E2F3"/>
          </w:tcPr>
          <w:p w:rsidR="00FF49EE" w:rsidRDefault="00000000">
            <w:r>
              <w:rPr>
                <w:b/>
                <w:bCs/>
              </w:rPr>
              <w:t>Résultat chiffré</w:t>
            </w:r>
          </w:p>
        </w:tc>
        <w:tc>
          <w:tcPr>
            <w:tcW w:w="4200" w:type="dxa"/>
            <w:shd w:val="clear" w:color="auto" w:fill="D9E2F3"/>
          </w:tcPr>
          <w:p w:rsidR="00FF49EE" w:rsidRDefault="00000000">
            <w:r>
              <w:rPr>
                <w:b/>
                <w:bCs/>
              </w:rPr>
              <w:t>Interprétation</w:t>
            </w:r>
          </w:p>
        </w:tc>
      </w:tr>
      <w:tr w:rsidR="00FF49EE">
        <w:tblPrEx>
          <w:tblCellMar>
            <w:top w:w="0" w:type="dxa"/>
            <w:bottom w:w="0" w:type="dxa"/>
          </w:tblCellMar>
        </w:tblPrEx>
        <w:tc>
          <w:tcPr>
            <w:tcW w:w="2600" w:type="dxa"/>
          </w:tcPr>
          <w:p w:rsidR="00FF49EE" w:rsidRDefault="00000000">
            <w:r>
              <w:t xml:space="preserve">Corrélation </w:t>
            </w:r>
            <w:proofErr w:type="spellStart"/>
            <w:r>
              <w:t>momentum</w:t>
            </w:r>
            <w:proofErr w:type="spellEnd"/>
            <w:r>
              <w:t xml:space="preserve"> / rendement futur</w:t>
            </w:r>
          </w:p>
        </w:tc>
        <w:tc>
          <w:tcPr>
            <w:tcW w:w="2200" w:type="dxa"/>
          </w:tcPr>
          <w:p w:rsidR="00FF49EE" w:rsidRDefault="00000000">
            <w:r>
              <w:t>-0,18</w:t>
            </w:r>
          </w:p>
        </w:tc>
        <w:tc>
          <w:tcPr>
            <w:tcW w:w="4200" w:type="dxa"/>
          </w:tcPr>
          <w:p w:rsidR="00FF49EE" w:rsidRDefault="00000000">
            <w:r>
              <w:t xml:space="preserve">Lien faible mais négatif : signe d'un effet de retour à la moyenne plutôt que de </w:t>
            </w:r>
            <w:proofErr w:type="spellStart"/>
            <w:r>
              <w:t>momentum</w:t>
            </w:r>
            <w:proofErr w:type="spellEnd"/>
            <w:r>
              <w:t xml:space="preserve"> classique.</w:t>
            </w:r>
          </w:p>
        </w:tc>
      </w:tr>
      <w:tr w:rsidR="00FF49EE">
        <w:tblPrEx>
          <w:tblCellMar>
            <w:top w:w="0" w:type="dxa"/>
            <w:bottom w:w="0" w:type="dxa"/>
          </w:tblCellMar>
        </w:tblPrEx>
        <w:tc>
          <w:tcPr>
            <w:tcW w:w="2600" w:type="dxa"/>
          </w:tcPr>
          <w:p w:rsidR="00FF49EE" w:rsidRDefault="00000000">
            <w:r>
              <w:t xml:space="preserve">Rendement futur moyen par </w:t>
            </w:r>
            <w:proofErr w:type="spellStart"/>
            <w:r>
              <w:t>tertile</w:t>
            </w:r>
            <w:proofErr w:type="spellEnd"/>
            <w:r>
              <w:t xml:space="preserve"> de </w:t>
            </w:r>
            <w:proofErr w:type="spellStart"/>
            <w:r>
              <w:t>momentum</w:t>
            </w:r>
            <w:proofErr w:type="spellEnd"/>
          </w:p>
        </w:tc>
        <w:tc>
          <w:tcPr>
            <w:tcW w:w="2200" w:type="dxa"/>
          </w:tcPr>
          <w:p w:rsidR="00FF49EE" w:rsidRDefault="00000000">
            <w:r>
              <w:t>Faible : 9,46 %</w:t>
            </w:r>
          </w:p>
          <w:p w:rsidR="00FF49EE" w:rsidRDefault="00000000">
            <w:r>
              <w:t>Moyen : 8,62 %</w:t>
            </w:r>
          </w:p>
          <w:p w:rsidR="00FF49EE" w:rsidRDefault="00000000">
            <w:r>
              <w:t>Fort : 5,18 %</w:t>
            </w:r>
          </w:p>
        </w:tc>
        <w:tc>
          <w:tcPr>
            <w:tcW w:w="4200" w:type="dxa"/>
          </w:tcPr>
          <w:p w:rsidR="00FF49EE" w:rsidRDefault="00000000">
            <w:r>
              <w:t xml:space="preserve">Décroissance régulière du rendement futur avec le </w:t>
            </w:r>
            <w:proofErr w:type="spellStart"/>
            <w:r>
              <w:t>momentum</w:t>
            </w:r>
            <w:proofErr w:type="spellEnd"/>
            <w:r>
              <w:t xml:space="preserve"> passé : confirme et affine le résultat de la corrélation.</w:t>
            </w:r>
          </w:p>
        </w:tc>
      </w:tr>
      <w:tr w:rsidR="00FF49EE">
        <w:tblPrEx>
          <w:tblCellMar>
            <w:top w:w="0" w:type="dxa"/>
            <w:bottom w:w="0" w:type="dxa"/>
          </w:tblCellMar>
        </w:tblPrEx>
        <w:tc>
          <w:tcPr>
            <w:tcW w:w="2600" w:type="dxa"/>
          </w:tcPr>
          <w:p w:rsidR="00FF49EE" w:rsidRDefault="00000000">
            <w:r>
              <w:t>Test t (</w:t>
            </w:r>
            <w:proofErr w:type="spellStart"/>
            <w:r>
              <w:t>tertile</w:t>
            </w:r>
            <w:proofErr w:type="spellEnd"/>
            <w:r>
              <w:t xml:space="preserve"> faible vs </w:t>
            </w:r>
            <w:proofErr w:type="spellStart"/>
            <w:r>
              <w:t>tertile</w:t>
            </w:r>
            <w:proofErr w:type="spellEnd"/>
            <w:r>
              <w:t xml:space="preserve"> fort)</w:t>
            </w:r>
          </w:p>
        </w:tc>
        <w:tc>
          <w:tcPr>
            <w:tcW w:w="2200" w:type="dxa"/>
          </w:tcPr>
          <w:p w:rsidR="00FF49EE" w:rsidRDefault="00000000">
            <w:proofErr w:type="gramStart"/>
            <w:r>
              <w:t>t</w:t>
            </w:r>
            <w:proofErr w:type="gramEnd"/>
            <w:r>
              <w:t xml:space="preserve"> = 8,20</w:t>
            </w:r>
          </w:p>
          <w:p w:rsidR="00FF49EE" w:rsidRDefault="00000000">
            <w:proofErr w:type="gramStart"/>
            <w:r>
              <w:t>p</w:t>
            </w:r>
            <w:proofErr w:type="gramEnd"/>
            <w:r>
              <w:t xml:space="preserve"> ≈ 3×10⁻¹⁶</w:t>
            </w:r>
          </w:p>
        </w:tc>
        <w:tc>
          <w:tcPr>
            <w:tcW w:w="4200" w:type="dxa"/>
          </w:tcPr>
          <w:p w:rsidR="00FF49EE" w:rsidRDefault="00000000">
            <w:r>
              <w:t>Significatif en apparence, mais la p-value est probablement optimiste : les observations ne sont pas indépendantes (voir limites).</w:t>
            </w:r>
          </w:p>
        </w:tc>
      </w:tr>
      <w:tr w:rsidR="00FF49EE">
        <w:tblPrEx>
          <w:tblCellMar>
            <w:top w:w="0" w:type="dxa"/>
            <w:bottom w:w="0" w:type="dxa"/>
          </w:tblCellMar>
        </w:tblPrEx>
        <w:tc>
          <w:tcPr>
            <w:tcW w:w="2600" w:type="dxa"/>
          </w:tcPr>
          <w:p w:rsidR="00FF49EE" w:rsidRDefault="00000000">
            <w:r>
              <w:t>Régression linéaire (test set)</w:t>
            </w:r>
          </w:p>
        </w:tc>
        <w:tc>
          <w:tcPr>
            <w:tcW w:w="2200" w:type="dxa"/>
          </w:tcPr>
          <w:p w:rsidR="00FF49EE" w:rsidRDefault="00000000">
            <w:r>
              <w:t>Coefficient : -0,093</w:t>
            </w:r>
          </w:p>
          <w:p w:rsidR="00FF49EE" w:rsidRDefault="00000000">
            <w:r>
              <w:t>R² : 0,019</w:t>
            </w:r>
          </w:p>
          <w:p w:rsidR="00FF49EE" w:rsidRDefault="00000000">
            <w:r>
              <w:t>MAE : 10,28</w:t>
            </w:r>
          </w:p>
        </w:tc>
        <w:tc>
          <w:tcPr>
            <w:tcW w:w="4200" w:type="dxa"/>
          </w:tcPr>
          <w:p w:rsidR="00FF49EE" w:rsidRDefault="00000000">
            <w:r>
              <w:t>Coefficient négatif cohérent avec le reste. R² faible mais attendu en finance (les rendements sont dominés par du bruit imprévisible). MAE indique une erreur moyenne d'environ 10 points de pourcentage.</w:t>
            </w:r>
          </w:p>
        </w:tc>
      </w:tr>
      <w:tr w:rsidR="00FF49EE">
        <w:tblPrEx>
          <w:tblCellMar>
            <w:top w:w="0" w:type="dxa"/>
            <w:bottom w:w="0" w:type="dxa"/>
          </w:tblCellMar>
        </w:tblPrEx>
        <w:tc>
          <w:tcPr>
            <w:tcW w:w="2600" w:type="dxa"/>
          </w:tcPr>
          <w:p w:rsidR="00FF49EE" w:rsidRDefault="00000000">
            <w:r>
              <w:t>Baseline naïve (moyenne) vs modèle</w:t>
            </w:r>
          </w:p>
        </w:tc>
        <w:tc>
          <w:tcPr>
            <w:tcW w:w="2200" w:type="dxa"/>
          </w:tcPr>
          <w:p w:rsidR="00FF49EE" w:rsidRDefault="00000000">
            <w:r>
              <w:t xml:space="preserve">MAE </w:t>
            </w:r>
            <w:proofErr w:type="spellStart"/>
            <w:r>
              <w:t>baseline</w:t>
            </w:r>
            <w:proofErr w:type="spellEnd"/>
            <w:r>
              <w:t xml:space="preserve"> : 10,95</w:t>
            </w:r>
          </w:p>
          <w:p w:rsidR="00FF49EE" w:rsidRDefault="00000000">
            <w:r>
              <w:t>MAE modèle : 10,28</w:t>
            </w:r>
          </w:p>
        </w:tc>
        <w:tc>
          <w:tcPr>
            <w:tcW w:w="4200" w:type="dxa"/>
          </w:tcPr>
          <w:p w:rsidR="00FF49EE" w:rsidRDefault="00000000">
            <w:r>
              <w:t xml:space="preserve">Le modèle réduit l'erreur d'environ 6 % par rapport à une prédiction naïve : le </w:t>
            </w:r>
            <w:proofErr w:type="spellStart"/>
            <w:r>
              <w:t>momentum</w:t>
            </w:r>
            <w:proofErr w:type="spellEnd"/>
            <w:r>
              <w:t xml:space="preserve"> apporte un signal réel, quoique modeste.</w:t>
            </w:r>
          </w:p>
        </w:tc>
      </w:tr>
    </w:tbl>
    <w:p w:rsidR="00FF49EE" w:rsidRDefault="00FF49EE">
      <w:pPr>
        <w:spacing w:after="200"/>
      </w:pPr>
    </w:p>
    <w:p w:rsidR="00FF49EE" w:rsidRDefault="00000000">
      <w:pPr>
        <w:pStyle w:val="Titre2"/>
        <w:spacing w:before="200" w:after="100"/>
      </w:pPr>
      <w:r>
        <w:t xml:space="preserve">4.6 Comparaison à une </w:t>
      </w:r>
      <w:proofErr w:type="spellStart"/>
      <w:r>
        <w:t>baseline</w:t>
      </w:r>
      <w:proofErr w:type="spellEnd"/>
      <w:r>
        <w:t xml:space="preserve"> naïve</w:t>
      </w:r>
    </w:p>
    <w:p w:rsidR="00FF49EE" w:rsidRDefault="00000000">
      <w:pPr>
        <w:spacing w:after="120"/>
      </w:pPr>
      <w:r>
        <w:t xml:space="preserve">Un R² ou une MAE ne sont réellement interprétables que comparés à une référence. Une </w:t>
      </w:r>
      <w:proofErr w:type="spellStart"/>
      <w:r>
        <w:t>baseline</w:t>
      </w:r>
      <w:proofErr w:type="spellEnd"/>
      <w:r>
        <w:t xml:space="preserve"> naïve a donc été construite : elle prédit systématiquement, pour chaque observation du test, la moyenne du rendement futur observée sur l'ensemble d'entraînement, sans utiliser l'information de </w:t>
      </w:r>
      <w:proofErr w:type="spellStart"/>
      <w:r>
        <w:t>momentum</w:t>
      </w:r>
      <w:proofErr w:type="spellEnd"/>
      <w:r>
        <w:t>.</w:t>
      </w:r>
    </w:p>
    <w:p w:rsidR="00FF49EE" w:rsidRDefault="00000000">
      <w:pPr>
        <w:spacing w:after="120"/>
      </w:pPr>
      <w:r>
        <w:t xml:space="preserve">Cette </w:t>
      </w:r>
      <w:proofErr w:type="spellStart"/>
      <w:r>
        <w:t>baseline</w:t>
      </w:r>
      <w:proofErr w:type="spellEnd"/>
      <w:r>
        <w:t xml:space="preserve"> obtient une MAE de 10,95 points de pourcentage sur le test, contre 10,28 pour le modèle de régression fondé sur le </w:t>
      </w:r>
      <w:proofErr w:type="spellStart"/>
      <w:r>
        <w:t>momentum</w:t>
      </w:r>
      <w:proofErr w:type="spellEnd"/>
      <w:r>
        <w:t xml:space="preserve">, soit une réduction de l'erreur d'environ 0,67 point (environ 6 %). Cette amélioration, bien que modeste, confirme que le </w:t>
      </w:r>
      <w:proofErr w:type="spellStart"/>
      <w:r>
        <w:t>momentum</w:t>
      </w:r>
      <w:proofErr w:type="spellEnd"/>
      <w:r>
        <w:t xml:space="preserve"> apporte une information réellement exploitable, et non un signal illusoire : le modèle fait mieux qu'une prédiction ignorant totalement le </w:t>
      </w:r>
      <w:proofErr w:type="spellStart"/>
      <w:r>
        <w:t>momentum</w:t>
      </w:r>
      <w:proofErr w:type="spellEnd"/>
      <w:r>
        <w:t>, ce qui est le test le plus basique mais le plus important à effectuer avant de tirer une quelconque conclusion sur l'utilité d'une variable prédictive.</w:t>
      </w:r>
    </w:p>
    <w:p w:rsidR="00FF49EE" w:rsidRDefault="00000000">
      <w:pPr>
        <w:pStyle w:val="Titre1"/>
        <w:spacing w:before="300" w:after="150"/>
      </w:pPr>
      <w:r>
        <w:lastRenderedPageBreak/>
        <w:t>5. Renforcement méthodologique : élargissement du panier d'actions</w:t>
      </w:r>
    </w:p>
    <w:p w:rsidR="00FF49EE" w:rsidRDefault="00000000">
      <w:pPr>
        <w:spacing w:after="120"/>
      </w:pPr>
      <w:r>
        <w:t>Les résultats des sections précédentes reposent sur un échantillon volontairement restreint à six actions, choisi pour faciliter l'apprentissage progressif de la méthodologie. Afin de vérifier la robustesse des conclusions, l'ensemble de l'analyse a été reproduite à l'identique sur un panier élargi de vingt actions du CAC 40, couvrant des secteurs plus variés (luxe, énergie, banque, technologie, biens de consommation, industrie, télécommunications). Cet élargissement porte le jeu de données à 20620 observations, sans valeur manquante.</w:t>
      </w:r>
    </w:p>
    <w:p w:rsidR="00FF49EE" w:rsidRDefault="00000000">
      <w:pPr>
        <w:pStyle w:val="Titre2"/>
        <w:spacing w:before="200" w:after="100"/>
      </w:pPr>
      <w:r>
        <w:t>5.1 Corrélation sur le panier élargi</w:t>
      </w:r>
    </w:p>
    <w:p w:rsidR="00FF49EE" w:rsidRDefault="00000000">
      <w:pPr>
        <w:spacing w:after="120"/>
      </w:pPr>
      <w:r>
        <w:t>La corrélation entre momentum_6m et future_return_6m sur ce panier élargi s'établit à -0,053, contre -0,18 sur le panier restreint à six actions. Le signe négatif se confirme, mais l'intensité de la corrélation apparente est nettement plus faible. Cette réduction s'explique par un effet de diversification : sur un petit échantillon, les trajectoires de quelques titres aux comportements similaires peuvent dominer le calcul global ; un panier plus large et plus diversifié sectoriellement neutralise davantage ces effets idiosyncratiques et fait apparaître un signal plus proche de la réalité du marché, quoique plus modeste.</w:t>
      </w:r>
    </w:p>
    <w:p w:rsidR="00FF49EE" w:rsidRDefault="00000000">
      <w:pPr>
        <w:pStyle w:val="Titre2"/>
        <w:spacing w:before="200" w:after="100"/>
      </w:pPr>
      <w:r>
        <w:t>5.2 Analyse en quintiles</w:t>
      </w:r>
    </w:p>
    <w:p w:rsidR="00FF49EE" w:rsidRDefault="00000000">
      <w:pPr>
        <w:spacing w:after="120"/>
      </w:pPr>
      <w:r>
        <w:t xml:space="preserve">La taille de l'échantillon élargi permet de raffiner l'analyse en cinq groupes (quintiles) plutôt que trois, conformément à la pratique standard en factor </w:t>
      </w:r>
      <w:proofErr w:type="spellStart"/>
      <w:r>
        <w:t>investing</w:t>
      </w:r>
      <w:proofErr w:type="spellEnd"/>
      <w:r>
        <w:t>. Les rendements futurs moyens obtenus sont les suivants : Q1 (</w:t>
      </w:r>
      <w:proofErr w:type="spellStart"/>
      <w:r>
        <w:t>momentum</w:t>
      </w:r>
      <w:proofErr w:type="spellEnd"/>
      <w:r>
        <w:t xml:space="preserve"> le plus faible) 10,00 %, Q2 8,66 %, Q3 6,74 %, Q4 7,83 %, Q5 (</w:t>
      </w:r>
      <w:proofErr w:type="spellStart"/>
      <w:r>
        <w:t>momentum</w:t>
      </w:r>
      <w:proofErr w:type="spellEnd"/>
      <w:r>
        <w:t xml:space="preserve"> le plus fort) 5,22 %.</w:t>
      </w:r>
    </w:p>
    <w:p w:rsidR="00FF49EE" w:rsidRDefault="00000000">
      <w:pPr>
        <w:spacing w:after="120"/>
      </w:pPr>
      <w:r>
        <w:t xml:space="preserve">La tendance générale reste décroissante entre les extrêmes (écart de 4,78 points entre Q1 et Q5, comparable à celui observé avec les </w:t>
      </w:r>
      <w:proofErr w:type="spellStart"/>
      <w:r>
        <w:t>tertiles</w:t>
      </w:r>
      <w:proofErr w:type="spellEnd"/>
      <w:r>
        <w:t xml:space="preserve"> sur six actions), mais la progression n'est plus parfaitement monotone : le quintile Q4 affiche un rendement futur légèrement supérieur à Q3. Cette irrégularité locale est attendue statistiquement lorsque le nombre de groupes augmente (chaque quintile contenant moins d'observations que les </w:t>
      </w:r>
      <w:proofErr w:type="spellStart"/>
      <w:r>
        <w:t>tertiles</w:t>
      </w:r>
      <w:proofErr w:type="spellEnd"/>
      <w:r>
        <w:t xml:space="preserve"> précédents, la variabilité y est mécaniquement plus élevée) et ne remet pas en cause la tendance d'ensemble, qui doit néanmoins être présentée avec cette nuance plutôt que d'être lissée artificiellement.</w:t>
      </w:r>
    </w:p>
    <w:p w:rsidR="00FF49EE" w:rsidRDefault="00000000">
      <w:pPr>
        <w:spacing w:before="100" w:after="80"/>
        <w:jc w:val="center"/>
      </w:pPr>
      <w:r>
        <w:rPr>
          <w:noProof/>
        </w:rPr>
        <w:drawing>
          <wp:inline distT="0" distB="0" distL="0" distR="0">
            <wp:extent cx="4572000" cy="2667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67000"/>
                    </a:xfrm>
                    <a:prstGeom prst="rect">
                      <a:avLst/>
                    </a:prstGeom>
                  </pic:spPr>
                </pic:pic>
              </a:graphicData>
            </a:graphic>
          </wp:inline>
        </w:drawing>
      </w:r>
    </w:p>
    <w:p w:rsidR="00FF49EE" w:rsidRDefault="00000000">
      <w:pPr>
        <w:spacing w:after="200"/>
        <w:jc w:val="center"/>
      </w:pPr>
      <w:r>
        <w:rPr>
          <w:i/>
          <w:iCs/>
          <w:color w:val="5A5A5A"/>
          <w:sz w:val="18"/>
          <w:szCs w:val="18"/>
        </w:rPr>
        <w:t xml:space="preserve">Rendement futur moyen à 6 mois par quintile de </w:t>
      </w:r>
      <w:proofErr w:type="spellStart"/>
      <w:r>
        <w:rPr>
          <w:i/>
          <w:iCs/>
          <w:color w:val="5A5A5A"/>
          <w:sz w:val="18"/>
          <w:szCs w:val="18"/>
        </w:rPr>
        <w:t>momentum</w:t>
      </w:r>
      <w:proofErr w:type="spellEnd"/>
      <w:r>
        <w:rPr>
          <w:i/>
          <w:iCs/>
          <w:color w:val="5A5A5A"/>
          <w:sz w:val="18"/>
          <w:szCs w:val="18"/>
        </w:rPr>
        <w:t>, panier de 20 actions.</w:t>
      </w:r>
    </w:p>
    <w:p w:rsidR="00FF49EE" w:rsidRDefault="00000000">
      <w:pPr>
        <w:pStyle w:val="Titre2"/>
        <w:spacing w:before="200" w:after="100"/>
      </w:pPr>
      <w:r>
        <w:t>5.3 Régression linéaire sur le panier élargi</w:t>
      </w:r>
    </w:p>
    <w:p w:rsidR="00FF49EE" w:rsidRDefault="00000000">
      <w:pPr>
        <w:spacing w:after="120"/>
      </w:pPr>
      <w:r>
        <w:t>Le modèle de régression réentraîné sur ce panier élargi, avec le même découpage chronologique (entraînement avant juillet 2022, test après), donne un coefficient de -0,021 (contre -0,093 sur six actions), confirmant l'affaiblissement progressif du signal apparent à mesure que l'échantillon s'élargit et se diversifie.</w:t>
      </w:r>
    </w:p>
    <w:p w:rsidR="00FF49EE" w:rsidRDefault="00000000">
      <w:pPr>
        <w:spacing w:after="120"/>
      </w:pPr>
      <w:r>
        <w:t xml:space="preserve">L'évaluation sur le test fait apparaître un résultat qui mérite d'être commenté avec précision : le R² est négatif (-0,028), ce qui signifierait, pris isolément, que le modèle fait moins bien qu'une prédiction naïve constante. Pourtant, la MAE du modèle (10,70) reste très légèrement inférieure à celle de la </w:t>
      </w:r>
      <w:proofErr w:type="spellStart"/>
      <w:r>
        <w:t>baseline</w:t>
      </w:r>
      <w:proofErr w:type="spellEnd"/>
      <w:r>
        <w:t xml:space="preserve"> naïve (10,81). Cette apparente contradiction s'explique par le fait que le R² et la MAE ne pénalisent pas les erreurs de la même façon : le R² est fondé sur l'erreur quadratique, qui amplifie fortement le poids des grandes erreurs, tandis que la MAE </w:t>
      </w:r>
      <w:r>
        <w:lastRenderedPageBreak/>
        <w:t>traite chaque écart proportionnellement à sa valeur réelle. Un modèle peut ainsi réduire légèrement l'erreur absolue moyenne tout en étant pénalisé par le R² s'il se trompe plus lourdement sur quelques observations extrêmes que ne le ferait la prédiction constante.</w:t>
      </w:r>
    </w:p>
    <w:p w:rsidR="00FF49EE" w:rsidRDefault="00000000">
      <w:pPr>
        <w:spacing w:after="120"/>
      </w:pPr>
      <w:r>
        <w:t xml:space="preserve">La conclusion à en tirer est qu'à l'échelle d'un panier élargi et diversifié, le pouvoir prédictif du seul facteur </w:t>
      </w:r>
      <w:proofErr w:type="spellStart"/>
      <w:r>
        <w:t>momentum</w:t>
      </w:r>
      <w:proofErr w:type="spellEnd"/>
      <w:r>
        <w:t xml:space="preserve"> devient marginal, à la limite du détectable selon la métrique retenue. Ce constat, moins spectaculaire que celui obtenu sur l'échantillon restreint, est en réalité plus solide scientifiquement : il illustre qu'un effet apparent sur un petit échantillon peut s'atténuer fortement lorsqu'il est testé sur un ensemble plus représentatif, ce qui est cohérent avec la théorie financière des marchés larges et liquides, où les signaux simples et univariés laissent peu de place à un pouvoir prédictif important.</w:t>
      </w:r>
    </w:p>
    <w:p w:rsidR="00FF49EE" w:rsidRDefault="00000000">
      <w:pPr>
        <w:pStyle w:val="Titre1"/>
        <w:spacing w:before="300" w:after="150"/>
      </w:pPr>
      <w:r>
        <w:t>6. Comparaison à un second facteur : la volatilité</w:t>
      </w:r>
    </w:p>
    <w:p w:rsidR="00FF49EE" w:rsidRDefault="00000000">
      <w:pPr>
        <w:spacing w:after="120"/>
      </w:pPr>
      <w:r>
        <w:t xml:space="preserve">Afin de situer le pouvoir explicatif du </w:t>
      </w:r>
      <w:proofErr w:type="spellStart"/>
      <w:r>
        <w:t>momentum</w:t>
      </w:r>
      <w:proofErr w:type="spellEnd"/>
      <w:r>
        <w:t xml:space="preserve"> par rapport à un autre facteur classique de la littérature en factor </w:t>
      </w:r>
      <w:proofErr w:type="spellStart"/>
      <w:r>
        <w:t>investing</w:t>
      </w:r>
      <w:proofErr w:type="spellEnd"/>
      <w:r>
        <w:t>, la même analyse a été reproduite avec la volatilité annualisée à 6 mois comme variable explicative (calculée à partir de l'écart-type des rendements quotidiens sur une fenêtre glissante de 126 jours, annualisée par un facteur racine de 252). Ce facteur est associé, dans la littérature académique, à l'anomalie dite de « faible volatilité » : les actions les moins volatiles tendent historiquement à offrir un couple rendement/risque plus favorable que les actions très volatiles.</w:t>
      </w:r>
    </w:p>
    <w:p w:rsidR="00FF49EE" w:rsidRDefault="00000000">
      <w:pPr>
        <w:spacing w:after="120"/>
      </w:pPr>
      <w:r>
        <w:t xml:space="preserve">Sur le panier de </w:t>
      </w:r>
      <w:proofErr w:type="gramStart"/>
      <w:r>
        <w:t>vingt actions étudié</w:t>
      </w:r>
      <w:proofErr w:type="gramEnd"/>
      <w:r>
        <w:t xml:space="preserve">, la corrélation entre volatilité et rendement futur est de +0,069, c'est-à-dire positive et de signe opposé à l'anomalie attendue. L'analyse en quintiles ne fait par ailleurs apparaître aucune tendance régulière (10,38 % ; 5,45 % ; 6,06 % ; 9,14 % ; 7,43 % du quintile le moins volatil au plus volatil), contrairement à la décroissance globalement régulière observée pour le </w:t>
      </w:r>
      <w:proofErr w:type="spellStart"/>
      <w:r>
        <w:t>momentum</w:t>
      </w:r>
      <w:proofErr w:type="spellEnd"/>
      <w:r>
        <w:t>.</w:t>
      </w:r>
    </w:p>
    <w:p w:rsidR="00FF49EE" w:rsidRDefault="00000000">
      <w:pPr>
        <w:spacing w:after="120"/>
      </w:pPr>
      <w:r>
        <w:t xml:space="preserve">Ce résultat ne doit pas être interprété comme une infirmation de l'anomalie de faible volatilité en tant que telle : celle-ci est documentée sur des échantillons de plusieurs centaines de titres et des périodes de plusieurs décennies, très éloignés de l'échelle de cette étude (vingt titres, cinq ans). Le résultat signifie seulement que, sur cet échantillon précis et cette période précise, l'effet ne se manifeste pas clairement — une distinction importante entre « ne pas observer un effet sur ses données » et « l'effet n'existe pas », que la taille de cet échantillon ne permet pas de trancher. En comparaison, le </w:t>
      </w:r>
      <w:proofErr w:type="spellStart"/>
      <w:r>
        <w:t>momentum</w:t>
      </w:r>
      <w:proofErr w:type="spellEnd"/>
      <w:r>
        <w:t>, qui présente une tendance plus régulière à travers les quintiles sur ce même échantillon, apparaît comme le facteur le plus crédible des deux dans le cadre de cette étude, sans que cela ne disqualifie la volatilité comme facteur pertinent à plus grande échelle.</w:t>
      </w:r>
    </w:p>
    <w:p w:rsidR="00FF49EE" w:rsidRDefault="00000000">
      <w:pPr>
        <w:pStyle w:val="Titre1"/>
        <w:spacing w:before="300" w:after="150"/>
      </w:pPr>
      <w:r>
        <w:t>7. Limites méthodologiques</w:t>
      </w:r>
    </w:p>
    <w:p w:rsidR="00FF49EE" w:rsidRDefault="00000000">
      <w:pPr>
        <w:pStyle w:val="Paragraphedeliste"/>
        <w:numPr>
          <w:ilvl w:val="0"/>
          <w:numId w:val="2"/>
        </w:numPr>
        <w:spacing w:after="80"/>
      </w:pPr>
      <w:r>
        <w:t xml:space="preserve">Échantillon restreint à six actions : un panier plus large (20 à 30 titres, voire un indice complet) renforcerait la robustesse des </w:t>
      </w:r>
      <w:proofErr w:type="spellStart"/>
      <w:r>
        <w:t>tertiles</w:t>
      </w:r>
      <w:proofErr w:type="spellEnd"/>
      <w:r>
        <w:t xml:space="preserve"> et des tests statistiques.</w:t>
      </w:r>
    </w:p>
    <w:p w:rsidR="00FF49EE" w:rsidRDefault="00000000">
      <w:pPr>
        <w:pStyle w:val="Paragraphedeliste"/>
        <w:numPr>
          <w:ilvl w:val="0"/>
          <w:numId w:val="2"/>
        </w:numPr>
        <w:spacing w:after="80"/>
      </w:pPr>
      <w:r>
        <w:t>Non-indépendance des observations, déjà décrite en section 3.3 : les chocs de marché partagés entre actions et le chevauchement des fenêtres de 6 mois invalident partiellement les hypothèses du test t classique.</w:t>
      </w:r>
    </w:p>
    <w:p w:rsidR="00FF49EE" w:rsidRDefault="00000000">
      <w:pPr>
        <w:pStyle w:val="Paragraphedeliste"/>
        <w:numPr>
          <w:ilvl w:val="0"/>
          <w:numId w:val="2"/>
        </w:numPr>
        <w:spacing w:after="80"/>
      </w:pPr>
      <w:r>
        <w:t xml:space="preserve">Facteurs étudiés séparément et non combinés : </w:t>
      </w:r>
      <w:proofErr w:type="spellStart"/>
      <w:r>
        <w:t>momentum</w:t>
      </w:r>
      <w:proofErr w:type="spellEnd"/>
      <w:r>
        <w:t xml:space="preserve"> et volatilité ont été analysés indépendamment l'un de l'autre, sans modèle multivarié qui testerait leur pouvoir explicatif conjoint ; la littérature en factor </w:t>
      </w:r>
      <w:proofErr w:type="spellStart"/>
      <w:r>
        <w:t>investing</w:t>
      </w:r>
      <w:proofErr w:type="spellEnd"/>
      <w:r>
        <w:t xml:space="preserve"> combine généralement plusieurs facteurs (valeur, taille, qualité, volatilité, </w:t>
      </w:r>
      <w:proofErr w:type="spellStart"/>
      <w:r>
        <w:t>momentum</w:t>
      </w:r>
      <w:proofErr w:type="spellEnd"/>
      <w:r>
        <w:t>) pour expliquer les rendements.</w:t>
      </w:r>
    </w:p>
    <w:p w:rsidR="00FF49EE" w:rsidRDefault="00000000">
      <w:pPr>
        <w:pStyle w:val="Paragraphedeliste"/>
        <w:numPr>
          <w:ilvl w:val="0"/>
          <w:numId w:val="2"/>
        </w:numPr>
        <w:spacing w:after="80"/>
      </w:pPr>
      <w:r>
        <w:t>Absence de prise en compte des coûts de transaction, qui rendraient une éventuelle stratégie fondée sur ce signal moins rentable en pratique qu'en théorie.</w:t>
      </w:r>
    </w:p>
    <w:p w:rsidR="00FF49EE" w:rsidRDefault="00000000">
      <w:pPr>
        <w:pStyle w:val="Titre1"/>
        <w:spacing w:before="300" w:after="150"/>
      </w:pPr>
      <w:r>
        <w:t>8. Ce que ce projet m'a appris</w:t>
      </w:r>
    </w:p>
    <w:p w:rsidR="00FF49EE" w:rsidRDefault="00000000">
      <w:pPr>
        <w:spacing w:after="120"/>
      </w:pPr>
      <w:r>
        <w:t>Au-delà des résultats chiffrés, ce projet a été l'occasion d'un apprentissage progressif mené directement à travers un cas concret plutôt qu'à travers un cours théorique isolé. Plusieurs enseignements en ressortent.</w:t>
      </w:r>
    </w:p>
    <w:p w:rsidR="00FF49EE" w:rsidRDefault="00000000">
      <w:pPr>
        <w:spacing w:after="120"/>
      </w:pPr>
      <w:r>
        <w:t xml:space="preserve">Sur le plan technique, ce projet a nécessité de prendre en main Python et l'écosystème de la data science (Pandas, </w:t>
      </w:r>
      <w:proofErr w:type="spellStart"/>
      <w:r>
        <w:t>NumPy</w:t>
      </w:r>
      <w:proofErr w:type="spellEnd"/>
      <w:r>
        <w:t xml:space="preserve">, </w:t>
      </w:r>
      <w:proofErr w:type="spellStart"/>
      <w:r>
        <w:t>scikit-learn</w:t>
      </w:r>
      <w:proofErr w:type="spellEnd"/>
      <w:r>
        <w:t xml:space="preserve">, </w:t>
      </w:r>
      <w:proofErr w:type="spellStart"/>
      <w:r>
        <w:t>SciPy</w:t>
      </w:r>
      <w:proofErr w:type="spellEnd"/>
      <w:r>
        <w:t xml:space="preserve">) en partant de zéro, en construisant une intuition progressive des structures de données (listes, dictionnaires, </w:t>
      </w:r>
      <w:proofErr w:type="spellStart"/>
      <w:r>
        <w:t>DataFrames</w:t>
      </w:r>
      <w:proofErr w:type="spellEnd"/>
      <w:r>
        <w:t>) avant de les appliquer à des données financières réelles.</w:t>
      </w:r>
    </w:p>
    <w:p w:rsidR="00FF49EE" w:rsidRDefault="00000000">
      <w:pPr>
        <w:spacing w:after="120"/>
      </w:pPr>
      <w:r>
        <w:t xml:space="preserve">Sur le plan méthodologique, l'enseignement le plus important a été de comprendre qu'un résultat impressionnant sur un petit échantillon peut être artificiellement gonflé, et qu'il doit systématiquement être mis à l'épreuve : par l'élargissement de l'échantillon, par la comparaison à une </w:t>
      </w:r>
      <w:proofErr w:type="spellStart"/>
      <w:r>
        <w:t>baseline</w:t>
      </w:r>
      <w:proofErr w:type="spellEnd"/>
      <w:r>
        <w:t xml:space="preserve"> naïve, et par la vérification des hypothèses </w:t>
      </w:r>
      <w:r>
        <w:lastRenderedPageBreak/>
        <w:t>statistiques sous-jacentes (indépendance des observations, notamment). Le passage d'une corrélation de -0,18 sur 6 actions à -0,053 sur 20 actions illustre concrètement ce qu'est un effet de sur-apprentissage sur un petit échantillon, une notion qui reste abstraite tant qu'on ne l'observe pas directement sur ses propres données.</w:t>
      </w:r>
    </w:p>
    <w:p w:rsidR="00FF49EE" w:rsidRDefault="00000000">
      <w:pPr>
        <w:spacing w:after="120"/>
      </w:pPr>
      <w:r>
        <w:t>Enfin, ce projet a appris à présenter un résultat scientifique avec honnêteté : savoir dire qu'un modèle a un faible pouvoir explicatif sans que cela invalide le travail, savoir distinguer « ne pas observer un effet » de « l'effet n'existe pas », et savoir documenter les limites d'une étude plutôt que de les dissimuler pour rendre les résultats plus séduisants qu'ils ne le sont réellement.</w:t>
      </w:r>
    </w:p>
    <w:p w:rsidR="00FF49EE" w:rsidRDefault="00000000">
      <w:pPr>
        <w:pStyle w:val="Titre1"/>
        <w:spacing w:before="300" w:after="150"/>
      </w:pPr>
      <w:r>
        <w:t>9. Conclusion et prochaines étapes</w:t>
      </w:r>
    </w:p>
    <w:p w:rsidR="00FF49EE" w:rsidRDefault="00000000">
      <w:pPr>
        <w:spacing w:after="120"/>
      </w:pPr>
      <w:r>
        <w:t xml:space="preserve">Cette étude met en évidence, sur un panier restreint de six actions du CAC 40 et sur la période 2019-2023, un signal de retour à la moyenne à 6 mois plutôt qu'un effet de </w:t>
      </w:r>
      <w:proofErr w:type="spellStart"/>
      <w:r>
        <w:t>momentum</w:t>
      </w:r>
      <w:proofErr w:type="spellEnd"/>
      <w:r>
        <w:t xml:space="preserve"> classique : les actions ayant le moins progressé récemment ont eu tendance, en moyenne, à mieux performer par la suite que celles ayant le plus progressé. Ce signal, bien que statistiquement modeste (R² de 0,019), est cohérent à travers trois méthodes d'analyse indépendantes (corrélation, tri en </w:t>
      </w:r>
      <w:proofErr w:type="spellStart"/>
      <w:r>
        <w:t>tertiles</w:t>
      </w:r>
      <w:proofErr w:type="spellEnd"/>
      <w:r>
        <w:t>, régression), ce qui renforce sa crédibilité malgré les limites identifiées, en particulier le problème de non-indépendance des observations qui invite à la prudence sur la significativité statistique affichée.</w:t>
      </w:r>
    </w:p>
    <w:p w:rsidR="00FF49EE" w:rsidRDefault="00000000">
      <w:pPr>
        <w:spacing w:after="120"/>
      </w:pPr>
      <w:r>
        <w:t>La reproduction de l'analyse sur un panier élargi à vingt actions confirme le sens de l'effet mais en révèle également le caractère marginal à cette échelle : la corrélation, l'écart entre quintiles extrêmes et le pouvoir prédictif du modèle de régression s'atténuent nettement par rapport à l'échantillon restreint, sans toutefois disparaître ni changer de signe. Cette atténuation, loin d'invalider le travail réalisé, en constitue au contraire un renforcement méthodologique : elle démontre qu'un effet apparent sur un petit échantillon a été soumis à un test de robustesse plus exigeant, et que le signal résiduel, bien que faible, résiste à cet élargissement.</w:t>
      </w:r>
    </w:p>
    <w:p w:rsidR="00FF49EE" w:rsidRDefault="00000000">
      <w:pPr>
        <w:spacing w:after="120"/>
      </w:pPr>
      <w:r>
        <w:t>Les prolongations envisagées pour approfondir ce travail sont, par ordre de priorité :</w:t>
      </w:r>
    </w:p>
    <w:p w:rsidR="00FF49EE" w:rsidRDefault="00000000">
      <w:pPr>
        <w:pStyle w:val="Paragraphedeliste"/>
        <w:numPr>
          <w:ilvl w:val="0"/>
          <w:numId w:val="2"/>
        </w:numPr>
        <w:spacing w:after="80"/>
      </w:pPr>
      <w:r>
        <w:t xml:space="preserve">Combiner </w:t>
      </w:r>
      <w:proofErr w:type="spellStart"/>
      <w:r>
        <w:t>momentum</w:t>
      </w:r>
      <w:proofErr w:type="spellEnd"/>
      <w:r>
        <w:t xml:space="preserve"> et volatilité dans un modèle multivarié pour vérifier si les deux facteurs apportent une information complémentaire.</w:t>
      </w:r>
    </w:p>
    <w:p w:rsidR="00FF49EE" w:rsidRDefault="00000000">
      <w:pPr>
        <w:pStyle w:val="Paragraphedeliste"/>
        <w:numPr>
          <w:ilvl w:val="0"/>
          <w:numId w:val="2"/>
        </w:numPr>
        <w:spacing w:after="80"/>
      </w:pPr>
      <w:r>
        <w:t xml:space="preserve">Tester la robustesse du facteur </w:t>
      </w:r>
      <w:proofErr w:type="spellStart"/>
      <w:r>
        <w:t>momentum</w:t>
      </w:r>
      <w:proofErr w:type="spellEnd"/>
      <w:r>
        <w:t xml:space="preserve"> sur une période plus longue ou un panier encore plus large, si les données le permettent.</w:t>
      </w:r>
    </w:p>
    <w:p w:rsidR="00FF49EE" w:rsidRDefault="00000000">
      <w:pPr>
        <w:pStyle w:val="Titre1"/>
        <w:spacing w:before="300" w:after="150"/>
      </w:pPr>
      <w:r>
        <w:t>Annexe — extraits de code Python</w:t>
      </w:r>
    </w:p>
    <w:p w:rsidR="00FF49EE" w:rsidRDefault="00000000">
      <w:pPr>
        <w:spacing w:after="120"/>
      </w:pPr>
      <w:r>
        <w:t>Les extraits ci-dessous reprennent les blocs de code centraux du projet, dans l'ordre du raisonnement. Le notebook complet, avec l'ensemble des cellules et leur exécution, est disponible dans le dépôt GitHub associé à ce rapport.</w:t>
      </w:r>
    </w:p>
    <w:p w:rsidR="00FF49EE" w:rsidRDefault="00000000">
      <w:pPr>
        <w:pStyle w:val="Titre2"/>
        <w:spacing w:before="200" w:after="100"/>
      </w:pPr>
      <w:r>
        <w:t>A.1 Récupération des données</w:t>
      </w:r>
    </w:p>
    <w:p w:rsidR="00FF49EE" w:rsidRDefault="00000000">
      <w:pPr>
        <w:shd w:val="clear" w:color="auto" w:fill="F2F2F2"/>
        <w:spacing w:before="80" w:after="200"/>
        <w:ind w:left="20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pandas as </w:t>
      </w:r>
      <w:proofErr w:type="spellStart"/>
      <w:r>
        <w:rPr>
          <w:rFonts w:ascii="Consolas" w:eastAsia="Consolas" w:hAnsi="Consolas" w:cs="Consolas"/>
          <w:sz w:val="19"/>
          <w:szCs w:val="19"/>
        </w:rPr>
        <w:t>pd</w:t>
      </w:r>
      <w:proofErr w:type="spellEnd"/>
      <w:r>
        <w:rPr>
          <w:rFonts w:ascii="Consolas" w:eastAsia="Consolas" w:hAnsi="Consolas" w:cs="Consolas"/>
          <w:sz w:val="19"/>
          <w:szCs w:val="19"/>
        </w:rPr>
        <w:br/>
        <w:t xml:space="preserve">import </w:t>
      </w:r>
      <w:proofErr w:type="spellStart"/>
      <w:r>
        <w:rPr>
          <w:rFonts w:ascii="Consolas" w:eastAsia="Consolas" w:hAnsi="Consolas" w:cs="Consolas"/>
          <w:sz w:val="19"/>
          <w:szCs w:val="19"/>
        </w:rPr>
        <w:t>yfinance</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yf</w:t>
      </w:r>
      <w:proofErr w:type="spellEnd"/>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tickers</w:t>
      </w:r>
      <w:proofErr w:type="spellEnd"/>
      <w:r>
        <w:rPr>
          <w:rFonts w:ascii="Consolas" w:eastAsia="Consolas" w:hAnsi="Consolas" w:cs="Consolas"/>
          <w:sz w:val="19"/>
          <w:szCs w:val="19"/>
        </w:rPr>
        <w:t xml:space="preserve"> = [</w:t>
      </w:r>
      <w:r>
        <w:rPr>
          <w:rFonts w:ascii="Consolas" w:eastAsia="Consolas" w:hAnsi="Consolas" w:cs="Consolas"/>
          <w:sz w:val="19"/>
          <w:szCs w:val="19"/>
        </w:rPr>
        <w:br/>
        <w:t xml:space="preserve">    "MC.PA", "OR.PA", "TTE.PA", "AI.PA", "SAN.PA", "BNP.PA",</w:t>
      </w:r>
      <w:r>
        <w:rPr>
          <w:rFonts w:ascii="Consolas" w:eastAsia="Consolas" w:hAnsi="Consolas" w:cs="Consolas"/>
          <w:sz w:val="19"/>
          <w:szCs w:val="19"/>
        </w:rPr>
        <w:br/>
        <w:t xml:space="preserve">    "SU.PA", "DG.PA", "EL.PA", "RMS.PA", "KER.PA", "SGO.PA",</w:t>
      </w:r>
      <w:r>
        <w:rPr>
          <w:rFonts w:ascii="Consolas" w:eastAsia="Consolas" w:hAnsi="Consolas" w:cs="Consolas"/>
          <w:sz w:val="19"/>
          <w:szCs w:val="19"/>
        </w:rPr>
        <w:br/>
        <w:t xml:space="preserve">    "VIE.PA", "CAP.PA", "DSY.PA", "BN.PA", "ENGI.PA", "ORA.PA",</w:t>
      </w:r>
      <w:r>
        <w:rPr>
          <w:rFonts w:ascii="Consolas" w:eastAsia="Consolas" w:hAnsi="Consolas" w:cs="Consolas"/>
          <w:sz w:val="19"/>
          <w:szCs w:val="19"/>
        </w:rPr>
        <w:br/>
        <w:t xml:space="preserve">    "STLAP.PA", "VIV.PA"</w:t>
      </w:r>
      <w:r>
        <w:rPr>
          <w:rFonts w:ascii="Consolas" w:eastAsia="Consolas" w:hAnsi="Consolas" w:cs="Consolas"/>
          <w:sz w:val="19"/>
          <w:szCs w:val="19"/>
        </w:rPr>
        <w:br/>
        <w:t>]</w:t>
      </w:r>
      <w:r>
        <w:rPr>
          <w:rFonts w:ascii="Consolas" w:eastAsia="Consolas" w:hAnsi="Consolas" w:cs="Consolas"/>
          <w:sz w:val="19"/>
          <w:szCs w:val="19"/>
        </w:rPr>
        <w:br/>
        <w:t xml:space="preserve">data = </w:t>
      </w:r>
      <w:proofErr w:type="spellStart"/>
      <w:r>
        <w:rPr>
          <w:rFonts w:ascii="Consolas" w:eastAsia="Consolas" w:hAnsi="Consolas" w:cs="Consolas"/>
          <w:sz w:val="19"/>
          <w:szCs w:val="19"/>
        </w:rPr>
        <w:t>yf.download</w:t>
      </w:r>
      <w:proofErr w:type="spellEnd"/>
      <w:r>
        <w:rPr>
          <w:rFonts w:ascii="Consolas" w:eastAsia="Consolas" w:hAnsi="Consolas" w:cs="Consolas"/>
          <w:sz w:val="19"/>
          <w:szCs w:val="19"/>
        </w:rPr>
        <w:t>(</w:t>
      </w:r>
      <w:proofErr w:type="spellStart"/>
      <w:r>
        <w:rPr>
          <w:rFonts w:ascii="Consolas" w:eastAsia="Consolas" w:hAnsi="Consolas" w:cs="Consolas"/>
          <w:sz w:val="19"/>
          <w:szCs w:val="19"/>
        </w:rPr>
        <w:t>tickers</w:t>
      </w:r>
      <w:proofErr w:type="spellEnd"/>
      <w:r>
        <w:rPr>
          <w:rFonts w:ascii="Consolas" w:eastAsia="Consolas" w:hAnsi="Consolas" w:cs="Consolas"/>
          <w:sz w:val="19"/>
          <w:szCs w:val="19"/>
        </w:rPr>
        <w:t>, start="2019-01-01", end="2024-01-01")["Close"]</w:t>
      </w:r>
    </w:p>
    <w:p w:rsidR="00FF49EE" w:rsidRDefault="00000000">
      <w:pPr>
        <w:pStyle w:val="Titre2"/>
        <w:spacing w:before="200" w:after="100"/>
      </w:pPr>
      <w:r>
        <w:t>A.2 Construction des variables (</w:t>
      </w:r>
      <w:proofErr w:type="spellStart"/>
      <w:r>
        <w:t>momentum</w:t>
      </w:r>
      <w:proofErr w:type="spellEnd"/>
      <w:r>
        <w:t xml:space="preserve"> et rendement futur)</w:t>
      </w:r>
    </w:p>
    <w:p w:rsidR="00FF49EE" w:rsidRPr="000E67E1" w:rsidRDefault="00000000">
      <w:pPr>
        <w:shd w:val="clear" w:color="auto" w:fill="F2F2F2"/>
        <w:spacing w:before="80" w:after="200"/>
        <w:ind w:left="200"/>
        <w:rPr>
          <w:lang w:val="en-US"/>
        </w:rPr>
      </w:pPr>
      <w:r w:rsidRPr="000E67E1">
        <w:rPr>
          <w:rFonts w:ascii="Consolas" w:eastAsia="Consolas" w:hAnsi="Consolas" w:cs="Consolas"/>
          <w:sz w:val="19"/>
          <w:szCs w:val="19"/>
          <w:lang w:val="en-US"/>
        </w:rPr>
        <w:t>momentum_6m = data.pct_change(periods=126) * 100</w:t>
      </w:r>
      <w:r w:rsidRPr="000E67E1">
        <w:rPr>
          <w:rFonts w:ascii="Consolas" w:eastAsia="Consolas" w:hAnsi="Consolas" w:cs="Consolas"/>
          <w:sz w:val="19"/>
          <w:szCs w:val="19"/>
          <w:lang w:val="en-US"/>
        </w:rPr>
        <w:br/>
        <w:t>future_return_6m = (data.shift(-126) / data - 1) * 100</w:t>
      </w:r>
      <w:r w:rsidRPr="000E67E1">
        <w:rPr>
          <w:rFonts w:ascii="Consolas" w:eastAsia="Consolas" w:hAnsi="Consolas" w:cs="Consolas"/>
          <w:sz w:val="19"/>
          <w:szCs w:val="19"/>
          <w:lang w:val="en-US"/>
        </w:rPr>
        <w:br/>
      </w:r>
      <w:r w:rsidRPr="000E67E1">
        <w:rPr>
          <w:rFonts w:ascii="Consolas" w:eastAsia="Consolas" w:hAnsi="Consolas" w:cs="Consolas"/>
          <w:sz w:val="19"/>
          <w:szCs w:val="19"/>
          <w:lang w:val="en-US"/>
        </w:rPr>
        <w:br/>
        <w:t>dataset = pd.DataFrame({</w:t>
      </w:r>
      <w:r w:rsidRPr="000E67E1">
        <w:rPr>
          <w:rFonts w:ascii="Consolas" w:eastAsia="Consolas" w:hAnsi="Consolas" w:cs="Consolas"/>
          <w:sz w:val="19"/>
          <w:szCs w:val="19"/>
          <w:lang w:val="en-US"/>
        </w:rPr>
        <w:br/>
        <w:t xml:space="preserve">    "momentum_6m": momentum_6m.stack(),</w:t>
      </w:r>
      <w:r w:rsidRPr="000E67E1">
        <w:rPr>
          <w:rFonts w:ascii="Consolas" w:eastAsia="Consolas" w:hAnsi="Consolas" w:cs="Consolas"/>
          <w:sz w:val="19"/>
          <w:szCs w:val="19"/>
          <w:lang w:val="en-US"/>
        </w:rPr>
        <w:br/>
        <w:t xml:space="preserve">    "future_return_6m": future_return_6m.stack()</w:t>
      </w:r>
      <w:r w:rsidRPr="000E67E1">
        <w:rPr>
          <w:rFonts w:ascii="Consolas" w:eastAsia="Consolas" w:hAnsi="Consolas" w:cs="Consolas"/>
          <w:sz w:val="19"/>
          <w:szCs w:val="19"/>
          <w:lang w:val="en-US"/>
        </w:rPr>
        <w:br/>
        <w:t>}).dropna()</w:t>
      </w:r>
    </w:p>
    <w:p w:rsidR="00FF49EE" w:rsidRPr="000E67E1" w:rsidRDefault="00000000">
      <w:pPr>
        <w:pStyle w:val="Titre2"/>
        <w:spacing w:before="200" w:after="100"/>
        <w:rPr>
          <w:lang w:val="en-US"/>
        </w:rPr>
      </w:pPr>
      <w:r w:rsidRPr="000E67E1">
        <w:rPr>
          <w:lang w:val="en-US"/>
        </w:rPr>
        <w:lastRenderedPageBreak/>
        <w:t>A.3 Analyse en quintiles</w:t>
      </w:r>
    </w:p>
    <w:p w:rsidR="00FF49EE" w:rsidRPr="000E67E1" w:rsidRDefault="00000000">
      <w:pPr>
        <w:shd w:val="clear" w:color="auto" w:fill="F2F2F2"/>
        <w:spacing w:before="80" w:after="200"/>
        <w:ind w:left="200"/>
        <w:rPr>
          <w:lang w:val="en-US"/>
        </w:rPr>
      </w:pPr>
      <w:r w:rsidRPr="000E67E1">
        <w:rPr>
          <w:rFonts w:ascii="Consolas" w:eastAsia="Consolas" w:hAnsi="Consolas" w:cs="Consolas"/>
          <w:sz w:val="19"/>
          <w:szCs w:val="19"/>
          <w:lang w:val="en-US"/>
        </w:rPr>
        <w:t>dataset["quintile"] = dataset.groupby("Date")["momentum_6m"].transform(</w:t>
      </w:r>
      <w:r w:rsidRPr="000E67E1">
        <w:rPr>
          <w:rFonts w:ascii="Consolas" w:eastAsia="Consolas" w:hAnsi="Consolas" w:cs="Consolas"/>
          <w:sz w:val="19"/>
          <w:szCs w:val="19"/>
          <w:lang w:val="en-US"/>
        </w:rPr>
        <w:br/>
        <w:t xml:space="preserve">    lambda x: pd.qcut(x, 5, labels=["Q1", "Q2", "Q3", "Q4", "Q5"], duplicates="drop")</w:t>
      </w:r>
      <w:r w:rsidRPr="000E67E1">
        <w:rPr>
          <w:rFonts w:ascii="Consolas" w:eastAsia="Consolas" w:hAnsi="Consolas" w:cs="Consolas"/>
          <w:sz w:val="19"/>
          <w:szCs w:val="19"/>
          <w:lang w:val="en-US"/>
        </w:rPr>
        <w:br/>
        <w:t>)</w:t>
      </w:r>
      <w:r w:rsidRPr="000E67E1">
        <w:rPr>
          <w:rFonts w:ascii="Consolas" w:eastAsia="Consolas" w:hAnsi="Consolas" w:cs="Consolas"/>
          <w:sz w:val="19"/>
          <w:szCs w:val="19"/>
          <w:lang w:val="en-US"/>
        </w:rPr>
        <w:br/>
        <w:t>resultats = dataset.groupby("quintile")["future_return_6m"].mean()</w:t>
      </w:r>
    </w:p>
    <w:p w:rsidR="00FF49EE" w:rsidRDefault="00000000">
      <w:pPr>
        <w:pStyle w:val="Titre2"/>
        <w:spacing w:before="200" w:after="100"/>
      </w:pPr>
      <w:r>
        <w:t>A.4 Découpage chronologique et régression linéaire</w:t>
      </w:r>
    </w:p>
    <w:p w:rsidR="00FF49EE" w:rsidRPr="000E67E1" w:rsidRDefault="00000000">
      <w:pPr>
        <w:shd w:val="clear" w:color="auto" w:fill="F2F2F2"/>
        <w:spacing w:before="80" w:after="200"/>
        <w:ind w:left="200"/>
        <w:rPr>
          <w:lang w:val="en-US"/>
        </w:rPr>
      </w:pPr>
      <w:r w:rsidRPr="000E67E1">
        <w:rPr>
          <w:rFonts w:ascii="Consolas" w:eastAsia="Consolas" w:hAnsi="Consolas" w:cs="Consolas"/>
          <w:sz w:val="19"/>
          <w:szCs w:val="19"/>
          <w:lang w:val="en-US"/>
        </w:rPr>
        <w:t>from sklearn.linear_model import LinearRegression</w:t>
      </w:r>
      <w:r w:rsidRPr="000E67E1">
        <w:rPr>
          <w:rFonts w:ascii="Consolas" w:eastAsia="Consolas" w:hAnsi="Consolas" w:cs="Consolas"/>
          <w:sz w:val="19"/>
          <w:szCs w:val="19"/>
          <w:lang w:val="en-US"/>
        </w:rPr>
        <w:br/>
        <w:t>from sklearn.metrics import mean_absolute_error, r2_score</w:t>
      </w:r>
      <w:r w:rsidRPr="000E67E1">
        <w:rPr>
          <w:rFonts w:ascii="Consolas" w:eastAsia="Consolas" w:hAnsi="Consolas" w:cs="Consolas"/>
          <w:sz w:val="19"/>
          <w:szCs w:val="19"/>
          <w:lang w:val="en-US"/>
        </w:rPr>
        <w:br/>
      </w:r>
      <w:r w:rsidRPr="000E67E1">
        <w:rPr>
          <w:rFonts w:ascii="Consolas" w:eastAsia="Consolas" w:hAnsi="Consolas" w:cs="Consolas"/>
          <w:sz w:val="19"/>
          <w:szCs w:val="19"/>
          <w:lang w:val="en-US"/>
        </w:rPr>
        <w:br/>
        <w:t>dataset = dataset.reset_index()</w:t>
      </w:r>
      <w:r w:rsidRPr="000E67E1">
        <w:rPr>
          <w:rFonts w:ascii="Consolas" w:eastAsia="Consolas" w:hAnsi="Consolas" w:cs="Consolas"/>
          <w:sz w:val="19"/>
          <w:szCs w:val="19"/>
          <w:lang w:val="en-US"/>
        </w:rPr>
        <w:br/>
        <w:t>train = dataset[dataset["Date"] &lt; "2022-07-01"]</w:t>
      </w:r>
      <w:r w:rsidRPr="000E67E1">
        <w:rPr>
          <w:rFonts w:ascii="Consolas" w:eastAsia="Consolas" w:hAnsi="Consolas" w:cs="Consolas"/>
          <w:sz w:val="19"/>
          <w:szCs w:val="19"/>
          <w:lang w:val="en-US"/>
        </w:rPr>
        <w:br/>
        <w:t>test  = dataset[dataset["Date"] &gt;= "2022-07-01"]</w:t>
      </w:r>
      <w:r w:rsidRPr="000E67E1">
        <w:rPr>
          <w:rFonts w:ascii="Consolas" w:eastAsia="Consolas" w:hAnsi="Consolas" w:cs="Consolas"/>
          <w:sz w:val="19"/>
          <w:szCs w:val="19"/>
          <w:lang w:val="en-US"/>
        </w:rPr>
        <w:br/>
      </w:r>
      <w:r w:rsidRPr="000E67E1">
        <w:rPr>
          <w:rFonts w:ascii="Consolas" w:eastAsia="Consolas" w:hAnsi="Consolas" w:cs="Consolas"/>
          <w:sz w:val="19"/>
          <w:szCs w:val="19"/>
          <w:lang w:val="en-US"/>
        </w:rPr>
        <w:br/>
        <w:t>X_train, y_train = train[["momentum_6m"]], train["future_return_6m"]</w:t>
      </w:r>
      <w:r w:rsidRPr="000E67E1">
        <w:rPr>
          <w:rFonts w:ascii="Consolas" w:eastAsia="Consolas" w:hAnsi="Consolas" w:cs="Consolas"/>
          <w:sz w:val="19"/>
          <w:szCs w:val="19"/>
          <w:lang w:val="en-US"/>
        </w:rPr>
        <w:br/>
        <w:t>X_test, y_test   = test[["momentum_6m"]], test["future_return_6m"]</w:t>
      </w:r>
      <w:r w:rsidRPr="000E67E1">
        <w:rPr>
          <w:rFonts w:ascii="Consolas" w:eastAsia="Consolas" w:hAnsi="Consolas" w:cs="Consolas"/>
          <w:sz w:val="19"/>
          <w:szCs w:val="19"/>
          <w:lang w:val="en-US"/>
        </w:rPr>
        <w:br/>
      </w:r>
      <w:r w:rsidRPr="000E67E1">
        <w:rPr>
          <w:rFonts w:ascii="Consolas" w:eastAsia="Consolas" w:hAnsi="Consolas" w:cs="Consolas"/>
          <w:sz w:val="19"/>
          <w:szCs w:val="19"/>
          <w:lang w:val="en-US"/>
        </w:rPr>
        <w:br/>
        <w:t>modele = LinearRegression().fit(X_train, y_train)</w:t>
      </w:r>
      <w:r w:rsidRPr="000E67E1">
        <w:rPr>
          <w:rFonts w:ascii="Consolas" w:eastAsia="Consolas" w:hAnsi="Consolas" w:cs="Consolas"/>
          <w:sz w:val="19"/>
          <w:szCs w:val="19"/>
          <w:lang w:val="en-US"/>
        </w:rPr>
        <w:br/>
        <w:t>predictions = modele.predict(X_test)</w:t>
      </w:r>
      <w:r w:rsidRPr="000E67E1">
        <w:rPr>
          <w:rFonts w:ascii="Consolas" w:eastAsia="Consolas" w:hAnsi="Consolas" w:cs="Consolas"/>
          <w:sz w:val="19"/>
          <w:szCs w:val="19"/>
          <w:lang w:val="en-US"/>
        </w:rPr>
        <w:br/>
      </w:r>
      <w:r w:rsidRPr="000E67E1">
        <w:rPr>
          <w:rFonts w:ascii="Consolas" w:eastAsia="Consolas" w:hAnsi="Consolas" w:cs="Consolas"/>
          <w:sz w:val="19"/>
          <w:szCs w:val="19"/>
          <w:lang w:val="en-US"/>
        </w:rPr>
        <w:br/>
        <w:t>mae = mean_absolute_error(y_test, predictions)</w:t>
      </w:r>
      <w:r w:rsidRPr="000E67E1">
        <w:rPr>
          <w:rFonts w:ascii="Consolas" w:eastAsia="Consolas" w:hAnsi="Consolas" w:cs="Consolas"/>
          <w:sz w:val="19"/>
          <w:szCs w:val="19"/>
          <w:lang w:val="en-US"/>
        </w:rPr>
        <w:br/>
        <w:t>r2 = r2_score(y_test, predictions)</w:t>
      </w:r>
    </w:p>
    <w:p w:rsidR="00FF49EE" w:rsidRDefault="00000000">
      <w:pPr>
        <w:pStyle w:val="Titre2"/>
        <w:spacing w:before="200" w:after="100"/>
      </w:pPr>
      <w:r>
        <w:t xml:space="preserve">A.5 Comparaison à une </w:t>
      </w:r>
      <w:proofErr w:type="spellStart"/>
      <w:r>
        <w:t>baseline</w:t>
      </w:r>
      <w:proofErr w:type="spellEnd"/>
      <w:r>
        <w:t xml:space="preserve"> naïve</w:t>
      </w:r>
    </w:p>
    <w:p w:rsidR="00FF49EE" w:rsidRPr="000E67E1" w:rsidRDefault="00000000">
      <w:pPr>
        <w:shd w:val="clear" w:color="auto" w:fill="F2F2F2"/>
        <w:spacing w:before="80" w:after="200"/>
        <w:ind w:left="200"/>
        <w:rPr>
          <w:lang w:val="en-US"/>
        </w:rPr>
      </w:pPr>
      <w:r w:rsidRPr="000E67E1">
        <w:rPr>
          <w:rFonts w:ascii="Consolas" w:eastAsia="Consolas" w:hAnsi="Consolas" w:cs="Consolas"/>
          <w:sz w:val="19"/>
          <w:szCs w:val="19"/>
          <w:lang w:val="en-US"/>
        </w:rPr>
        <w:t>mae_baseline = mean_absolute_</w:t>
      </w:r>
      <w:proofErr w:type="gramStart"/>
      <w:r w:rsidRPr="000E67E1">
        <w:rPr>
          <w:rFonts w:ascii="Consolas" w:eastAsia="Consolas" w:hAnsi="Consolas" w:cs="Consolas"/>
          <w:sz w:val="19"/>
          <w:szCs w:val="19"/>
          <w:lang w:val="en-US"/>
        </w:rPr>
        <w:t>error(</w:t>
      </w:r>
      <w:proofErr w:type="gramEnd"/>
      <w:r w:rsidRPr="000E67E1">
        <w:rPr>
          <w:rFonts w:ascii="Consolas" w:eastAsia="Consolas" w:hAnsi="Consolas" w:cs="Consolas"/>
          <w:sz w:val="19"/>
          <w:szCs w:val="19"/>
          <w:lang w:val="en-US"/>
        </w:rPr>
        <w:t>y_test, [y_train.mean()] * len(y_test))</w:t>
      </w:r>
    </w:p>
    <w:p w:rsidR="00FF49EE" w:rsidRDefault="00000000">
      <w:pPr>
        <w:pStyle w:val="Titre2"/>
        <w:spacing w:before="200" w:after="100"/>
      </w:pPr>
      <w:r>
        <w:t>A.6 Calcul de la volatilité (second facteur)</w:t>
      </w:r>
    </w:p>
    <w:p w:rsidR="00FF49EE" w:rsidRDefault="00000000">
      <w:pPr>
        <w:shd w:val="clear" w:color="auto" w:fill="F2F2F2"/>
        <w:spacing w:before="80" w:after="200"/>
        <w:ind w:left="200"/>
      </w:pPr>
      <w:proofErr w:type="spellStart"/>
      <w:proofErr w:type="gramStart"/>
      <w:r>
        <w:rPr>
          <w:rFonts w:ascii="Consolas" w:eastAsia="Consolas" w:hAnsi="Consolas" w:cs="Consolas"/>
          <w:sz w:val="19"/>
          <w:szCs w:val="19"/>
        </w:rPr>
        <w:t>rendements</w:t>
      </w:r>
      <w:proofErr w:type="gramEnd"/>
      <w:r>
        <w:rPr>
          <w:rFonts w:ascii="Consolas" w:eastAsia="Consolas" w:hAnsi="Consolas" w:cs="Consolas"/>
          <w:sz w:val="19"/>
          <w:szCs w:val="19"/>
        </w:rPr>
        <w:t>_quotidiens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data.pct_change</w:t>
      </w:r>
      <w:proofErr w:type="spellEnd"/>
      <w:r>
        <w:rPr>
          <w:rFonts w:ascii="Consolas" w:eastAsia="Consolas" w:hAnsi="Consolas" w:cs="Consolas"/>
          <w:sz w:val="19"/>
          <w:szCs w:val="19"/>
        </w:rPr>
        <w:t>()</w:t>
      </w:r>
      <w:r>
        <w:rPr>
          <w:rFonts w:ascii="Consolas" w:eastAsia="Consolas" w:hAnsi="Consolas" w:cs="Consolas"/>
          <w:sz w:val="19"/>
          <w:szCs w:val="19"/>
        </w:rPr>
        <w:br/>
        <w:t xml:space="preserve">volatilite_6m = </w:t>
      </w:r>
      <w:proofErr w:type="spellStart"/>
      <w:r>
        <w:rPr>
          <w:rFonts w:ascii="Consolas" w:eastAsia="Consolas" w:hAnsi="Consolas" w:cs="Consolas"/>
          <w:sz w:val="19"/>
          <w:szCs w:val="19"/>
        </w:rPr>
        <w:t>rendements_quotidiens.rolling</w:t>
      </w:r>
      <w:proofErr w:type="spellEnd"/>
      <w:r>
        <w:rPr>
          <w:rFonts w:ascii="Consolas" w:eastAsia="Consolas" w:hAnsi="Consolas" w:cs="Consolas"/>
          <w:sz w:val="19"/>
          <w:szCs w:val="19"/>
        </w:rPr>
        <w:t>(</w:t>
      </w:r>
      <w:proofErr w:type="spellStart"/>
      <w:r>
        <w:rPr>
          <w:rFonts w:ascii="Consolas" w:eastAsia="Consolas" w:hAnsi="Consolas" w:cs="Consolas"/>
          <w:sz w:val="19"/>
          <w:szCs w:val="19"/>
        </w:rPr>
        <w:t>window</w:t>
      </w:r>
      <w:proofErr w:type="spellEnd"/>
      <w:r>
        <w:rPr>
          <w:rFonts w:ascii="Consolas" w:eastAsia="Consolas" w:hAnsi="Consolas" w:cs="Consolas"/>
          <w:sz w:val="19"/>
          <w:szCs w:val="19"/>
        </w:rPr>
        <w:t>=126).std() * (252 ** 0.5) * 100</w:t>
      </w:r>
    </w:p>
    <w:sectPr w:rsidR="00FF49E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D3C47"/>
    <w:multiLevelType w:val="hybridMultilevel"/>
    <w:tmpl w:val="65E8008A"/>
    <w:lvl w:ilvl="0" w:tplc="2B5E3AEE">
      <w:start w:val="1"/>
      <w:numFmt w:val="bullet"/>
      <w:lvlText w:val="●"/>
      <w:lvlJc w:val="left"/>
      <w:pPr>
        <w:ind w:left="720" w:hanging="360"/>
      </w:pPr>
    </w:lvl>
    <w:lvl w:ilvl="1" w:tplc="497C6FC8">
      <w:start w:val="1"/>
      <w:numFmt w:val="bullet"/>
      <w:lvlText w:val="○"/>
      <w:lvlJc w:val="left"/>
      <w:pPr>
        <w:ind w:left="1440" w:hanging="360"/>
      </w:pPr>
    </w:lvl>
    <w:lvl w:ilvl="2" w:tplc="CF22D352">
      <w:start w:val="1"/>
      <w:numFmt w:val="bullet"/>
      <w:lvlText w:val="■"/>
      <w:lvlJc w:val="left"/>
      <w:pPr>
        <w:ind w:left="2160" w:hanging="360"/>
      </w:pPr>
    </w:lvl>
    <w:lvl w:ilvl="3" w:tplc="6B0E7146">
      <w:start w:val="1"/>
      <w:numFmt w:val="bullet"/>
      <w:lvlText w:val="●"/>
      <w:lvlJc w:val="left"/>
      <w:pPr>
        <w:ind w:left="2880" w:hanging="360"/>
      </w:pPr>
    </w:lvl>
    <w:lvl w:ilvl="4" w:tplc="0714CC2E">
      <w:start w:val="1"/>
      <w:numFmt w:val="bullet"/>
      <w:lvlText w:val="○"/>
      <w:lvlJc w:val="left"/>
      <w:pPr>
        <w:ind w:left="3600" w:hanging="360"/>
      </w:pPr>
    </w:lvl>
    <w:lvl w:ilvl="5" w:tplc="A8AEB898">
      <w:start w:val="1"/>
      <w:numFmt w:val="bullet"/>
      <w:lvlText w:val="■"/>
      <w:lvlJc w:val="left"/>
      <w:pPr>
        <w:ind w:left="4320" w:hanging="360"/>
      </w:pPr>
    </w:lvl>
    <w:lvl w:ilvl="6" w:tplc="4AE6E0F4">
      <w:start w:val="1"/>
      <w:numFmt w:val="bullet"/>
      <w:lvlText w:val="●"/>
      <w:lvlJc w:val="left"/>
      <w:pPr>
        <w:ind w:left="5040" w:hanging="360"/>
      </w:pPr>
    </w:lvl>
    <w:lvl w:ilvl="7" w:tplc="6E0C35F2">
      <w:start w:val="1"/>
      <w:numFmt w:val="bullet"/>
      <w:lvlText w:val="●"/>
      <w:lvlJc w:val="left"/>
      <w:pPr>
        <w:ind w:left="5760" w:hanging="360"/>
      </w:pPr>
    </w:lvl>
    <w:lvl w:ilvl="8" w:tplc="16BA244A">
      <w:start w:val="1"/>
      <w:numFmt w:val="bullet"/>
      <w:lvlText w:val="●"/>
      <w:lvlJc w:val="left"/>
      <w:pPr>
        <w:ind w:left="6480" w:hanging="360"/>
      </w:pPr>
    </w:lvl>
  </w:abstractNum>
  <w:abstractNum w:abstractNumId="1" w15:restartNumberingAfterBreak="0">
    <w:nsid w:val="39133FA5"/>
    <w:multiLevelType w:val="hybridMultilevel"/>
    <w:tmpl w:val="E124B8E0"/>
    <w:lvl w:ilvl="0" w:tplc="FF18C3C2">
      <w:start w:val="1"/>
      <w:numFmt w:val="bullet"/>
      <w:lvlText w:val="•"/>
      <w:lvlJc w:val="left"/>
      <w:pPr>
        <w:ind w:left="480" w:hanging="260"/>
      </w:pPr>
    </w:lvl>
    <w:lvl w:ilvl="1" w:tplc="711E082C">
      <w:numFmt w:val="decimal"/>
      <w:lvlText w:val=""/>
      <w:lvlJc w:val="left"/>
    </w:lvl>
    <w:lvl w:ilvl="2" w:tplc="CEB80232">
      <w:numFmt w:val="decimal"/>
      <w:lvlText w:val=""/>
      <w:lvlJc w:val="left"/>
    </w:lvl>
    <w:lvl w:ilvl="3" w:tplc="99C00140">
      <w:numFmt w:val="decimal"/>
      <w:lvlText w:val=""/>
      <w:lvlJc w:val="left"/>
    </w:lvl>
    <w:lvl w:ilvl="4" w:tplc="39446C8C">
      <w:numFmt w:val="decimal"/>
      <w:lvlText w:val=""/>
      <w:lvlJc w:val="left"/>
    </w:lvl>
    <w:lvl w:ilvl="5" w:tplc="930A8754">
      <w:numFmt w:val="decimal"/>
      <w:lvlText w:val=""/>
      <w:lvlJc w:val="left"/>
    </w:lvl>
    <w:lvl w:ilvl="6" w:tplc="43208F86">
      <w:numFmt w:val="decimal"/>
      <w:lvlText w:val=""/>
      <w:lvlJc w:val="left"/>
    </w:lvl>
    <w:lvl w:ilvl="7" w:tplc="6A8C10E8">
      <w:numFmt w:val="decimal"/>
      <w:lvlText w:val=""/>
      <w:lvlJc w:val="left"/>
    </w:lvl>
    <w:lvl w:ilvl="8" w:tplc="1110E9D6">
      <w:numFmt w:val="decimal"/>
      <w:lvlText w:val=""/>
      <w:lvlJc w:val="left"/>
    </w:lvl>
  </w:abstractNum>
  <w:num w:numId="1" w16cid:durableId="883299513">
    <w:abstractNumId w:val="0"/>
    <w:lvlOverride w:ilvl="0">
      <w:startOverride w:val="1"/>
    </w:lvlOverride>
  </w:num>
  <w:num w:numId="2" w16cid:durableId="899631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9EE"/>
    <w:rsid w:val="000E67E1"/>
    <w:rsid w:val="00FF49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BF1BA6C8-B7C8-9344-A609-383F7A1C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3614</Words>
  <Characters>19880</Characters>
  <Application>Microsoft Office Word</Application>
  <DocSecurity>0</DocSecurity>
  <Lines>165</Lines>
  <Paragraphs>46</Paragraphs>
  <ScaleCrop>false</ScaleCrop>
  <Company/>
  <LinksUpToDate>false</LinksUpToDate>
  <CharactersWithSpaces>23448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NASSAM</cp:lastModifiedBy>
  <cp:revision>1</cp:revision>
  <dcterms:created xsi:type="dcterms:W3CDTF">2026-08-22T18:12:00Z</dcterms:created>
  <dcterms:modified xsi:type="dcterms:W3CDTF">2026-08-22T18:16:00Z</dcterms:modified>
</cp:coreProperties>
</file>