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Our research focused on understanding global health inequalities by examining health indicators like Years of Healthy Life Lost due to Disability (YLDs). We used data from the World Health Organization (WHO) Global Health Estimates to identify trends in disease burden and mortality.</w:t>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 xml:space="preserve">Our analysis addressed several key questions, including: What are the most prevalent causes of disability? How is wealth distributed geographically, and what is the correlation between this and disability? How do disability rates differ between male and female populations?</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 xml:space="preserve">Regarding the most prevalent causes of disability, our analysis showed that noncommunicable diseases are the leading cause globally. These are diseases that cannot be spread from person to person, such as cardiovascular disease or cancer. The top three causes also include mental health disorders and substance use (like PTSD, schizophrenia, and opioid use) and musculoskeletal diseases (like injuries or chronic conditions). To visualize this, we created a horizontal bar chart displaying the top 10 causes based on total estimated YLDs. The layout was chosen for readability, horizontal bars make it easier to accommodate long disease names without rotating labels. The color scheme employed a sequential blue palette ranging from light to dark to represent increasing YLD values. This helped draw attention to the most burdensome conditions while maintaining visual consistency. The x-axis represented the total number of YLDs in millions, clearly labeled with evenly spaced ticks, while the y-axis listed disease categories in descending order of impact. We also scaled the chart so that the bars occupied around 80% of the width, leaving ample margin space for annotations and legibility. We decided to keep these philosophies when designing the aesthetics for the remaining graphs, aside from the final graph, where we used pink and blue to represent female and male, respectively.</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t xml:space="preserve">For the question about wealth distribution and disability, we initially explored the idea of visualizing disability data overlaid on a map showing World Bank income classifications. The map itself illustrates that high-income nations are concentrated in the Global North, while lower-income nations are predominantly in the Global South, highlighting global economic disparities. We considered using elements like dot size on this map to represent average disability values. However, this map-based approach was discarded because, when trying to incorporate other elements, the visualization became too hard to read. Instead, we focused on summarizing the average disability estimates by World Bank income group over time. The resulting line plot showed that higher-income countries tend to report more disability cases on average. It's important to note, however, that what we found likely reflects better access to healthcare, diagnostic services, and more comprehensive data reporting in wealthier nations, rather than necessarily indicating a true difference in disability prevalence. Lower-income countries often face underreporting due to limited healthcare access and diagnostic capacity. Thus, the observed trend might highlight disparities in healthcare infrastructure more than actual differences in disability rates.</w:t>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t xml:space="preserve">Finally, when examining how disability rates differ between male and female populations, our analysis showed a clear difference. The bar chart comparing average YLD rates revealed that females experience, on average, over 50 more years of healthy life lost to disability compared to males. This difference suggests that females may be more vulnerable to certain types of disabilities, or experience them at higher rates or severities. Additionally, conditions unique to females, such as maternal health disorders, may contribute to this increased burden.</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t xml:space="preserve">A significant limitation we encountered in this analysis is the lack of population-adjusted data. Without knowing the percentage of each country's population affected, it is difficult to definitively determine whether disability is genuinely more common in certain countries or groups.</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t xml:space="preserve">Overall, our analysis highlights the significant burden of noncommunicable diseases as a primary driver of disability globally and points to the complex relationship between national income levels and reported disability rates, influenced by healthcare access and data reporting. It also reveals a notable disparity in disability burden between sexes, with females experiencing a higher average loss of healthy life due to disability.</w:t>
      </w:r>
    </w:p>
    <w:p w:rsidR="00000000" w:rsidDel="00000000" w:rsidP="00000000" w:rsidRDefault="00000000" w:rsidRPr="00000000" w14:paraId="0000000E">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