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C3E897" w14:textId="28996ED9" w:rsidR="00B1060B" w:rsidRDefault="00B04480" w:rsidP="00E13A88">
      <w:pPr>
        <w:ind w:left="-450" w:right="-468"/>
        <w:jc w:val="center"/>
        <w:rPr>
          <w:rFonts w:ascii="Georgia" w:hAnsi="Georgia"/>
          <w:sz w:val="24"/>
          <w:szCs w:val="24"/>
          <w:lang w:val="en-US"/>
        </w:rPr>
      </w:pPr>
      <w:r w:rsidRPr="00094D99">
        <w:rPr>
          <w:rFonts w:ascii="Georgia" w:hAnsi="Georgia"/>
          <w:sz w:val="24"/>
          <w:szCs w:val="24"/>
          <w:lang w:val="en-US"/>
        </w:rPr>
        <w:t>Own Data – Analysis Report</w:t>
      </w:r>
    </w:p>
    <w:p w14:paraId="60F9D116" w14:textId="595EB703" w:rsidR="00E13A88" w:rsidRPr="00094D99" w:rsidRDefault="00E13A88" w:rsidP="00E13A88">
      <w:pPr>
        <w:ind w:left="-450" w:right="-468"/>
        <w:jc w:val="center"/>
        <w:rPr>
          <w:rFonts w:ascii="Georgia" w:hAnsi="Georgia"/>
          <w:sz w:val="24"/>
          <w:szCs w:val="24"/>
          <w:lang w:val="en-US"/>
        </w:rPr>
      </w:pPr>
      <w:r w:rsidRPr="00E13A88">
        <w:rPr>
          <w:rFonts w:ascii="Georgia" w:hAnsi="Georgia"/>
          <w:sz w:val="24"/>
          <w:szCs w:val="24"/>
          <w:lang w:val="en-US"/>
        </w:rPr>
        <w:t>Samuel William Nehrer</w:t>
      </w:r>
    </w:p>
    <w:p w14:paraId="6A46D593" w14:textId="56598D6C" w:rsidR="00B04480" w:rsidRDefault="00B04480" w:rsidP="00E13A88">
      <w:pPr>
        <w:ind w:left="-450" w:right="-468"/>
        <w:jc w:val="center"/>
        <w:rPr>
          <w:rFonts w:ascii="Georgia" w:hAnsi="Georgia"/>
          <w:b/>
          <w:bCs/>
          <w:sz w:val="28"/>
          <w:szCs w:val="28"/>
          <w:lang w:val="en-US"/>
        </w:rPr>
      </w:pPr>
      <w:r w:rsidRPr="00094D99">
        <w:rPr>
          <w:rFonts w:ascii="Georgia" w:hAnsi="Georgia"/>
          <w:b/>
          <w:bCs/>
          <w:sz w:val="28"/>
          <w:szCs w:val="28"/>
          <w:lang w:val="en-US"/>
        </w:rPr>
        <w:t>Public Housing in Aarhus</w:t>
      </w:r>
    </w:p>
    <w:p w14:paraId="584EDDBD" w14:textId="77777777" w:rsidR="00B04480" w:rsidRPr="00094D99" w:rsidRDefault="00B04480" w:rsidP="00E13A88">
      <w:pPr>
        <w:ind w:left="-450" w:right="-468"/>
        <w:jc w:val="center"/>
        <w:rPr>
          <w:rFonts w:ascii="Georgia" w:hAnsi="Georgia"/>
          <w:b/>
          <w:bCs/>
          <w:sz w:val="28"/>
          <w:szCs w:val="28"/>
          <w:lang w:val="en-US"/>
        </w:rPr>
      </w:pPr>
    </w:p>
    <w:p w14:paraId="7E2433C9" w14:textId="77777777" w:rsidR="0033469B" w:rsidRPr="00094D99" w:rsidRDefault="00B04480" w:rsidP="00E13A88">
      <w:pPr>
        <w:ind w:left="-450" w:right="-468"/>
        <w:rPr>
          <w:rFonts w:ascii="Georgia" w:hAnsi="Georgia"/>
          <w:b/>
          <w:bCs/>
          <w:sz w:val="24"/>
          <w:szCs w:val="24"/>
          <w:lang w:val="en-US"/>
        </w:rPr>
      </w:pPr>
      <w:r w:rsidRPr="00094D99">
        <w:rPr>
          <w:rFonts w:ascii="Georgia" w:hAnsi="Georgia"/>
          <w:b/>
          <w:bCs/>
          <w:sz w:val="24"/>
          <w:szCs w:val="24"/>
          <w:lang w:val="en-US"/>
        </w:rPr>
        <w:t>Introduction</w:t>
      </w:r>
    </w:p>
    <w:p w14:paraId="0250AAAF" w14:textId="462BDD96" w:rsidR="00C74210" w:rsidRPr="00AE59D6" w:rsidRDefault="00C74210" w:rsidP="00AE59D6">
      <w:pPr>
        <w:ind w:left="-450" w:right="-468"/>
        <w:jc w:val="both"/>
        <w:rPr>
          <w:rFonts w:ascii="Georgia" w:hAnsi="Georgia" w:cs="Times New Roman"/>
          <w:kern w:val="0"/>
          <w:sz w:val="24"/>
        </w:rPr>
      </w:pPr>
      <w:r w:rsidRPr="00094D99">
        <w:rPr>
          <w:rFonts w:ascii="Georgia" w:hAnsi="Georgia"/>
          <w:sz w:val="24"/>
          <w:szCs w:val="24"/>
          <w:lang w:val="en-US"/>
        </w:rPr>
        <w:t xml:space="preserve">Figuring out what drives the cost per square meter in public housing can be </w:t>
      </w:r>
      <w:r w:rsidR="00B13AE9">
        <w:rPr>
          <w:rFonts w:ascii="Georgia" w:hAnsi="Georgia"/>
          <w:sz w:val="24"/>
          <w:szCs w:val="24"/>
          <w:lang w:val="en-US"/>
        </w:rPr>
        <w:t>challenging</w:t>
      </w:r>
      <w:r w:rsidRPr="00094D99">
        <w:rPr>
          <w:rFonts w:ascii="Georgia" w:hAnsi="Georgia"/>
          <w:sz w:val="24"/>
          <w:szCs w:val="24"/>
          <w:lang w:val="en-US"/>
        </w:rPr>
        <w:t>. Listings often give just the basics—location, size, perhaps the building’s energy rating—but they don’t always explain why one apartment costs more per square meter than another. To get a better sense of what really matters, this brief report looks at a</w:t>
      </w:r>
      <w:r w:rsidRPr="00094D99">
        <w:rPr>
          <w:rFonts w:ascii="Georgia" w:hAnsi="Georgia"/>
          <w:sz w:val="24"/>
          <w:szCs w:val="24"/>
          <w:lang w:val="en-US"/>
        </w:rPr>
        <w:t xml:space="preserve"> </w:t>
      </w:r>
      <w:r w:rsidRPr="00094D99">
        <w:rPr>
          <w:rFonts w:ascii="Georgia" w:hAnsi="Georgia"/>
          <w:sz w:val="24"/>
          <w:szCs w:val="24"/>
          <w:lang w:val="en-US"/>
        </w:rPr>
        <w:t>dataset of public housing listings in Aarhus.</w:t>
      </w:r>
      <w:r w:rsidR="00381D98" w:rsidRPr="00094D99">
        <w:rPr>
          <w:rFonts w:ascii="Georgia" w:hAnsi="Georgia"/>
          <w:sz w:val="24"/>
          <w:szCs w:val="24"/>
          <w:lang w:val="en-US"/>
        </w:rPr>
        <w:t xml:space="preserve"> </w:t>
      </w:r>
      <w:r w:rsidR="00B13AE9" w:rsidRPr="00B13AE9">
        <w:rPr>
          <w:rFonts w:ascii="Georgia" w:hAnsi="Georgia"/>
          <w:sz w:val="24"/>
          <w:szCs w:val="24"/>
          <w:lang w:val="en-US"/>
        </w:rPr>
        <w:t>Existing research on European housing markets shows that rental prices are influenced by a combination of structural characteristics and a variety of location-based factors. For example, housing prices are influenced by proximity to urban centers and structural characteristics such as area and number of rooms</w:t>
      </w:r>
      <w:r w:rsidR="00AE59D6">
        <w:rPr>
          <w:rFonts w:ascii="Georgia" w:hAnsi="Georgia"/>
          <w:sz w:val="24"/>
          <w:szCs w:val="24"/>
          <w:lang w:val="en-US"/>
        </w:rPr>
        <w:t xml:space="preserve"> </w:t>
      </w:r>
      <w:r w:rsidR="00AE59D6">
        <w:rPr>
          <w:rFonts w:ascii="Georgia" w:hAnsi="Georgia"/>
          <w:sz w:val="24"/>
          <w:szCs w:val="24"/>
          <w:lang w:val="en-US"/>
        </w:rPr>
        <w:fldChar w:fldCharType="begin"/>
      </w:r>
      <w:r w:rsidR="00AE59D6">
        <w:rPr>
          <w:rFonts w:ascii="Georgia" w:hAnsi="Georgia"/>
          <w:sz w:val="24"/>
          <w:szCs w:val="24"/>
          <w:lang w:val="en-US"/>
        </w:rPr>
        <w:instrText xml:space="preserve"> ADDIN ZOTERO_ITEM CSL_CITATION {"citationID":"jyDzvern","properties":{"formattedCitation":"(Zietz et al., 2006)","plainCitation":"(Zietz et al., 2006)","noteIndex":0},"citationItems":[{"id":2844,"uris":["http://zotero.org/users/13444921/items/58LJXZ9D"],"itemData":{"id":2844,"type":"article-journal","abstract":"This paper provides a meta regression analysis of the nine housing characteristics that are appear most often in hedonic pricing models for singlefamily housing: square footage, lot size, age, bedrooms, bathrooms, garage, swimming pool, fireplace,","container-title":"The Journal of Real Estate Finance and Economics","source":"www.academia.edu","title":"The Value of Housing Characteristics: A Meta Analysis","title-short":"The Value of Housing Characteristics","URL":"https://www.academia.edu/21853990/The_Value_of_Housing_Characteristics_A_Meta_Analysis","author":[{"family":"Zietz","given":"Emily"},{"family":"Sirmans","given":"Stacy"},{"family":"Sirmans","given":"G."}],"accessed":{"date-parts":[["2024",12,7]]},"issued":{"date-parts":[["2006",1,1]]}}}],"schema":"https://github.com/citation-style-language/schema/raw/master/csl-citation.json"} </w:instrText>
      </w:r>
      <w:r w:rsidR="00AE59D6">
        <w:rPr>
          <w:rFonts w:ascii="Georgia" w:hAnsi="Georgia"/>
          <w:sz w:val="24"/>
          <w:szCs w:val="24"/>
          <w:lang w:val="en-US"/>
        </w:rPr>
        <w:fldChar w:fldCharType="separate"/>
      </w:r>
      <w:r w:rsidR="00AE59D6" w:rsidRPr="00AE59D6">
        <w:rPr>
          <w:rFonts w:ascii="Georgia" w:hAnsi="Georgia"/>
          <w:sz w:val="24"/>
        </w:rPr>
        <w:t>(Zietz et al., 2006)</w:t>
      </w:r>
      <w:r w:rsidR="00AE59D6">
        <w:rPr>
          <w:rFonts w:ascii="Georgia" w:hAnsi="Georgia"/>
          <w:sz w:val="24"/>
          <w:szCs w:val="24"/>
          <w:lang w:val="en-US"/>
        </w:rPr>
        <w:fldChar w:fldCharType="end"/>
      </w:r>
      <w:r w:rsidR="00AE59D6">
        <w:rPr>
          <w:rFonts w:ascii="Georgia" w:hAnsi="Georgia"/>
          <w:sz w:val="24"/>
          <w:szCs w:val="24"/>
          <w:lang w:val="en-US"/>
        </w:rPr>
        <w:t xml:space="preserve">. </w:t>
      </w:r>
      <w:r w:rsidR="00B13AE9" w:rsidRPr="00B13AE9">
        <w:rPr>
          <w:rFonts w:ascii="Georgia" w:hAnsi="Georgia"/>
          <w:sz w:val="24"/>
          <w:szCs w:val="24"/>
          <w:lang w:val="en-US"/>
        </w:rPr>
        <w:t xml:space="preserve">The compact and urban-friendly character of smaller apartments frequently leads to a higher demand, which in turn drives an increase in price per square meter </w:t>
      </w:r>
      <w:r w:rsidR="00AE59D6">
        <w:rPr>
          <w:rFonts w:ascii="Georgia" w:hAnsi="Georgia"/>
          <w:sz w:val="24"/>
          <w:szCs w:val="24"/>
          <w:lang w:val="en-US"/>
        </w:rPr>
        <w:fldChar w:fldCharType="begin"/>
      </w:r>
      <w:r w:rsidR="00AE59D6">
        <w:rPr>
          <w:rFonts w:ascii="Georgia" w:hAnsi="Georgia"/>
          <w:sz w:val="24"/>
          <w:szCs w:val="24"/>
          <w:lang w:val="en-US"/>
        </w:rPr>
        <w:instrText xml:space="preserve"> ADDIN ZOTERO_ITEM CSL_CITATION {"citationID":"WlOf9XeK","properties":{"formattedCitation":"(Dubois &amp; Nivakosk, 2023)","plainCitation":"(Dubois &amp; Nivakosk, 2023)","noteIndex":0},"citationItems":[{"id":2851,"uris":["http://zotero.org/users/13444921/items/WA3LUANA"],"itemData":{"id":2851,"type":"book","collection-title":"Research paper / Eurofound","event-place":"Luxembourg","ISBN":"978-92-897-2327-5","language":"en","note":"DOI: 10.2806/715002","number-of-pages":"1","publisher":"Publications Office of the European Union","publisher-place":"Luxembourg","source":"K10plus ISBN","title":"Unaffordable and inadequate housing in Europe","author":[{"family":"Dubois","given":"Hans"},{"family":"Nivakosk","given":"Sanna"}],"contributor":[{"literal":"European Foundation for the Improvement of Living and Working Conditions"}],"issued":{"date-parts":[["2023"]]}}}],"schema":"https://github.com/citation-style-language/schema/raw/master/csl-citation.json"} </w:instrText>
      </w:r>
      <w:r w:rsidR="00AE59D6">
        <w:rPr>
          <w:rFonts w:ascii="Georgia" w:hAnsi="Georgia"/>
          <w:sz w:val="24"/>
          <w:szCs w:val="24"/>
          <w:lang w:val="en-US"/>
        </w:rPr>
        <w:fldChar w:fldCharType="separate"/>
      </w:r>
      <w:r w:rsidR="00AE59D6" w:rsidRPr="00AE59D6">
        <w:rPr>
          <w:rFonts w:ascii="Georgia" w:hAnsi="Georgia"/>
          <w:sz w:val="24"/>
        </w:rPr>
        <w:t xml:space="preserve">(Dubois &amp; </w:t>
      </w:r>
      <w:proofErr w:type="spellStart"/>
      <w:r w:rsidR="00AE59D6" w:rsidRPr="00AE59D6">
        <w:rPr>
          <w:rFonts w:ascii="Georgia" w:hAnsi="Georgia"/>
          <w:sz w:val="24"/>
        </w:rPr>
        <w:t>Nivakosk</w:t>
      </w:r>
      <w:proofErr w:type="spellEnd"/>
      <w:r w:rsidR="00AE59D6" w:rsidRPr="00AE59D6">
        <w:rPr>
          <w:rFonts w:ascii="Georgia" w:hAnsi="Georgia"/>
          <w:sz w:val="24"/>
        </w:rPr>
        <w:t>, 2023)</w:t>
      </w:r>
      <w:r w:rsidR="00AE59D6">
        <w:rPr>
          <w:rFonts w:ascii="Georgia" w:hAnsi="Georgia"/>
          <w:sz w:val="24"/>
          <w:szCs w:val="24"/>
          <w:lang w:val="en-US"/>
        </w:rPr>
        <w:fldChar w:fldCharType="end"/>
      </w:r>
      <w:r w:rsidR="00B13AE9" w:rsidRPr="00B13AE9">
        <w:rPr>
          <w:rFonts w:ascii="Georgia" w:hAnsi="Georgia"/>
          <w:sz w:val="24"/>
          <w:szCs w:val="24"/>
          <w:lang w:val="en-US"/>
        </w:rPr>
        <w:t>. Moreover, the significance of location has been found to be best predictor of price per square meter</w:t>
      </w:r>
      <w:r w:rsidR="00AE59D6">
        <w:rPr>
          <w:rFonts w:ascii="Georgia" w:hAnsi="Georgia"/>
          <w:sz w:val="24"/>
          <w:szCs w:val="24"/>
          <w:lang w:val="en-US"/>
        </w:rPr>
        <w:t xml:space="preserve"> </w:t>
      </w:r>
      <w:r w:rsidR="00AE59D6">
        <w:rPr>
          <w:rFonts w:ascii="Georgia" w:hAnsi="Georgia"/>
          <w:sz w:val="24"/>
          <w:szCs w:val="24"/>
          <w:lang w:val="en-US"/>
        </w:rPr>
        <w:fldChar w:fldCharType="begin"/>
      </w:r>
      <w:r w:rsidR="00AE59D6">
        <w:rPr>
          <w:rFonts w:ascii="Georgia" w:hAnsi="Georgia"/>
          <w:sz w:val="24"/>
          <w:szCs w:val="24"/>
          <w:lang w:val="en-US"/>
        </w:rPr>
        <w:instrText xml:space="preserve"> ADDIN ZOTERO_ITEM CSL_CITATION {"citationID":"YabqY6KO","properties":{"formattedCitation":"(Melecky &amp; Paksi, 2024)","plainCitation":"(Melecky &amp; Paksi, 2024)","noteIndex":0},"citationItems":[{"id":2852,"uris":["http://zotero.org/users/13444921/items/X93GBCGE"],"itemData":{"id":2852,"type":"article-journal","abstract":"Many countries in Europe have experienced a steady increase in housing prices over the past decade, which continued even during the recent crisis. We analyze a panel of 15 European countries over the period 2000–2020. We find that demand-side determinants, such as GDP, unemployment, wage and population, strongly influence housing prices. Nevertheless, we suggest that construction costs, access to finance (credit to GDP), and financing costs (long-term interest rate) should be included to avoid biased results. We find that financial development can significantly affect housing prices in the long run. We confirm the robustness of our results by conducting a lag sensitivity analysis of selected determinants. In addition, we find a negative effect of the GFC and a positive effect of the Covid crisis on housing prices. Furthermore, we find that countries with a mild reaction to or a quick recovery from the GFC experienced significantly higher housing price growth.","container-title":"Empirica","DOI":"10.1007/s10663-024-09611-5","ISSN":"1573-6911","issue":"3","journalAbbreviation":"Empirica","language":"en","page":"731-753","source":"Springer Link","title":"Drivers of European housing prices in the new millennium: demand, financial, and supply determinants","title-short":"Drivers of European housing prices in the new millennium","volume":"51","author":[{"family":"Melecky","given":"Ales"},{"family":"Paksi","given":"Daniel"}],"issued":{"date-parts":[["2024",8,1]]}}}],"schema":"https://github.com/citation-style-language/schema/raw/master/csl-citation.json"} </w:instrText>
      </w:r>
      <w:r w:rsidR="00AE59D6">
        <w:rPr>
          <w:rFonts w:ascii="Georgia" w:hAnsi="Georgia"/>
          <w:sz w:val="24"/>
          <w:szCs w:val="24"/>
          <w:lang w:val="en-US"/>
        </w:rPr>
        <w:fldChar w:fldCharType="separate"/>
      </w:r>
      <w:r w:rsidR="00AE59D6" w:rsidRPr="00AE59D6">
        <w:rPr>
          <w:rFonts w:ascii="Georgia" w:hAnsi="Georgia"/>
          <w:sz w:val="24"/>
        </w:rPr>
        <w:t>(</w:t>
      </w:r>
      <w:proofErr w:type="spellStart"/>
      <w:r w:rsidR="00AE59D6" w:rsidRPr="00AE59D6">
        <w:rPr>
          <w:rFonts w:ascii="Georgia" w:hAnsi="Georgia"/>
          <w:sz w:val="24"/>
        </w:rPr>
        <w:t>Melecky</w:t>
      </w:r>
      <w:proofErr w:type="spellEnd"/>
      <w:r w:rsidR="00AE59D6" w:rsidRPr="00AE59D6">
        <w:rPr>
          <w:rFonts w:ascii="Georgia" w:hAnsi="Georgia"/>
          <w:sz w:val="24"/>
        </w:rPr>
        <w:t xml:space="preserve"> &amp; Paksi, 2024)</w:t>
      </w:r>
      <w:r w:rsidR="00AE59D6">
        <w:rPr>
          <w:rFonts w:ascii="Georgia" w:hAnsi="Georgia"/>
          <w:sz w:val="24"/>
          <w:szCs w:val="24"/>
          <w:lang w:val="en-US"/>
        </w:rPr>
        <w:fldChar w:fldCharType="end"/>
      </w:r>
      <w:r w:rsidR="00AE59D6">
        <w:rPr>
          <w:rFonts w:ascii="Georgia" w:hAnsi="Georgia"/>
          <w:sz w:val="24"/>
          <w:szCs w:val="24"/>
          <w:lang w:val="en-US"/>
        </w:rPr>
        <w:t>.</w:t>
      </w:r>
      <w:r w:rsidR="00B13AE9" w:rsidRPr="00B13AE9">
        <w:rPr>
          <w:rFonts w:ascii="Georgia" w:hAnsi="Georgia"/>
          <w:sz w:val="24"/>
          <w:szCs w:val="24"/>
          <w:lang w:val="en-US"/>
        </w:rPr>
        <w:t xml:space="preserve"> This report looks at these patterns in Aarhus, Denmark, with the aim of getting a basic overview about which factors influence public housing prices there. The data for this overview come from the City of Aarhus’s (Aarhus </w:t>
      </w:r>
      <w:proofErr w:type="spellStart"/>
      <w:r w:rsidR="00B13AE9" w:rsidRPr="00B13AE9">
        <w:rPr>
          <w:rFonts w:ascii="Georgia" w:hAnsi="Georgia"/>
          <w:sz w:val="24"/>
          <w:szCs w:val="24"/>
          <w:lang w:val="en-US"/>
        </w:rPr>
        <w:t>Kommune</w:t>
      </w:r>
      <w:proofErr w:type="spellEnd"/>
      <w:r w:rsidR="00B13AE9" w:rsidRPr="00B13AE9">
        <w:rPr>
          <w:rFonts w:ascii="Georgia" w:hAnsi="Georgia"/>
          <w:sz w:val="24"/>
          <w:szCs w:val="24"/>
          <w:lang w:val="en-US"/>
        </w:rPr>
        <w:t xml:space="preserve">) open data portal and consist of the latest master data from all housing organizations in </w:t>
      </w:r>
      <w:proofErr w:type="spellStart"/>
      <w:r w:rsidR="00B13AE9" w:rsidRPr="00B13AE9">
        <w:rPr>
          <w:rFonts w:ascii="Georgia" w:hAnsi="Georgia"/>
          <w:sz w:val="24"/>
          <w:szCs w:val="24"/>
          <w:lang w:val="en-US"/>
        </w:rPr>
        <w:t>Aarhusbolig</w:t>
      </w:r>
      <w:proofErr w:type="spellEnd"/>
      <w:r w:rsidR="00AE59D6">
        <w:rPr>
          <w:rFonts w:ascii="Georgia" w:hAnsi="Georgia"/>
          <w:sz w:val="24"/>
          <w:szCs w:val="24"/>
          <w:lang w:val="en-US"/>
        </w:rPr>
        <w:t xml:space="preserve"> </w:t>
      </w:r>
      <w:r w:rsidR="00AE59D6">
        <w:rPr>
          <w:rFonts w:ascii="Georgia" w:hAnsi="Georgia"/>
          <w:sz w:val="24"/>
          <w:szCs w:val="24"/>
          <w:lang w:val="en-US"/>
        </w:rPr>
        <w:fldChar w:fldCharType="begin"/>
      </w:r>
      <w:r w:rsidR="00AE59D6">
        <w:rPr>
          <w:rFonts w:ascii="Georgia" w:hAnsi="Georgia"/>
          <w:sz w:val="24"/>
          <w:szCs w:val="24"/>
          <w:lang w:val="en-US"/>
        </w:rPr>
        <w:instrText xml:space="preserve"> ADDIN ZOTERO_ITEM CSL_CITATION {"citationID":"JpEIgKVy","properties":{"formattedCitation":"({\\i{}Aarhus Residence - Dataset}, n.d.)","plainCitation":"(Aarhus Residence - Dataset, n.d.)","noteIndex":0},"citationItems":[{"id":2854,"uris":["http://zotero.org/users/13444921/items/5JNK3U7D"],"itemData":{"id":2854,"type":"webpage","title":"Aarhus residence - Dataset","URL":"https://www.opendata.dk/city-of-aarhus/aarhusbolig?fbclid=IwZXh0bgNhZW0CMTEAAR0ra7fv_hHwOB_lj1e4rwdPfQNy3C0n0Vqf2M3Ska_gAjQPXodSzwH35-g_aem_JGFGaEINLyZiEa-jfv2g1w","accessed":{"date-parts":[["2024",12,7]]}}}],"schema":"https://github.com/citation-style-language/schema/raw/master/csl-citation.json"} </w:instrText>
      </w:r>
      <w:r w:rsidR="00AE59D6">
        <w:rPr>
          <w:rFonts w:ascii="Georgia" w:hAnsi="Georgia"/>
          <w:sz w:val="24"/>
          <w:szCs w:val="24"/>
          <w:lang w:val="en-US"/>
        </w:rPr>
        <w:fldChar w:fldCharType="separate"/>
      </w:r>
      <w:r w:rsidR="00AE59D6" w:rsidRPr="00AE59D6">
        <w:rPr>
          <w:rFonts w:ascii="Georgia" w:hAnsi="Georgia" w:cs="Times New Roman"/>
          <w:kern w:val="0"/>
          <w:sz w:val="24"/>
        </w:rPr>
        <w:t>(</w:t>
      </w:r>
      <w:r w:rsidR="00AE59D6" w:rsidRPr="00AE59D6">
        <w:rPr>
          <w:rFonts w:ascii="Georgia" w:hAnsi="Georgia" w:cs="Times New Roman"/>
          <w:i/>
          <w:iCs/>
          <w:kern w:val="0"/>
          <w:sz w:val="24"/>
        </w:rPr>
        <w:t>Aarhus Residence - Dataset</w:t>
      </w:r>
      <w:r w:rsidR="00AE59D6" w:rsidRPr="00AE59D6">
        <w:rPr>
          <w:rFonts w:ascii="Georgia" w:hAnsi="Georgia" w:cs="Times New Roman"/>
          <w:kern w:val="0"/>
          <w:sz w:val="24"/>
        </w:rPr>
        <w:t xml:space="preserve">, </w:t>
      </w:r>
      <w:r w:rsidR="00AE59D6">
        <w:rPr>
          <w:rFonts w:ascii="Georgia" w:hAnsi="Georgia" w:cs="Times New Roman"/>
          <w:kern w:val="0"/>
          <w:sz w:val="24"/>
        </w:rPr>
        <w:t>2024</w:t>
      </w:r>
      <w:r w:rsidR="00AE59D6" w:rsidRPr="00AE59D6">
        <w:rPr>
          <w:rFonts w:ascii="Georgia" w:hAnsi="Georgia" w:cs="Times New Roman"/>
          <w:kern w:val="0"/>
          <w:sz w:val="24"/>
        </w:rPr>
        <w:t>)</w:t>
      </w:r>
      <w:r w:rsidR="00AE59D6">
        <w:rPr>
          <w:rFonts w:ascii="Georgia" w:hAnsi="Georgia"/>
          <w:sz w:val="24"/>
          <w:szCs w:val="24"/>
          <w:lang w:val="en-US"/>
        </w:rPr>
        <w:fldChar w:fldCharType="end"/>
      </w:r>
      <w:r w:rsidR="00B13AE9" w:rsidRPr="00B13AE9">
        <w:rPr>
          <w:rFonts w:ascii="Georgia" w:hAnsi="Georgia"/>
          <w:sz w:val="24"/>
          <w:szCs w:val="24"/>
          <w:lang w:val="en-US"/>
        </w:rPr>
        <w:t>.</w:t>
      </w:r>
    </w:p>
    <w:p w14:paraId="7E0B25BC" w14:textId="75F90F55" w:rsidR="00B04480" w:rsidRPr="00094D99" w:rsidRDefault="00B04480" w:rsidP="00E13A88">
      <w:pPr>
        <w:ind w:left="-450" w:right="-468"/>
        <w:jc w:val="both"/>
        <w:rPr>
          <w:rFonts w:ascii="Georgia" w:hAnsi="Georgia"/>
          <w:b/>
          <w:bCs/>
          <w:sz w:val="24"/>
          <w:szCs w:val="24"/>
          <w:lang w:val="en-US"/>
        </w:rPr>
      </w:pPr>
      <w:r w:rsidRPr="00094D99">
        <w:rPr>
          <w:rFonts w:ascii="Georgia" w:hAnsi="Georgia"/>
          <w:b/>
          <w:bCs/>
          <w:sz w:val="24"/>
          <w:szCs w:val="24"/>
          <w:lang w:val="en-US"/>
        </w:rPr>
        <w:t>Methods</w:t>
      </w:r>
    </w:p>
    <w:p w14:paraId="2344F31B" w14:textId="301D41F1" w:rsidR="00094D99" w:rsidRDefault="00094D99" w:rsidP="00E13A88">
      <w:pPr>
        <w:ind w:left="-450" w:right="-468"/>
        <w:jc w:val="both"/>
        <w:rPr>
          <w:rFonts w:ascii="Georgia" w:hAnsi="Georgia"/>
          <w:sz w:val="24"/>
          <w:szCs w:val="24"/>
          <w:lang w:val="en-US"/>
        </w:rPr>
      </w:pPr>
      <w:r w:rsidRPr="00094D99">
        <w:rPr>
          <w:rFonts w:ascii="Georgia" w:hAnsi="Georgia"/>
          <w:sz w:val="24"/>
          <w:szCs w:val="24"/>
          <w:lang w:val="en-US"/>
        </w:rPr>
        <w:t xml:space="preserve">Our dataset </w:t>
      </w:r>
      <w:r w:rsidRPr="00094D99">
        <w:rPr>
          <w:rFonts w:ascii="Georgia" w:hAnsi="Georgia"/>
          <w:sz w:val="24"/>
          <w:szCs w:val="24"/>
          <w:lang w:val="en-US"/>
        </w:rPr>
        <w:t xml:space="preserve">included 44,090 records, with each one representing an individual public housing unit in Aarhus. Each unit was assigned identifiers that </w:t>
      </w:r>
      <w:r>
        <w:rPr>
          <w:rFonts w:ascii="Georgia" w:hAnsi="Georgia"/>
          <w:sz w:val="24"/>
          <w:szCs w:val="24"/>
          <w:lang w:val="en-US"/>
        </w:rPr>
        <w:t xml:space="preserve">connecting it to a </w:t>
      </w:r>
      <w:r w:rsidRPr="00094D99">
        <w:rPr>
          <w:rFonts w:ascii="Georgia" w:hAnsi="Georgia"/>
          <w:sz w:val="24"/>
          <w:szCs w:val="24"/>
          <w:lang w:val="en-US"/>
        </w:rPr>
        <w:t xml:space="preserve">particular flat, department, and company. This included details about property and flat types, financial attributes like deposits, net and gross rents, and the related net and gross prices per square </w:t>
      </w:r>
      <w:r w:rsidRPr="00094D99">
        <w:rPr>
          <w:rFonts w:ascii="Georgia" w:hAnsi="Georgia"/>
          <w:sz w:val="24"/>
          <w:szCs w:val="24"/>
          <w:lang w:val="en-US"/>
        </w:rPr>
        <w:t>meter</w:t>
      </w:r>
      <w:r w:rsidRPr="00094D99">
        <w:rPr>
          <w:rFonts w:ascii="Georgia" w:hAnsi="Georgia"/>
          <w:sz w:val="24"/>
          <w:szCs w:val="24"/>
          <w:lang w:val="en-US"/>
        </w:rPr>
        <w:t xml:space="preserve">. Additionally, it covered structural features such as the number of rooms, total area, and BBR area </w:t>
      </w:r>
      <w:r>
        <w:rPr>
          <w:rFonts w:ascii="Georgia" w:hAnsi="Georgia"/>
          <w:sz w:val="24"/>
          <w:szCs w:val="24"/>
          <w:lang w:val="en-US"/>
        </w:rPr>
        <w:t>(</w:t>
      </w:r>
      <w:r w:rsidRPr="00094D99">
        <w:rPr>
          <w:rFonts w:ascii="Georgia" w:hAnsi="Georgia"/>
          <w:sz w:val="24"/>
          <w:szCs w:val="24"/>
          <w:lang w:val="en-US"/>
        </w:rPr>
        <w:t>the officially registered area of the property</w:t>
      </w:r>
      <w:r>
        <w:rPr>
          <w:rFonts w:ascii="Georgia" w:hAnsi="Georgia"/>
          <w:sz w:val="24"/>
          <w:szCs w:val="24"/>
          <w:lang w:val="en-US"/>
        </w:rPr>
        <w:t>)</w:t>
      </w:r>
      <w:r w:rsidRPr="00094D99">
        <w:rPr>
          <w:rFonts w:ascii="Georgia" w:hAnsi="Georgia"/>
          <w:sz w:val="24"/>
          <w:szCs w:val="24"/>
          <w:lang w:val="en-US"/>
        </w:rPr>
        <w:t xml:space="preserve">. Each record also came with a postal code and city, which </w:t>
      </w:r>
      <w:r w:rsidR="00124736">
        <w:rPr>
          <w:rFonts w:ascii="Georgia" w:hAnsi="Georgia"/>
          <w:sz w:val="24"/>
          <w:szCs w:val="24"/>
          <w:lang w:val="en-US"/>
        </w:rPr>
        <w:t>allowed</w:t>
      </w:r>
      <w:r w:rsidRPr="00094D99">
        <w:rPr>
          <w:rFonts w:ascii="Georgia" w:hAnsi="Georgia"/>
          <w:sz w:val="24"/>
          <w:szCs w:val="24"/>
          <w:lang w:val="en-US"/>
        </w:rPr>
        <w:t xml:space="preserve"> us to look at how housing </w:t>
      </w:r>
      <w:r>
        <w:rPr>
          <w:rFonts w:ascii="Georgia" w:hAnsi="Georgia"/>
          <w:sz w:val="24"/>
          <w:szCs w:val="24"/>
          <w:lang w:val="en-US"/>
        </w:rPr>
        <w:t>prices</w:t>
      </w:r>
      <w:r w:rsidRPr="00094D99">
        <w:rPr>
          <w:rFonts w:ascii="Georgia" w:hAnsi="Georgia"/>
          <w:sz w:val="24"/>
          <w:szCs w:val="24"/>
          <w:lang w:val="en-US"/>
        </w:rPr>
        <w:t xml:space="preserve"> varied by location.</w:t>
      </w:r>
    </w:p>
    <w:p w14:paraId="1B32F84B" w14:textId="2626D2DF" w:rsidR="00BE59D4" w:rsidRDefault="00D91885" w:rsidP="00E13A88">
      <w:pPr>
        <w:ind w:left="-450" w:right="-468"/>
        <w:jc w:val="both"/>
        <w:rPr>
          <w:rFonts w:ascii="Georgia" w:hAnsi="Georgia"/>
          <w:sz w:val="24"/>
          <w:szCs w:val="24"/>
          <w:lang w:val="en-US"/>
        </w:rPr>
      </w:pPr>
      <w:r w:rsidRPr="00D91885">
        <w:rPr>
          <w:rFonts w:ascii="Georgia" w:hAnsi="Georgia"/>
          <w:sz w:val="24"/>
          <w:szCs w:val="24"/>
          <w:lang w:val="en-US"/>
        </w:rPr>
        <w:t xml:space="preserve">As our dataset required data processing </w:t>
      </w:r>
      <w:proofErr w:type="gramStart"/>
      <w:r w:rsidRPr="00D91885">
        <w:rPr>
          <w:rFonts w:ascii="Georgia" w:hAnsi="Georgia"/>
          <w:sz w:val="24"/>
          <w:szCs w:val="24"/>
          <w:lang w:val="en-US"/>
        </w:rPr>
        <w:t>before</w:t>
      </w:r>
      <w:proofErr w:type="gramEnd"/>
      <w:r w:rsidRPr="00D91885">
        <w:rPr>
          <w:rFonts w:ascii="Georgia" w:hAnsi="Georgia"/>
          <w:sz w:val="24"/>
          <w:szCs w:val="24"/>
          <w:lang w:val="en-US"/>
        </w:rPr>
        <w:t xml:space="preserve"> we could run any analysis, we first carried out </w:t>
      </w:r>
      <w:r>
        <w:rPr>
          <w:rFonts w:ascii="Georgia" w:hAnsi="Georgia"/>
          <w:sz w:val="24"/>
          <w:szCs w:val="24"/>
          <w:lang w:val="en-US"/>
        </w:rPr>
        <w:t xml:space="preserve">minor </w:t>
      </w:r>
      <w:r w:rsidRPr="00D91885">
        <w:rPr>
          <w:rFonts w:ascii="Georgia" w:hAnsi="Georgia"/>
          <w:sz w:val="24"/>
          <w:szCs w:val="24"/>
          <w:lang w:val="en-US"/>
        </w:rPr>
        <w:t xml:space="preserve">data wrangling and subsequent descriptive analysis in Python. </w:t>
      </w:r>
      <w:r>
        <w:rPr>
          <w:rFonts w:ascii="Georgia" w:hAnsi="Georgia"/>
          <w:sz w:val="24"/>
          <w:szCs w:val="24"/>
          <w:lang w:val="en-US"/>
        </w:rPr>
        <w:t>The data wrangling</w:t>
      </w:r>
      <w:r w:rsidR="00124736">
        <w:rPr>
          <w:rFonts w:ascii="Georgia" w:hAnsi="Georgia"/>
          <w:sz w:val="24"/>
          <w:szCs w:val="24"/>
          <w:lang w:val="en-US"/>
        </w:rPr>
        <w:t xml:space="preserve"> included conversion</w:t>
      </w:r>
      <w:r w:rsidR="00E27EED" w:rsidRPr="00E27EED">
        <w:rPr>
          <w:rFonts w:ascii="Georgia" w:hAnsi="Georgia"/>
          <w:sz w:val="24"/>
          <w:szCs w:val="24"/>
          <w:lang w:val="en-US"/>
        </w:rPr>
        <w:t xml:space="preserve"> of Danish column names to English</w:t>
      </w:r>
      <w:r w:rsidR="00124736">
        <w:rPr>
          <w:rFonts w:ascii="Georgia" w:hAnsi="Georgia"/>
          <w:sz w:val="24"/>
          <w:szCs w:val="24"/>
          <w:lang w:val="en-US"/>
        </w:rPr>
        <w:t xml:space="preserve">, </w:t>
      </w:r>
      <w:r w:rsidR="00124736" w:rsidRPr="00124736">
        <w:rPr>
          <w:rFonts w:ascii="Georgia" w:hAnsi="Georgia"/>
          <w:sz w:val="24"/>
          <w:szCs w:val="24"/>
          <w:lang w:val="en-US"/>
        </w:rPr>
        <w:t>process</w:t>
      </w:r>
      <w:r w:rsidR="00124736">
        <w:rPr>
          <w:rFonts w:ascii="Georgia" w:hAnsi="Georgia"/>
          <w:sz w:val="24"/>
          <w:szCs w:val="24"/>
          <w:lang w:val="en-US"/>
        </w:rPr>
        <w:t>ing of</w:t>
      </w:r>
      <w:r w:rsidR="00124736" w:rsidRPr="00124736">
        <w:rPr>
          <w:rFonts w:ascii="Georgia" w:hAnsi="Georgia"/>
          <w:sz w:val="24"/>
          <w:szCs w:val="24"/>
          <w:lang w:val="en-US"/>
        </w:rPr>
        <w:t xml:space="preserve"> the numeric fields to maintain consistent decimal </w:t>
      </w:r>
      <w:r w:rsidR="00E13A88" w:rsidRPr="00124736">
        <w:rPr>
          <w:rFonts w:ascii="Georgia" w:hAnsi="Georgia"/>
          <w:sz w:val="24"/>
          <w:szCs w:val="24"/>
          <w:lang w:val="en-US"/>
        </w:rPr>
        <w:t>formatting</w:t>
      </w:r>
      <w:r w:rsidR="00E13A88">
        <w:rPr>
          <w:rFonts w:ascii="Georgia" w:hAnsi="Georgia"/>
          <w:sz w:val="24"/>
          <w:szCs w:val="24"/>
          <w:lang w:val="en-US"/>
        </w:rPr>
        <w:t xml:space="preserve"> and</w:t>
      </w:r>
      <w:r w:rsidR="00124736" w:rsidRPr="00124736">
        <w:rPr>
          <w:rFonts w:ascii="Georgia" w:hAnsi="Georgia"/>
          <w:sz w:val="24"/>
          <w:szCs w:val="24"/>
          <w:lang w:val="en-US"/>
        </w:rPr>
        <w:t xml:space="preserve"> removed entries</w:t>
      </w:r>
      <w:r w:rsidR="00124736">
        <w:rPr>
          <w:rFonts w:ascii="Georgia" w:hAnsi="Georgia"/>
          <w:sz w:val="24"/>
          <w:szCs w:val="24"/>
          <w:lang w:val="en-US"/>
        </w:rPr>
        <w:t xml:space="preserve"> with</w:t>
      </w:r>
      <w:r w:rsidR="00124736" w:rsidRPr="00124736">
        <w:rPr>
          <w:rFonts w:ascii="Georgia" w:hAnsi="Georgia"/>
          <w:sz w:val="24"/>
          <w:szCs w:val="24"/>
          <w:lang w:val="en-US"/>
        </w:rPr>
        <w:t xml:space="preserve"> missing </w:t>
      </w:r>
      <w:r w:rsidR="00E13A88" w:rsidRPr="00124736">
        <w:rPr>
          <w:rFonts w:ascii="Georgia" w:hAnsi="Georgia"/>
          <w:sz w:val="24"/>
          <w:szCs w:val="24"/>
          <w:lang w:val="en-US"/>
        </w:rPr>
        <w:t xml:space="preserve">data </w:t>
      </w:r>
      <w:r w:rsidR="00E13A88">
        <w:rPr>
          <w:rFonts w:ascii="Georgia" w:hAnsi="Georgia"/>
          <w:sz w:val="24"/>
          <w:szCs w:val="24"/>
          <w:lang w:val="en-US"/>
        </w:rPr>
        <w:t>or</w:t>
      </w:r>
      <w:r w:rsidR="00124736">
        <w:rPr>
          <w:rFonts w:ascii="Georgia" w:hAnsi="Georgia"/>
          <w:sz w:val="24"/>
          <w:szCs w:val="24"/>
          <w:lang w:val="en-US"/>
        </w:rPr>
        <w:t xml:space="preserve"> </w:t>
      </w:r>
      <w:r w:rsidR="00124736" w:rsidRPr="00124736">
        <w:rPr>
          <w:rFonts w:ascii="Georgia" w:hAnsi="Georgia"/>
          <w:sz w:val="24"/>
          <w:szCs w:val="24"/>
          <w:lang w:val="en-US"/>
        </w:rPr>
        <w:t>unrealistic values (e.g., apartments with zero area). Additionally, we recalculated the price per square meter.</w:t>
      </w:r>
      <w:r w:rsidR="00E13A88">
        <w:rPr>
          <w:rFonts w:ascii="Georgia" w:hAnsi="Georgia"/>
          <w:sz w:val="24"/>
          <w:szCs w:val="24"/>
          <w:lang w:val="en-US"/>
        </w:rPr>
        <w:t xml:space="preserve"> For the data analysis part, we first ran basic descriptive analysis and created visualizations (histograms, boxplots, and correlation matrices) to identify important trends and relationships in our data. Next, we fitted two regression models in R with deposit, city, area, and rooms as predictors to find out which of these are the best predictors of net price per square meter. </w:t>
      </w:r>
      <w:r w:rsidR="00124736" w:rsidRPr="00124736">
        <w:rPr>
          <w:rFonts w:ascii="Georgia" w:hAnsi="Georgia"/>
          <w:sz w:val="24"/>
          <w:szCs w:val="24"/>
          <w:lang w:val="en-US"/>
        </w:rPr>
        <w:br/>
      </w:r>
    </w:p>
    <w:p w14:paraId="0DA29AA6" w14:textId="77777777" w:rsidR="00E13A88" w:rsidRDefault="00E13A88" w:rsidP="00E13A88">
      <w:pPr>
        <w:ind w:left="-450" w:right="-468"/>
        <w:jc w:val="both"/>
        <w:rPr>
          <w:rFonts w:ascii="Georgia" w:hAnsi="Georgia"/>
          <w:sz w:val="24"/>
          <w:szCs w:val="24"/>
          <w:lang w:val="en-US"/>
        </w:rPr>
      </w:pPr>
    </w:p>
    <w:p w14:paraId="02E545E4" w14:textId="30B6E484" w:rsidR="00BE59D4" w:rsidRDefault="00B04480" w:rsidP="00E13A88">
      <w:pPr>
        <w:ind w:left="-450" w:right="-468"/>
        <w:jc w:val="both"/>
        <w:rPr>
          <w:rFonts w:ascii="Georgia" w:hAnsi="Georgia"/>
          <w:b/>
          <w:bCs/>
          <w:sz w:val="24"/>
          <w:szCs w:val="24"/>
          <w:lang w:val="en-US"/>
        </w:rPr>
      </w:pPr>
      <w:r w:rsidRPr="00094D99">
        <w:rPr>
          <w:rFonts w:ascii="Georgia" w:hAnsi="Georgia"/>
          <w:b/>
          <w:bCs/>
          <w:sz w:val="24"/>
          <w:szCs w:val="24"/>
          <w:lang w:val="en-US"/>
        </w:rPr>
        <w:lastRenderedPageBreak/>
        <w:t>Results</w:t>
      </w:r>
    </w:p>
    <w:p w14:paraId="2DB98DDD" w14:textId="169AF782" w:rsidR="00BE59D4" w:rsidRPr="00BF03E9" w:rsidRDefault="00BF03E9" w:rsidP="00E13A88">
      <w:pPr>
        <w:pStyle w:val="ListParagraph"/>
        <w:numPr>
          <w:ilvl w:val="0"/>
          <w:numId w:val="1"/>
        </w:numPr>
        <w:ind w:right="-468"/>
        <w:jc w:val="both"/>
        <w:rPr>
          <w:rFonts w:ascii="Georgia" w:hAnsi="Georgia"/>
          <w:i/>
          <w:iCs/>
          <w:sz w:val="24"/>
          <w:szCs w:val="24"/>
          <w:lang w:val="en-US"/>
        </w:rPr>
      </w:pPr>
      <w:r>
        <w:rPr>
          <w:rFonts w:ascii="Georgia" w:hAnsi="Georgia"/>
          <w:i/>
          <w:iCs/>
          <w:sz w:val="24"/>
          <w:szCs w:val="24"/>
          <w:lang w:val="en-US"/>
        </w:rPr>
        <w:t xml:space="preserve">Descriptive Statistics </w:t>
      </w:r>
    </w:p>
    <w:p w14:paraId="3C795A42" w14:textId="30E0168B" w:rsidR="00E85E3D" w:rsidRDefault="00E85E3D" w:rsidP="00E13A88">
      <w:pPr>
        <w:ind w:left="-450" w:right="-468"/>
        <w:jc w:val="both"/>
        <w:rPr>
          <w:rFonts w:ascii="Georgia" w:hAnsi="Georgia"/>
          <w:sz w:val="24"/>
          <w:szCs w:val="24"/>
          <w:lang w:val="en-US"/>
        </w:rPr>
      </w:pPr>
      <w:r w:rsidRPr="00E85E3D">
        <w:rPr>
          <w:rFonts w:ascii="Georgia" w:hAnsi="Georgia"/>
          <w:sz w:val="24"/>
          <w:szCs w:val="24"/>
          <w:lang w:val="en-US"/>
        </w:rPr>
        <w:t>The housing units</w:t>
      </w:r>
      <w:r>
        <w:rPr>
          <w:rFonts w:ascii="Georgia" w:hAnsi="Georgia"/>
          <w:sz w:val="24"/>
          <w:szCs w:val="24"/>
          <w:lang w:val="en-US"/>
        </w:rPr>
        <w:t xml:space="preserve"> included in our dataset</w:t>
      </w:r>
      <w:r w:rsidRPr="00E85E3D">
        <w:rPr>
          <w:rFonts w:ascii="Georgia" w:hAnsi="Georgia"/>
          <w:sz w:val="24"/>
          <w:szCs w:val="24"/>
          <w:lang w:val="en-US"/>
        </w:rPr>
        <w:t xml:space="preserve"> (n = 44,090) have a mean of 2.71 rooms (median = 3.0, std = 0.99) and a mean area of 76.91 m² (median = 79.0, std = 23.05). The mean deposit is 14,608.12 DKK (median = 13,420.0, std = 8,929.56). The net price per square meter averages 61.79 DKK (median = 60.2, std = 11.16), while the gross price per square meter averages 74.29 DKK (median = 72.9, std = 12.12).</w:t>
      </w:r>
      <w:r>
        <w:rPr>
          <w:rFonts w:ascii="Georgia" w:hAnsi="Georgia"/>
          <w:sz w:val="24"/>
          <w:szCs w:val="24"/>
          <w:lang w:val="en-US"/>
        </w:rPr>
        <w:t xml:space="preserve"> </w:t>
      </w:r>
    </w:p>
    <w:p w14:paraId="36CEEAC8" w14:textId="77777777" w:rsidR="009543DF" w:rsidRPr="00BF03E9" w:rsidRDefault="009543DF" w:rsidP="00E13A88">
      <w:pPr>
        <w:ind w:left="-450" w:right="-468"/>
        <w:jc w:val="both"/>
        <w:rPr>
          <w:rFonts w:ascii="Georgia" w:hAnsi="Georgia"/>
          <w:sz w:val="24"/>
          <w:szCs w:val="24"/>
          <w:lang w:val="en-US"/>
        </w:rPr>
      </w:pPr>
    </w:p>
    <w:p w14:paraId="1119B240" w14:textId="47D8D366" w:rsidR="00BF03E9" w:rsidRDefault="006048C7" w:rsidP="00E13A88">
      <w:pPr>
        <w:pStyle w:val="ListParagraph"/>
        <w:numPr>
          <w:ilvl w:val="0"/>
          <w:numId w:val="1"/>
        </w:numPr>
        <w:ind w:right="-468"/>
        <w:rPr>
          <w:rFonts w:ascii="Georgia" w:hAnsi="Georgia"/>
          <w:i/>
          <w:iCs/>
          <w:sz w:val="24"/>
          <w:szCs w:val="24"/>
          <w:lang w:val="en-US"/>
        </w:rPr>
      </w:pPr>
      <w:r>
        <w:rPr>
          <w:rFonts w:ascii="Georgia" w:hAnsi="Georgia"/>
          <w:i/>
          <w:iCs/>
          <w:sz w:val="24"/>
          <w:szCs w:val="24"/>
          <w:lang w:val="en-US"/>
        </w:rPr>
        <w:t>Exploratory</w:t>
      </w:r>
      <w:r w:rsidR="00BF03E9" w:rsidRPr="00BF03E9">
        <w:rPr>
          <w:rFonts w:ascii="Georgia" w:hAnsi="Georgia"/>
          <w:i/>
          <w:iCs/>
          <w:sz w:val="24"/>
          <w:szCs w:val="24"/>
          <w:lang w:val="en-US"/>
        </w:rPr>
        <w:t xml:space="preserve"> Analysis </w:t>
      </w:r>
    </w:p>
    <w:p w14:paraId="2E4568D7" w14:textId="1EB1356C" w:rsidR="00BF03E9" w:rsidRPr="00BF03E9" w:rsidRDefault="004B0F34" w:rsidP="00E13A88">
      <w:pPr>
        <w:ind w:left="-450" w:right="-468"/>
        <w:rPr>
          <w:rFonts w:ascii="Georgia" w:hAnsi="Georgia"/>
          <w:i/>
          <w:iCs/>
          <w:sz w:val="24"/>
          <w:szCs w:val="24"/>
          <w:lang w:val="en-US"/>
        </w:rPr>
      </w:pPr>
      <w:r>
        <w:rPr>
          <w:rFonts w:ascii="Georgia" w:hAnsi="Georgia"/>
          <w:sz w:val="24"/>
          <w:szCs w:val="24"/>
          <w:lang w:val="en-US"/>
        </w:rPr>
        <w:t xml:space="preserve">The created scatterplots (Figure 1.) show a general positive trend in gross and net rent as a function of area and number of rooms. However, </w:t>
      </w:r>
      <w:r w:rsidR="009543DF">
        <w:rPr>
          <w:rFonts w:ascii="Georgia" w:hAnsi="Georgia"/>
          <w:sz w:val="24"/>
          <w:szCs w:val="24"/>
          <w:lang w:val="en-US"/>
        </w:rPr>
        <w:t xml:space="preserve">although both increase with area and the number of rooms, the gross rent appears to rise at a different rate. This might suggest that the additional charges (e.g., utilities) not included in the net rent do not grow proportionately with the apartment’s area. </w:t>
      </w:r>
    </w:p>
    <w:p w14:paraId="16C9F6AC" w14:textId="1989204B" w:rsidR="00671664" w:rsidRDefault="00BF03E9" w:rsidP="00E13A88">
      <w:pPr>
        <w:keepNext/>
        <w:ind w:right="-468"/>
        <w:jc w:val="center"/>
      </w:pPr>
      <w:r>
        <w:rPr>
          <w:noProof/>
        </w:rPr>
        <w:drawing>
          <wp:inline distT="0" distB="0" distL="0" distR="0" wp14:anchorId="7E84BBD4" wp14:editId="7A540CF6">
            <wp:extent cx="4895052" cy="1974855"/>
            <wp:effectExtent l="19050" t="19050" r="20320" b="25400"/>
            <wp:docPr id="1973568807" name="Picture 1" descr="A group of images of different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568807" name="Picture 1" descr="A group of images of different colors&#10;&#10;Description automatically generated with medium confidence"/>
                    <pic:cNvPicPr/>
                  </pic:nvPicPr>
                  <pic:blipFill>
                    <a:blip r:embed="rId7"/>
                    <a:stretch>
                      <a:fillRect/>
                    </a:stretch>
                  </pic:blipFill>
                  <pic:spPr>
                    <a:xfrm>
                      <a:off x="0" y="0"/>
                      <a:ext cx="4908768" cy="1980389"/>
                    </a:xfrm>
                    <a:prstGeom prst="rect">
                      <a:avLst/>
                    </a:prstGeom>
                    <a:ln w="3175">
                      <a:solidFill>
                        <a:schemeClr val="tx1"/>
                      </a:solidFill>
                    </a:ln>
                  </pic:spPr>
                </pic:pic>
              </a:graphicData>
            </a:graphic>
          </wp:inline>
        </w:drawing>
      </w:r>
    </w:p>
    <w:p w14:paraId="6072B77D" w14:textId="4C4043A5" w:rsidR="009543DF" w:rsidRPr="004A1C55" w:rsidRDefault="00671664" w:rsidP="00E13A88">
      <w:pPr>
        <w:pStyle w:val="Caption"/>
        <w:ind w:right="-468"/>
        <w:jc w:val="center"/>
        <w:rPr>
          <w:rFonts w:ascii="Georgia" w:hAnsi="Georgia"/>
          <w:i w:val="0"/>
          <w:iCs w:val="0"/>
          <w:color w:val="000000" w:themeColor="text1"/>
          <w:sz w:val="24"/>
          <w:szCs w:val="24"/>
          <w:lang w:val="en-US"/>
        </w:rPr>
      </w:pPr>
      <w:r w:rsidRPr="00671664">
        <w:rPr>
          <w:color w:val="000000" w:themeColor="text1"/>
        </w:rPr>
        <w:t xml:space="preserve">Figure </w:t>
      </w:r>
      <w:r w:rsidRPr="00671664">
        <w:rPr>
          <w:color w:val="000000" w:themeColor="text1"/>
        </w:rPr>
        <w:fldChar w:fldCharType="begin"/>
      </w:r>
      <w:r w:rsidRPr="00671664">
        <w:rPr>
          <w:color w:val="000000" w:themeColor="text1"/>
        </w:rPr>
        <w:instrText xml:space="preserve"> SEQ Figure \* ARABIC </w:instrText>
      </w:r>
      <w:r w:rsidRPr="00671664">
        <w:rPr>
          <w:color w:val="000000" w:themeColor="text1"/>
        </w:rPr>
        <w:fldChar w:fldCharType="separate"/>
      </w:r>
      <w:r w:rsidR="006F50A2">
        <w:rPr>
          <w:noProof/>
          <w:color w:val="000000" w:themeColor="text1"/>
        </w:rPr>
        <w:t>1</w:t>
      </w:r>
      <w:r w:rsidRPr="00671664">
        <w:rPr>
          <w:color w:val="000000" w:themeColor="text1"/>
        </w:rPr>
        <w:fldChar w:fldCharType="end"/>
      </w:r>
      <w:r w:rsidRPr="00671664">
        <w:rPr>
          <w:color w:val="000000" w:themeColor="text1"/>
        </w:rPr>
        <w:t>.</w:t>
      </w:r>
    </w:p>
    <w:p w14:paraId="24E5B65F" w14:textId="18E8A508" w:rsidR="009543DF" w:rsidRPr="009543DF" w:rsidRDefault="009543DF" w:rsidP="00E13A88">
      <w:pPr>
        <w:pStyle w:val="ListParagraph"/>
        <w:numPr>
          <w:ilvl w:val="0"/>
          <w:numId w:val="1"/>
        </w:numPr>
        <w:ind w:right="-468"/>
        <w:jc w:val="both"/>
        <w:rPr>
          <w:rFonts w:ascii="Georgia" w:hAnsi="Georgia"/>
          <w:sz w:val="24"/>
          <w:szCs w:val="24"/>
          <w:lang w:val="en-US"/>
        </w:rPr>
      </w:pPr>
      <w:r w:rsidRPr="009543DF">
        <w:rPr>
          <w:rFonts w:ascii="Georgia" w:hAnsi="Georgia"/>
          <w:i/>
          <w:iCs/>
          <w:sz w:val="24"/>
          <w:szCs w:val="24"/>
          <w:lang w:val="en-US"/>
        </w:rPr>
        <w:t>Regression</w:t>
      </w:r>
    </w:p>
    <w:p w14:paraId="1D63B030" w14:textId="67762753" w:rsidR="009543DF" w:rsidRDefault="004A1C55" w:rsidP="00E13A88">
      <w:pPr>
        <w:ind w:right="-468"/>
        <w:jc w:val="both"/>
        <w:rPr>
          <w:rFonts w:ascii="Georgia" w:hAnsi="Georgia"/>
          <w:sz w:val="24"/>
          <w:szCs w:val="24"/>
          <w:lang w:val="en-US"/>
        </w:rPr>
      </w:pPr>
      <w:r>
        <w:rPr>
          <w:rFonts w:ascii="Georgia" w:hAnsi="Georgia"/>
          <w:sz w:val="24"/>
          <w:szCs w:val="24"/>
          <w:lang w:val="en-US"/>
        </w:rPr>
        <w:t>The</w:t>
      </w:r>
      <w:r w:rsidR="008D6D60">
        <w:rPr>
          <w:rFonts w:ascii="Georgia" w:hAnsi="Georgia"/>
          <w:sz w:val="24"/>
          <w:szCs w:val="24"/>
          <w:lang w:val="en-US"/>
        </w:rPr>
        <w:t xml:space="preserve"> results of the</w:t>
      </w:r>
      <w:r>
        <w:rPr>
          <w:rFonts w:ascii="Georgia" w:hAnsi="Georgia"/>
          <w:sz w:val="24"/>
          <w:szCs w:val="24"/>
          <w:lang w:val="en-US"/>
        </w:rPr>
        <w:t xml:space="preserve"> first fitted linear regression </w:t>
      </w:r>
      <w:r w:rsidRPr="004A1C55">
        <w:rPr>
          <w:rFonts w:ascii="Georgia" w:hAnsi="Georgia"/>
          <w:i/>
          <w:iCs/>
          <w:sz w:val="24"/>
          <w:szCs w:val="24"/>
          <w:lang w:val="en-US"/>
        </w:rPr>
        <w:t xml:space="preserve">(formula: </w:t>
      </w:r>
      <w:proofErr w:type="spellStart"/>
      <w:r w:rsidRPr="004A1C55">
        <w:rPr>
          <w:rFonts w:ascii="Georgia" w:hAnsi="Georgia"/>
          <w:i/>
          <w:iCs/>
          <w:sz w:val="24"/>
          <w:szCs w:val="24"/>
          <w:lang w:val="en-US"/>
        </w:rPr>
        <w:t>net_price_per_sqm</w:t>
      </w:r>
      <w:proofErr w:type="spellEnd"/>
      <w:r w:rsidRPr="004A1C55">
        <w:rPr>
          <w:rFonts w:ascii="Georgia" w:hAnsi="Georgia"/>
          <w:i/>
          <w:iCs/>
          <w:sz w:val="24"/>
          <w:szCs w:val="24"/>
          <w:lang w:val="en-US"/>
        </w:rPr>
        <w:t xml:space="preserve"> ~ rooms + area + deposit + city)</w:t>
      </w:r>
      <w:r>
        <w:rPr>
          <w:rFonts w:ascii="Georgia" w:hAnsi="Georgia"/>
          <w:i/>
          <w:iCs/>
          <w:sz w:val="24"/>
          <w:szCs w:val="24"/>
          <w:lang w:val="en-US"/>
        </w:rPr>
        <w:t xml:space="preserve"> </w:t>
      </w:r>
      <w:r w:rsidR="008D6D60" w:rsidRPr="008D6D60">
        <w:rPr>
          <w:rFonts w:ascii="Georgia" w:hAnsi="Georgia"/>
          <w:sz w:val="24"/>
          <w:szCs w:val="24"/>
          <w:lang w:val="en-US"/>
        </w:rPr>
        <w:t>were as follows:</w:t>
      </w:r>
    </w:p>
    <w:p w14:paraId="74950355" w14:textId="77777777" w:rsidR="00F8733A" w:rsidRDefault="008D6D60" w:rsidP="00E13A88">
      <w:pPr>
        <w:ind w:right="-468"/>
        <w:jc w:val="both"/>
        <w:rPr>
          <w:rFonts w:ascii="Georgia" w:hAnsi="Georgia"/>
          <w:sz w:val="24"/>
          <w:szCs w:val="24"/>
          <w:lang w:val="en-US"/>
        </w:rPr>
      </w:pPr>
      <w:r>
        <w:rPr>
          <w:rFonts w:ascii="Georgia" w:hAnsi="Georgia"/>
          <w:sz w:val="24"/>
          <w:szCs w:val="24"/>
          <w:lang w:val="en-US"/>
        </w:rPr>
        <w:t>The range of the residuals was from -51.533 to 84.507, with median of -0.601 and an interquartile range of -5.547 to 4.618. We found a strong statistical significance of area (</w:t>
      </w:r>
      <w:r w:rsidRPr="008D6D60">
        <w:rPr>
          <w:rFonts w:ascii="Georgia" w:hAnsi="Georgia"/>
          <w:sz w:val="24"/>
          <w:szCs w:val="24"/>
          <w:lang w:val="en-US"/>
        </w:rPr>
        <w:t>β=−0.2462</w:t>
      </w:r>
      <w:r w:rsidRPr="008D6D60">
        <w:rPr>
          <w:rFonts w:ascii="Georgia" w:hAnsi="Georgia"/>
          <w:sz w:val="24"/>
          <w:szCs w:val="24"/>
          <w:lang w:val="en-US"/>
        </w:rPr>
        <w:t xml:space="preserve">, </w:t>
      </w:r>
      <w:r w:rsidRPr="008D6D60">
        <w:rPr>
          <w:rFonts w:ascii="Georgia" w:hAnsi="Georgia"/>
          <w:sz w:val="24"/>
          <w:szCs w:val="24"/>
          <w:lang w:val="en-US"/>
        </w:rPr>
        <w:t>SE = 0.0044</w:t>
      </w:r>
      <w:r w:rsidRPr="008D6D60">
        <w:rPr>
          <w:rFonts w:ascii="Georgia" w:hAnsi="Georgia"/>
          <w:sz w:val="24"/>
          <w:szCs w:val="24"/>
          <w:lang w:val="en-US"/>
        </w:rPr>
        <w:t xml:space="preserve">, </w:t>
      </w:r>
      <w:r w:rsidRPr="008D6D60">
        <w:rPr>
          <w:rFonts w:ascii="Georgia" w:hAnsi="Georgia"/>
          <w:sz w:val="24"/>
          <w:szCs w:val="24"/>
          <w:lang w:val="en-US"/>
        </w:rPr>
        <w:t>t = -56.190</w:t>
      </w:r>
      <w:r w:rsidRPr="008D6D60">
        <w:rPr>
          <w:rFonts w:ascii="Georgia" w:hAnsi="Georgia"/>
          <w:sz w:val="24"/>
          <w:szCs w:val="24"/>
          <w:lang w:val="en-US"/>
        </w:rPr>
        <w:t>,</w:t>
      </w:r>
      <w:r>
        <w:rPr>
          <w:rFonts w:ascii="Georgia" w:hAnsi="Georgia"/>
          <w:sz w:val="24"/>
          <w:szCs w:val="24"/>
          <w:lang w:val="en-US"/>
        </w:rPr>
        <w:t xml:space="preserve"> </w:t>
      </w:r>
      <w:r w:rsidRPr="008D6D60">
        <w:rPr>
          <w:rFonts w:ascii="Georgia" w:hAnsi="Georgia"/>
          <w:sz w:val="24"/>
          <w:szCs w:val="24"/>
          <w:lang w:val="en-US"/>
        </w:rPr>
        <w:t>p&lt;2</w:t>
      </w:r>
      <w:r>
        <w:rPr>
          <w:rFonts w:ascii="Georgia" w:hAnsi="Georgia"/>
          <w:sz w:val="24"/>
          <w:szCs w:val="24"/>
          <w:lang w:val="en-US"/>
        </w:rPr>
        <w:t>x</w:t>
      </w:r>
      <m:oMath>
        <m:sSup>
          <m:sSupPr>
            <m:ctrlPr>
              <w:rPr>
                <w:rFonts w:ascii="Cambria Math" w:hAnsi="Cambria Math"/>
                <w:sz w:val="24"/>
                <w:szCs w:val="24"/>
                <w:lang w:val="en-US"/>
              </w:rPr>
            </m:ctrlPr>
          </m:sSupPr>
          <m:e>
            <m:r>
              <m:rPr>
                <m:sty m:val="p"/>
              </m:rPr>
              <w:rPr>
                <w:rFonts w:ascii="Cambria Math" w:hAnsi="Cambria Math"/>
                <w:sz w:val="24"/>
                <w:szCs w:val="24"/>
                <w:lang w:val="en-US"/>
              </w:rPr>
              <m:t>10</m:t>
            </m:r>
          </m:e>
          <m:sup>
            <m:r>
              <m:rPr>
                <m:sty m:val="p"/>
              </m:rPr>
              <w:rPr>
                <w:rFonts w:ascii="Cambria Math" w:hAnsi="Cambria Math"/>
                <w:sz w:val="24"/>
                <w:szCs w:val="24"/>
                <w:lang w:val="en-US"/>
              </w:rPr>
              <m:t>-16</m:t>
            </m:r>
          </m:sup>
        </m:sSup>
      </m:oMath>
      <w:r>
        <w:rPr>
          <w:rFonts w:ascii="Georgia" w:hAnsi="Georgia"/>
          <w:sz w:val="24"/>
          <w:szCs w:val="24"/>
          <w:lang w:val="en-US"/>
        </w:rPr>
        <w:t>) and deposit (</w:t>
      </w:r>
      <w:r w:rsidRPr="008D6D60">
        <w:rPr>
          <w:rFonts w:ascii="Georgia" w:hAnsi="Georgia"/>
          <w:sz w:val="24"/>
          <w:szCs w:val="24"/>
          <w:lang w:val="en-US"/>
        </w:rPr>
        <w:t>β=0.0003577</w:t>
      </w:r>
      <w:r w:rsidRPr="008D6D60">
        <w:rPr>
          <w:rFonts w:ascii="Georgia" w:hAnsi="Georgia"/>
          <w:sz w:val="24"/>
          <w:szCs w:val="24"/>
          <w:lang w:val="en-US"/>
        </w:rPr>
        <w:t xml:space="preserve">, SE= </w:t>
      </w:r>
      <w:r w:rsidRPr="008D6D60">
        <w:rPr>
          <w:rFonts w:ascii="Georgia" w:hAnsi="Georgia"/>
          <w:sz w:val="24"/>
          <w:szCs w:val="24"/>
          <w:lang w:val="en-US"/>
        </w:rPr>
        <w:t>0.0000056</w:t>
      </w:r>
      <w:r w:rsidRPr="008D6D60">
        <w:rPr>
          <w:rFonts w:ascii="Georgia" w:hAnsi="Georgia"/>
          <w:sz w:val="24"/>
          <w:szCs w:val="24"/>
          <w:lang w:val="en-US"/>
        </w:rPr>
        <w:t xml:space="preserve">, </w:t>
      </w:r>
      <w:r w:rsidRPr="008D6D60">
        <w:rPr>
          <w:rFonts w:ascii="Georgia" w:hAnsi="Georgia"/>
          <w:sz w:val="24"/>
          <w:szCs w:val="24"/>
          <w:lang w:val="en-US"/>
        </w:rPr>
        <w:t>t = 64.329</w:t>
      </w:r>
      <w:r w:rsidRPr="008D6D60">
        <w:rPr>
          <w:rFonts w:ascii="Georgia" w:hAnsi="Georgia"/>
          <w:sz w:val="24"/>
          <w:szCs w:val="24"/>
          <w:lang w:val="en-US"/>
        </w:rPr>
        <w:t xml:space="preserve">, </w:t>
      </w:r>
      <w:r w:rsidRPr="008D6D60">
        <w:rPr>
          <w:rFonts w:ascii="Georgia" w:hAnsi="Georgia"/>
          <w:sz w:val="24"/>
          <w:szCs w:val="24"/>
          <w:lang w:val="en-US"/>
        </w:rPr>
        <w:t>p&lt;2</w:t>
      </w:r>
      <w:r>
        <w:rPr>
          <w:rFonts w:ascii="Georgia" w:hAnsi="Georgia"/>
          <w:sz w:val="24"/>
          <w:szCs w:val="24"/>
          <w:lang w:val="en-US"/>
        </w:rPr>
        <w:t>x</w:t>
      </w:r>
      <m:oMath>
        <m:sSup>
          <m:sSupPr>
            <m:ctrlPr>
              <w:rPr>
                <w:rFonts w:ascii="Cambria Math" w:hAnsi="Cambria Math"/>
                <w:sz w:val="24"/>
                <w:szCs w:val="24"/>
                <w:lang w:val="en-US"/>
              </w:rPr>
            </m:ctrlPr>
          </m:sSupPr>
          <m:e>
            <m:r>
              <m:rPr>
                <m:sty m:val="p"/>
              </m:rPr>
              <w:rPr>
                <w:rFonts w:ascii="Cambria Math" w:hAnsi="Cambria Math"/>
                <w:sz w:val="24"/>
                <w:szCs w:val="24"/>
                <w:lang w:val="en-US"/>
              </w:rPr>
              <m:t>10</m:t>
            </m:r>
          </m:e>
          <m:sup>
            <m:r>
              <m:rPr>
                <m:sty m:val="p"/>
              </m:rPr>
              <w:rPr>
                <w:rFonts w:ascii="Cambria Math" w:hAnsi="Cambria Math"/>
                <w:sz w:val="24"/>
                <w:szCs w:val="24"/>
                <w:lang w:val="en-US"/>
              </w:rPr>
              <m:t>-16</m:t>
            </m:r>
          </m:sup>
        </m:sSup>
      </m:oMath>
      <w:r w:rsidRPr="008D6D60">
        <w:rPr>
          <w:rFonts w:ascii="Georgia" w:hAnsi="Georgia"/>
          <w:sz w:val="24"/>
          <w:szCs w:val="24"/>
          <w:lang w:val="en-US"/>
        </w:rPr>
        <w:t>)</w:t>
      </w:r>
      <w:r>
        <w:rPr>
          <w:rFonts w:ascii="Georgia" w:hAnsi="Georgia"/>
          <w:sz w:val="24"/>
          <w:szCs w:val="24"/>
          <w:lang w:val="en-US"/>
        </w:rPr>
        <w:t xml:space="preserve">. </w:t>
      </w:r>
      <w:r w:rsidR="006048C7">
        <w:rPr>
          <w:rFonts w:ascii="Georgia" w:hAnsi="Georgia"/>
          <w:sz w:val="24"/>
          <w:szCs w:val="24"/>
          <w:lang w:val="en-US"/>
        </w:rPr>
        <w:t xml:space="preserve">The coefficients for city variables were significant for all locations except for </w:t>
      </w:r>
      <w:proofErr w:type="spellStart"/>
      <w:r w:rsidR="006048C7">
        <w:rPr>
          <w:rFonts w:ascii="Georgia" w:hAnsi="Georgia"/>
          <w:sz w:val="24"/>
          <w:szCs w:val="24"/>
          <w:lang w:val="en-US"/>
        </w:rPr>
        <w:t>Tilst</w:t>
      </w:r>
      <w:proofErr w:type="spellEnd"/>
      <w:r w:rsidR="006048C7">
        <w:rPr>
          <w:rFonts w:ascii="Georgia" w:hAnsi="Georgia"/>
          <w:sz w:val="24"/>
          <w:szCs w:val="24"/>
          <w:lang w:val="en-US"/>
        </w:rPr>
        <w:t xml:space="preserve"> (</w:t>
      </w:r>
      <w:r w:rsidR="006048C7" w:rsidRPr="008D6D60">
        <w:rPr>
          <w:rFonts w:ascii="Georgia" w:hAnsi="Georgia"/>
          <w:sz w:val="24"/>
          <w:szCs w:val="24"/>
          <w:lang w:val="en-US"/>
        </w:rPr>
        <w:t>β=</w:t>
      </w:r>
      <w:r w:rsidR="006048C7">
        <w:rPr>
          <w:rFonts w:ascii="Georgia" w:hAnsi="Georgia"/>
          <w:sz w:val="24"/>
          <w:szCs w:val="24"/>
          <w:lang w:val="en-US"/>
        </w:rPr>
        <w:t>-0.3048</w:t>
      </w:r>
      <w:r w:rsidR="006048C7" w:rsidRPr="008D6D60">
        <w:rPr>
          <w:rFonts w:ascii="Georgia" w:hAnsi="Georgia"/>
          <w:sz w:val="24"/>
          <w:szCs w:val="24"/>
          <w:lang w:val="en-US"/>
        </w:rPr>
        <w:t xml:space="preserve">, SE= </w:t>
      </w:r>
      <w:r w:rsidR="006048C7" w:rsidRPr="006048C7">
        <w:rPr>
          <w:rFonts w:ascii="Georgia" w:hAnsi="Georgia"/>
          <w:sz w:val="24"/>
          <w:szCs w:val="24"/>
          <w:lang w:val="en-US"/>
        </w:rPr>
        <w:t>0.3059</w:t>
      </w:r>
      <w:r w:rsidR="006048C7" w:rsidRPr="008D6D60">
        <w:rPr>
          <w:rFonts w:ascii="Georgia" w:hAnsi="Georgia"/>
          <w:sz w:val="24"/>
          <w:szCs w:val="24"/>
          <w:lang w:val="en-US"/>
        </w:rPr>
        <w:t xml:space="preserve">, t = </w:t>
      </w:r>
      <w:r w:rsidR="006048C7" w:rsidRPr="006048C7">
        <w:rPr>
          <w:rFonts w:ascii="Georgia" w:hAnsi="Georgia"/>
          <w:sz w:val="24"/>
          <w:szCs w:val="24"/>
          <w:lang w:val="en-US"/>
        </w:rPr>
        <w:t>−0.996</w:t>
      </w:r>
      <w:r w:rsidR="006048C7" w:rsidRPr="008D6D60">
        <w:rPr>
          <w:rFonts w:ascii="Georgia" w:hAnsi="Georgia"/>
          <w:sz w:val="24"/>
          <w:szCs w:val="24"/>
          <w:lang w:val="en-US"/>
        </w:rPr>
        <w:t>, p</w:t>
      </w:r>
      <w:r w:rsidR="006048C7">
        <w:rPr>
          <w:rFonts w:ascii="Georgia" w:hAnsi="Georgia"/>
          <w:sz w:val="24"/>
          <w:szCs w:val="24"/>
          <w:lang w:val="en-US"/>
        </w:rPr>
        <w:t>=</w:t>
      </w:r>
      <w:r w:rsidR="006048C7" w:rsidRPr="006048C7">
        <w:rPr>
          <w:rFonts w:ascii="Georgia" w:hAnsi="Georgia"/>
          <w:sz w:val="24"/>
          <w:szCs w:val="24"/>
          <w:lang w:val="en-US"/>
        </w:rPr>
        <w:t xml:space="preserve"> 0</w:t>
      </w:r>
      <w:r w:rsidR="006048C7" w:rsidRPr="006048C7">
        <w:rPr>
          <w:rFonts w:ascii="Georgia" w:hAnsi="Georgia"/>
          <w:sz w:val="24"/>
          <w:szCs w:val="24"/>
          <w:lang w:val="en-US"/>
        </w:rPr>
        <w:t>.3190</w:t>
      </w:r>
      <w:r w:rsidR="006048C7" w:rsidRPr="006048C7">
        <w:rPr>
          <w:rFonts w:ascii="Georgia" w:hAnsi="Georgia"/>
          <w:sz w:val="24"/>
          <w:szCs w:val="24"/>
          <w:lang w:val="en-US"/>
        </w:rPr>
        <w:t>)</w:t>
      </w:r>
      <w:r w:rsidR="006048C7">
        <w:rPr>
          <w:rFonts w:ascii="Georgia" w:hAnsi="Georgia"/>
          <w:sz w:val="24"/>
          <w:szCs w:val="24"/>
          <w:lang w:val="en-US"/>
        </w:rPr>
        <w:t>. The number of rooms was not significantly associated with our outcome variable (</w:t>
      </w:r>
      <w:r w:rsidR="006048C7" w:rsidRPr="006048C7">
        <w:rPr>
          <w:rFonts w:ascii="Georgia" w:hAnsi="Georgia"/>
          <w:sz w:val="24"/>
          <w:szCs w:val="24"/>
          <w:lang w:val="en-US"/>
        </w:rPr>
        <w:t>β=−0.1774</w:t>
      </w:r>
      <w:r w:rsidR="006048C7" w:rsidRPr="006048C7">
        <w:rPr>
          <w:rFonts w:ascii="Georgia" w:hAnsi="Georgia"/>
          <w:sz w:val="24"/>
          <w:szCs w:val="24"/>
          <w:lang w:val="en-US"/>
        </w:rPr>
        <w:t xml:space="preserve">, </w:t>
      </w:r>
      <w:r w:rsidR="006048C7" w:rsidRPr="006048C7">
        <w:rPr>
          <w:rFonts w:ascii="Georgia" w:hAnsi="Georgia"/>
          <w:sz w:val="24"/>
          <w:szCs w:val="24"/>
          <w:lang w:val="en-US"/>
        </w:rPr>
        <w:t>SE=0.0984</w:t>
      </w:r>
      <w:r w:rsidR="006048C7" w:rsidRPr="006048C7">
        <w:rPr>
          <w:rFonts w:ascii="Georgia" w:hAnsi="Georgia"/>
          <w:sz w:val="24"/>
          <w:szCs w:val="24"/>
          <w:lang w:val="en-US"/>
        </w:rPr>
        <w:t xml:space="preserve">, </w:t>
      </w:r>
      <w:r w:rsidR="006048C7" w:rsidRPr="006048C7">
        <w:rPr>
          <w:rFonts w:ascii="Georgia" w:hAnsi="Georgia"/>
          <w:sz w:val="24"/>
          <w:szCs w:val="24"/>
          <w:lang w:val="en-US"/>
        </w:rPr>
        <w:t>t=−1.803</w:t>
      </w:r>
      <w:r w:rsidR="006048C7" w:rsidRPr="006048C7">
        <w:rPr>
          <w:rFonts w:ascii="Georgia" w:hAnsi="Georgia"/>
          <w:sz w:val="24"/>
          <w:szCs w:val="24"/>
          <w:lang w:val="en-US"/>
        </w:rPr>
        <w:t xml:space="preserve">, </w:t>
      </w:r>
      <w:r w:rsidR="006048C7" w:rsidRPr="006048C7">
        <w:rPr>
          <w:rFonts w:ascii="Georgia" w:hAnsi="Georgia"/>
          <w:sz w:val="24"/>
          <w:szCs w:val="24"/>
          <w:lang w:val="en-US"/>
        </w:rPr>
        <w:t>p=0.0713</w:t>
      </w:r>
      <w:r w:rsidR="006048C7" w:rsidRPr="006048C7">
        <w:rPr>
          <w:rFonts w:ascii="Georgia" w:hAnsi="Georgia"/>
          <w:sz w:val="24"/>
          <w:szCs w:val="24"/>
          <w:lang w:val="en-US"/>
        </w:rPr>
        <w:t>).</w:t>
      </w:r>
    </w:p>
    <w:p w14:paraId="7085300A" w14:textId="662D57FA" w:rsidR="006048C7" w:rsidRPr="00F8733A" w:rsidRDefault="006F50A2" w:rsidP="00E13A88">
      <w:pPr>
        <w:ind w:right="-468"/>
        <w:jc w:val="both"/>
        <w:rPr>
          <w:rFonts w:ascii="Georgia" w:hAnsi="Georgia"/>
          <w:sz w:val="24"/>
          <w:szCs w:val="24"/>
          <w:lang w:val="en-US"/>
        </w:rPr>
      </w:pPr>
      <w:r>
        <w:rPr>
          <w:noProof/>
        </w:rPr>
        <w:lastRenderedPageBreak/>
        <w:drawing>
          <wp:anchor distT="0" distB="0" distL="114300" distR="114300" simplePos="0" relativeHeight="251658240" behindDoc="1" locked="0" layoutInCell="1" allowOverlap="1" wp14:anchorId="2626729C" wp14:editId="696E2C93">
            <wp:simplePos x="0" y="0"/>
            <wp:positionH relativeFrom="column">
              <wp:posOffset>3655695</wp:posOffset>
            </wp:positionH>
            <wp:positionV relativeFrom="paragraph">
              <wp:posOffset>19050</wp:posOffset>
            </wp:positionV>
            <wp:extent cx="2538095" cy="3543935"/>
            <wp:effectExtent l="19050" t="19050" r="14605" b="18415"/>
            <wp:wrapTight wrapText="bothSides">
              <wp:wrapPolygon edited="0">
                <wp:start x="-162" y="-116"/>
                <wp:lineTo x="-162" y="21596"/>
                <wp:lineTo x="21562" y="21596"/>
                <wp:lineTo x="21562" y="-116"/>
                <wp:lineTo x="-162" y="-116"/>
              </wp:wrapPolygon>
            </wp:wrapTight>
            <wp:docPr id="1812449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449755"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38095" cy="3543935"/>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r w:rsidR="006048C7">
        <w:rPr>
          <w:rFonts w:ascii="Georgia" w:hAnsi="Georgia"/>
          <w:sz w:val="24"/>
          <w:szCs w:val="24"/>
          <w:lang w:val="en-US"/>
        </w:rPr>
        <w:t>In the second part of our regression analysis, we fitted a Bayesian regression model (</w:t>
      </w:r>
      <w:r w:rsidR="00B12CD3" w:rsidRPr="004A1C55">
        <w:rPr>
          <w:rFonts w:ascii="Georgia" w:hAnsi="Georgia"/>
          <w:i/>
          <w:iCs/>
          <w:sz w:val="24"/>
          <w:szCs w:val="24"/>
          <w:lang w:val="en-US"/>
        </w:rPr>
        <w:t xml:space="preserve">formula: </w:t>
      </w:r>
      <w:proofErr w:type="spellStart"/>
      <w:r w:rsidR="00B12CD3" w:rsidRPr="004A1C55">
        <w:rPr>
          <w:rFonts w:ascii="Georgia" w:hAnsi="Georgia"/>
          <w:i/>
          <w:iCs/>
          <w:sz w:val="24"/>
          <w:szCs w:val="24"/>
          <w:lang w:val="en-US"/>
        </w:rPr>
        <w:t>net_price_per_sqm</w:t>
      </w:r>
      <w:proofErr w:type="spellEnd"/>
      <w:r w:rsidR="00B12CD3" w:rsidRPr="004A1C55">
        <w:rPr>
          <w:rFonts w:ascii="Georgia" w:hAnsi="Georgia"/>
          <w:i/>
          <w:iCs/>
          <w:sz w:val="24"/>
          <w:szCs w:val="24"/>
          <w:lang w:val="en-US"/>
        </w:rPr>
        <w:t xml:space="preserve"> ~ area + deposit</w:t>
      </w:r>
      <w:r w:rsidR="00B12CD3">
        <w:rPr>
          <w:rFonts w:ascii="Georgia" w:hAnsi="Georgia"/>
          <w:i/>
          <w:iCs/>
          <w:sz w:val="24"/>
          <w:szCs w:val="24"/>
          <w:lang w:val="en-US"/>
        </w:rPr>
        <w:t xml:space="preserve">). </w:t>
      </w:r>
      <w:r w:rsidR="00D57378">
        <w:rPr>
          <w:rFonts w:ascii="Georgia" w:hAnsi="Georgia"/>
          <w:i/>
          <w:iCs/>
          <w:sz w:val="24"/>
          <w:szCs w:val="24"/>
          <w:lang w:val="en-US"/>
        </w:rPr>
        <w:t xml:space="preserve"> </w:t>
      </w:r>
      <w:r w:rsidR="00D57378" w:rsidRPr="00C95A3F">
        <w:rPr>
          <w:rFonts w:ascii="Georgia" w:hAnsi="Georgia"/>
          <w:sz w:val="24"/>
          <w:szCs w:val="24"/>
          <w:lang w:val="en-US"/>
        </w:rPr>
        <w:t xml:space="preserve">We assumed a Gaussian distribution for the outcome variable with identity link function.  </w:t>
      </w:r>
      <w:r w:rsidR="00C95A3F" w:rsidRPr="00C95A3F">
        <w:rPr>
          <w:rFonts w:ascii="Georgia" w:hAnsi="Georgia"/>
          <w:sz w:val="24"/>
          <w:szCs w:val="24"/>
          <w:lang w:val="en-US"/>
        </w:rPr>
        <w:t xml:space="preserve">The results of our fitted model showed credible evidence for area having a small effect on </w:t>
      </w:r>
      <w:r w:rsidR="00C95A3F">
        <w:rPr>
          <w:rFonts w:ascii="Georgia" w:hAnsi="Georgia"/>
          <w:sz w:val="24"/>
          <w:szCs w:val="24"/>
          <w:lang w:val="en-US"/>
        </w:rPr>
        <w:t>net price per square meter, with each additional square meter decreasing the net price per square meter by -0.25</w:t>
      </w:r>
      <w:r w:rsidR="00C95A3F" w:rsidRPr="00C95A3F">
        <w:rPr>
          <w:rFonts w:ascii="Georgia" w:hAnsi="Georgia"/>
          <w:sz w:val="24"/>
          <w:szCs w:val="24"/>
          <w:lang w:val="en-US"/>
        </w:rPr>
        <w:t xml:space="preserve"> </w:t>
      </w:r>
      <w:r w:rsidR="00C95A3F" w:rsidRPr="00C95A3F">
        <w:rPr>
          <w:rFonts w:ascii="Georgia" w:hAnsi="Georgia"/>
          <w:sz w:val="24"/>
          <w:szCs w:val="24"/>
          <w:lang w:val="en-US"/>
        </w:rPr>
        <w:t>(95% CI: [-0.25, -0.24]).</w:t>
      </w:r>
      <w:r w:rsidR="00C95A3F">
        <w:rPr>
          <w:rFonts w:ascii="Georgia" w:hAnsi="Georgia"/>
          <w:sz w:val="24"/>
          <w:szCs w:val="24"/>
          <w:lang w:val="en-US"/>
        </w:rPr>
        <w:t xml:space="preserve"> We found no evidence for an effect of deposit on our outcome variable. (See Figure 2. for posterior distributions of the estimates.)</w:t>
      </w:r>
      <w:r w:rsidR="00C95A3F" w:rsidRPr="00C95A3F">
        <w:rPr>
          <w:noProof/>
        </w:rPr>
        <w:t xml:space="preserve"> </w:t>
      </w:r>
    </w:p>
    <w:p w14:paraId="16D8CCEE" w14:textId="79AFB8D1" w:rsidR="00D57378" w:rsidRDefault="00D57378" w:rsidP="00E13A88">
      <w:pPr>
        <w:keepNext/>
        <w:ind w:right="-468"/>
        <w:jc w:val="center"/>
      </w:pPr>
    </w:p>
    <w:p w14:paraId="62543CB8" w14:textId="77777777" w:rsidR="009543DF" w:rsidRDefault="009543DF" w:rsidP="00E13A88">
      <w:pPr>
        <w:ind w:right="-468"/>
        <w:jc w:val="both"/>
        <w:rPr>
          <w:rFonts w:ascii="Georgia" w:hAnsi="Georgia"/>
          <w:sz w:val="24"/>
          <w:szCs w:val="24"/>
          <w:lang w:val="en-US"/>
        </w:rPr>
      </w:pPr>
    </w:p>
    <w:p w14:paraId="256C53C9" w14:textId="77777777" w:rsidR="009543DF" w:rsidRDefault="009543DF" w:rsidP="00E13A88">
      <w:pPr>
        <w:ind w:right="-468"/>
        <w:jc w:val="both"/>
        <w:rPr>
          <w:rFonts w:ascii="Georgia" w:hAnsi="Georgia"/>
          <w:sz w:val="24"/>
          <w:szCs w:val="24"/>
          <w:lang w:val="en-US"/>
        </w:rPr>
      </w:pPr>
    </w:p>
    <w:p w14:paraId="206D0970" w14:textId="77777777" w:rsidR="009543DF" w:rsidRDefault="009543DF" w:rsidP="00E13A88">
      <w:pPr>
        <w:ind w:right="-468"/>
        <w:jc w:val="both"/>
        <w:rPr>
          <w:rFonts w:ascii="Georgia" w:hAnsi="Georgia"/>
          <w:sz w:val="24"/>
          <w:szCs w:val="24"/>
          <w:lang w:val="en-US"/>
        </w:rPr>
      </w:pPr>
    </w:p>
    <w:p w14:paraId="011EDDAF" w14:textId="4AAF4AE3" w:rsidR="009543DF" w:rsidRDefault="006F50A2" w:rsidP="00E13A88">
      <w:pPr>
        <w:ind w:right="-468"/>
        <w:jc w:val="both"/>
        <w:rPr>
          <w:rFonts w:ascii="Georgia" w:hAnsi="Georgia"/>
          <w:sz w:val="24"/>
          <w:szCs w:val="24"/>
          <w:lang w:val="en-US"/>
        </w:rPr>
      </w:pPr>
      <w:r>
        <w:rPr>
          <w:noProof/>
        </w:rPr>
        <mc:AlternateContent>
          <mc:Choice Requires="wps">
            <w:drawing>
              <wp:anchor distT="0" distB="0" distL="114300" distR="114300" simplePos="0" relativeHeight="251660288" behindDoc="1" locked="0" layoutInCell="1" allowOverlap="1" wp14:anchorId="445AC4FD" wp14:editId="65132D2B">
                <wp:simplePos x="0" y="0"/>
                <wp:positionH relativeFrom="column">
                  <wp:posOffset>3657976</wp:posOffset>
                </wp:positionH>
                <wp:positionV relativeFrom="paragraph">
                  <wp:posOffset>92862</wp:posOffset>
                </wp:positionV>
                <wp:extent cx="2771775" cy="635"/>
                <wp:effectExtent l="0" t="0" r="0" b="0"/>
                <wp:wrapTight wrapText="bothSides">
                  <wp:wrapPolygon edited="0">
                    <wp:start x="0" y="0"/>
                    <wp:lineTo x="0" y="21600"/>
                    <wp:lineTo x="21600" y="21600"/>
                    <wp:lineTo x="21600" y="0"/>
                  </wp:wrapPolygon>
                </wp:wrapTight>
                <wp:docPr id="1048123378" name="Text Box 1"/>
                <wp:cNvGraphicFramePr/>
                <a:graphic xmlns:a="http://schemas.openxmlformats.org/drawingml/2006/main">
                  <a:graphicData uri="http://schemas.microsoft.com/office/word/2010/wordprocessingShape">
                    <wps:wsp>
                      <wps:cNvSpPr txBox="1"/>
                      <wps:spPr>
                        <a:xfrm>
                          <a:off x="0" y="0"/>
                          <a:ext cx="2771775" cy="635"/>
                        </a:xfrm>
                        <a:prstGeom prst="rect">
                          <a:avLst/>
                        </a:prstGeom>
                        <a:solidFill>
                          <a:prstClr val="white"/>
                        </a:solidFill>
                        <a:ln>
                          <a:noFill/>
                        </a:ln>
                      </wps:spPr>
                      <wps:txbx>
                        <w:txbxContent>
                          <w:p w14:paraId="7B2ED844" w14:textId="05C59941" w:rsidR="006F50A2" w:rsidRPr="006F50A2" w:rsidRDefault="006F50A2" w:rsidP="006F50A2">
                            <w:pPr>
                              <w:pStyle w:val="Caption"/>
                              <w:jc w:val="center"/>
                              <w:rPr>
                                <w:noProof/>
                                <w:color w:val="000000" w:themeColor="text1"/>
                                <w:sz w:val="22"/>
                                <w:szCs w:val="22"/>
                              </w:rPr>
                            </w:pPr>
                            <w:r w:rsidRPr="006F50A2">
                              <w:rPr>
                                <w:color w:val="000000" w:themeColor="text1"/>
                              </w:rPr>
                              <w:t xml:space="preserve">Figure </w:t>
                            </w:r>
                            <w:r w:rsidRPr="006F50A2">
                              <w:rPr>
                                <w:color w:val="000000" w:themeColor="text1"/>
                              </w:rPr>
                              <w:fldChar w:fldCharType="begin"/>
                            </w:r>
                            <w:r w:rsidRPr="006F50A2">
                              <w:rPr>
                                <w:color w:val="000000" w:themeColor="text1"/>
                              </w:rPr>
                              <w:instrText xml:space="preserve"> SEQ Figure \* ARABIC </w:instrText>
                            </w:r>
                            <w:r w:rsidRPr="006F50A2">
                              <w:rPr>
                                <w:color w:val="000000" w:themeColor="text1"/>
                              </w:rPr>
                              <w:fldChar w:fldCharType="separate"/>
                            </w:r>
                            <w:r w:rsidRPr="006F50A2">
                              <w:rPr>
                                <w:noProof/>
                                <w:color w:val="000000" w:themeColor="text1"/>
                              </w:rPr>
                              <w:t>2</w:t>
                            </w:r>
                            <w:r w:rsidRPr="006F50A2">
                              <w:rPr>
                                <w:color w:val="000000" w:themeColor="text1"/>
                              </w:rPr>
                              <w:fldChar w:fldCharType="end"/>
                            </w:r>
                            <w:r w:rsidRPr="006F50A2">
                              <w:rPr>
                                <w:color w:val="000000" w:themeColor="text1"/>
                              </w:rPr>
                              <w:t xml:space="preserve"> – Posterior Estimates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5AC4FD" id="_x0000_t202" coordsize="21600,21600" o:spt="202" path="m,l,21600r21600,l21600,xe">
                <v:stroke joinstyle="miter"/>
                <v:path gradientshapeok="t" o:connecttype="rect"/>
              </v:shapetype>
              <v:shape id="Text Box 1" o:spid="_x0000_s1026" type="#_x0000_t202" style="position:absolute;left:0;text-align:left;margin-left:288.05pt;margin-top:7.3pt;width:218.2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" stroked="f">
                <v:textbox style="mso-fit-shape-to-text:t" inset="0,0,0,0">
                  <w:txbxContent>
                    <w:p w14:paraId="7B2ED844" w14:textId="05C59941" w:rsidR="006F50A2" w:rsidRPr="006F50A2" w:rsidRDefault="006F50A2" w:rsidP="006F50A2">
                      <w:pPr>
                        <w:pStyle w:val="Caption"/>
                        <w:jc w:val="center"/>
                        <w:rPr>
                          <w:noProof/>
                          <w:color w:val="000000" w:themeColor="text1"/>
                          <w:sz w:val="22"/>
                          <w:szCs w:val="22"/>
                        </w:rPr>
                      </w:pPr>
                      <w:r w:rsidRPr="006F50A2">
                        <w:rPr>
                          <w:color w:val="000000" w:themeColor="text1"/>
                        </w:rPr>
                        <w:t xml:space="preserve">Figure </w:t>
                      </w:r>
                      <w:r w:rsidRPr="006F50A2">
                        <w:rPr>
                          <w:color w:val="000000" w:themeColor="text1"/>
                        </w:rPr>
                        <w:fldChar w:fldCharType="begin"/>
                      </w:r>
                      <w:r w:rsidRPr="006F50A2">
                        <w:rPr>
                          <w:color w:val="000000" w:themeColor="text1"/>
                        </w:rPr>
                        <w:instrText xml:space="preserve"> SEQ Figure \* ARABIC </w:instrText>
                      </w:r>
                      <w:r w:rsidRPr="006F50A2">
                        <w:rPr>
                          <w:color w:val="000000" w:themeColor="text1"/>
                        </w:rPr>
                        <w:fldChar w:fldCharType="separate"/>
                      </w:r>
                      <w:r w:rsidRPr="006F50A2">
                        <w:rPr>
                          <w:noProof/>
                          <w:color w:val="000000" w:themeColor="text1"/>
                        </w:rPr>
                        <w:t>2</w:t>
                      </w:r>
                      <w:r w:rsidRPr="006F50A2">
                        <w:rPr>
                          <w:color w:val="000000" w:themeColor="text1"/>
                        </w:rPr>
                        <w:fldChar w:fldCharType="end"/>
                      </w:r>
                      <w:r w:rsidRPr="006F50A2">
                        <w:rPr>
                          <w:color w:val="000000" w:themeColor="text1"/>
                        </w:rPr>
                        <w:t xml:space="preserve"> – Posterior Estimates</w:t>
                      </w:r>
                    </w:p>
                  </w:txbxContent>
                </v:textbox>
                <w10:wrap type="tight"/>
              </v:shape>
            </w:pict>
          </mc:Fallback>
        </mc:AlternateContent>
      </w:r>
    </w:p>
    <w:p w14:paraId="4D5DBB8A" w14:textId="1877E595" w:rsidR="009543DF" w:rsidRDefault="009543DF" w:rsidP="00E13A88">
      <w:pPr>
        <w:ind w:right="-468"/>
        <w:jc w:val="both"/>
        <w:rPr>
          <w:rFonts w:ascii="Georgia" w:hAnsi="Georgia"/>
          <w:sz w:val="24"/>
          <w:szCs w:val="24"/>
          <w:lang w:val="en-US"/>
        </w:rPr>
      </w:pPr>
    </w:p>
    <w:p w14:paraId="404FE01A" w14:textId="04F6F5AD" w:rsidR="006F50A2" w:rsidRDefault="00B04480" w:rsidP="00E13A88">
      <w:pPr>
        <w:ind w:left="-450" w:right="-468"/>
        <w:rPr>
          <w:rFonts w:ascii="Georgia" w:hAnsi="Georgia"/>
          <w:b/>
          <w:bCs/>
          <w:sz w:val="24"/>
          <w:szCs w:val="24"/>
          <w:lang w:val="en-US"/>
        </w:rPr>
      </w:pPr>
      <w:r w:rsidRPr="00094D99">
        <w:rPr>
          <w:rFonts w:ascii="Georgia" w:hAnsi="Georgia"/>
          <w:b/>
          <w:bCs/>
          <w:sz w:val="24"/>
          <w:szCs w:val="24"/>
          <w:lang w:val="en-US"/>
        </w:rPr>
        <w:t xml:space="preserve">Discussion </w:t>
      </w:r>
    </w:p>
    <w:p w14:paraId="3838785C" w14:textId="126AD1D2" w:rsidR="006F50A2" w:rsidRDefault="004939A0" w:rsidP="00E13A88">
      <w:pPr>
        <w:ind w:left="-450" w:right="-468"/>
        <w:jc w:val="both"/>
        <w:rPr>
          <w:rFonts w:ascii="Georgia" w:hAnsi="Georgia"/>
          <w:sz w:val="24"/>
          <w:szCs w:val="24"/>
          <w:lang w:val="en-US"/>
        </w:rPr>
      </w:pPr>
      <w:r>
        <w:rPr>
          <w:rFonts w:ascii="Georgia" w:hAnsi="Georgia"/>
          <w:sz w:val="24"/>
          <w:szCs w:val="24"/>
          <w:lang w:val="en-US"/>
        </w:rPr>
        <w:t>Our</w:t>
      </w:r>
      <w:r w:rsidRPr="004939A0">
        <w:rPr>
          <w:rFonts w:ascii="Georgia" w:hAnsi="Georgia"/>
          <w:sz w:val="24"/>
          <w:szCs w:val="24"/>
          <w:lang w:val="en-US"/>
        </w:rPr>
        <w:t xml:space="preserve"> analysis of </w:t>
      </w:r>
      <w:r>
        <w:rPr>
          <w:rFonts w:ascii="Georgia" w:hAnsi="Georgia"/>
          <w:sz w:val="24"/>
          <w:szCs w:val="24"/>
          <w:lang w:val="en-US"/>
        </w:rPr>
        <w:t>the</w:t>
      </w:r>
      <w:r w:rsidRPr="004939A0">
        <w:rPr>
          <w:rFonts w:ascii="Georgia" w:hAnsi="Georgia"/>
          <w:sz w:val="24"/>
          <w:szCs w:val="24"/>
          <w:lang w:val="en-US"/>
        </w:rPr>
        <w:t xml:space="preserve"> data shown here suffered several methodological limitations.</w:t>
      </w:r>
      <w:r>
        <w:rPr>
          <w:rFonts w:ascii="Georgia" w:hAnsi="Georgia"/>
          <w:sz w:val="24"/>
          <w:szCs w:val="24"/>
          <w:lang w:val="en-US"/>
        </w:rPr>
        <w:t xml:space="preserve"> First, our analysis does not generalize over all housing properties in Aarhus since our dataset contained only the listings by housing associations. Second, our analysis might have been skewed by the presence of identical or near-identical listings present in our dataset. These identical listings were practically difficult to handle due to the size and complexity of our dataset. Third, our dataset was imbalanced in terms of locations since several areas only listed a small number of houses with disproportionately higher prices than average. </w:t>
      </w:r>
    </w:p>
    <w:p w14:paraId="5AEFA7A3" w14:textId="77777777" w:rsidR="00F8733A" w:rsidRDefault="004939A0" w:rsidP="00E13A88">
      <w:pPr>
        <w:ind w:left="-450" w:right="-468"/>
        <w:jc w:val="both"/>
        <w:rPr>
          <w:rFonts w:ascii="Georgia" w:hAnsi="Georgia"/>
          <w:sz w:val="24"/>
          <w:szCs w:val="24"/>
          <w:lang w:val="en-US"/>
        </w:rPr>
      </w:pPr>
      <w:r>
        <w:rPr>
          <w:rFonts w:ascii="Georgia" w:hAnsi="Georgia"/>
          <w:sz w:val="24"/>
          <w:szCs w:val="24"/>
          <w:lang w:val="en-US"/>
        </w:rPr>
        <w:t xml:space="preserve">When it comes to </w:t>
      </w:r>
      <w:r w:rsidR="00F8733A">
        <w:rPr>
          <w:rFonts w:ascii="Georgia" w:hAnsi="Georgia"/>
          <w:sz w:val="24"/>
          <w:szCs w:val="24"/>
          <w:lang w:val="en-US"/>
        </w:rPr>
        <w:t xml:space="preserve">our Bayesian regression model, the Gaussian family was not an ideal choice given that our outcome variable exhibits a distribution closer to Gamma or Log-normal. However, we opted for the implementation of the Gaussian family due to the poor chain convergence in the fitted Gamma and Log-normal models. </w:t>
      </w:r>
    </w:p>
    <w:p w14:paraId="7C86A2C7" w14:textId="2C7ECF4A" w:rsidR="00F8733A" w:rsidRPr="00F8733A" w:rsidRDefault="00F8733A" w:rsidP="00E13A88">
      <w:pPr>
        <w:ind w:left="-450" w:right="-468"/>
        <w:jc w:val="both"/>
        <w:rPr>
          <w:rFonts w:ascii="Georgia" w:hAnsi="Georgia"/>
          <w:sz w:val="24"/>
          <w:szCs w:val="24"/>
          <w:lang w:val="en-US"/>
        </w:rPr>
      </w:pPr>
      <w:r>
        <w:rPr>
          <w:rFonts w:ascii="Georgia" w:hAnsi="Georgia"/>
          <w:sz w:val="24"/>
          <w:szCs w:val="24"/>
          <w:lang w:val="en-US"/>
        </w:rPr>
        <w:t>In conclusion,</w:t>
      </w:r>
      <w:r w:rsidRPr="00F8733A">
        <w:rPr>
          <w:rFonts w:ascii="Georgia" w:hAnsi="Georgia"/>
          <w:sz w:val="24"/>
          <w:szCs w:val="24"/>
          <w:lang w:val="en-US"/>
        </w:rPr>
        <w:t xml:space="preserve"> </w:t>
      </w:r>
      <w:r w:rsidRPr="00F8733A">
        <w:rPr>
          <w:rFonts w:ascii="Georgia" w:hAnsi="Georgia"/>
          <w:sz w:val="24"/>
          <w:szCs w:val="24"/>
          <w:lang w:val="en-US"/>
        </w:rPr>
        <w:t>the results shown here can only be understood as complementing the results of earlier studies. Among the more relevant factors we could have included would be the relative impact on the net price of the stratification of the location to hedonic (e</w:t>
      </w:r>
      <w:r w:rsidR="00B13AE9">
        <w:rPr>
          <w:rFonts w:ascii="Georgia" w:hAnsi="Georgia"/>
          <w:sz w:val="24"/>
          <w:szCs w:val="24"/>
          <w:lang w:val="en-US"/>
        </w:rPr>
        <w:t>.</w:t>
      </w:r>
      <w:r w:rsidRPr="00F8733A">
        <w:rPr>
          <w:rFonts w:ascii="Georgia" w:hAnsi="Georgia"/>
          <w:sz w:val="24"/>
          <w:szCs w:val="24"/>
          <w:lang w:val="en-US"/>
        </w:rPr>
        <w:t xml:space="preserve">g., proximity to nature, beach, forests) or functional (amenities in the area like groceries, train stations). </w:t>
      </w:r>
    </w:p>
    <w:p w14:paraId="4A11473F" w14:textId="541FBA22" w:rsidR="00F8733A" w:rsidRPr="004939A0" w:rsidRDefault="00F8733A" w:rsidP="00E13A88">
      <w:pPr>
        <w:ind w:left="-450" w:right="-468"/>
        <w:rPr>
          <w:rFonts w:ascii="Georgia" w:hAnsi="Georgia"/>
          <w:sz w:val="24"/>
          <w:szCs w:val="24"/>
          <w:lang w:val="en-US"/>
        </w:rPr>
      </w:pPr>
      <w:r>
        <w:rPr>
          <w:rFonts w:ascii="Georgia" w:hAnsi="Georgia"/>
          <w:sz w:val="24"/>
          <w:szCs w:val="24"/>
          <w:lang w:val="en-US"/>
        </w:rPr>
        <w:t xml:space="preserve"> </w:t>
      </w:r>
    </w:p>
    <w:p w14:paraId="464EF0A5" w14:textId="77777777" w:rsidR="00B04480" w:rsidRDefault="00B04480" w:rsidP="00E13A88">
      <w:pPr>
        <w:ind w:left="-450" w:right="-468"/>
        <w:rPr>
          <w:rFonts w:ascii="Georgia" w:hAnsi="Georgia"/>
          <w:b/>
          <w:bCs/>
          <w:sz w:val="24"/>
          <w:szCs w:val="24"/>
          <w:lang w:val="en-US"/>
        </w:rPr>
      </w:pPr>
    </w:p>
    <w:p w14:paraId="3233D900" w14:textId="77777777" w:rsidR="00E13A88" w:rsidRDefault="00E13A88" w:rsidP="00E13A88">
      <w:pPr>
        <w:ind w:left="-450" w:right="-468"/>
        <w:rPr>
          <w:rFonts w:ascii="Georgia" w:hAnsi="Georgia"/>
          <w:b/>
          <w:bCs/>
          <w:sz w:val="24"/>
          <w:szCs w:val="24"/>
          <w:lang w:val="en-US"/>
        </w:rPr>
      </w:pPr>
    </w:p>
    <w:p w14:paraId="7048BC27" w14:textId="77777777" w:rsidR="00E13A88" w:rsidRDefault="00E13A88" w:rsidP="00E13A88">
      <w:pPr>
        <w:ind w:left="-450" w:right="-468"/>
        <w:rPr>
          <w:rFonts w:ascii="Georgia" w:hAnsi="Georgia"/>
          <w:b/>
          <w:bCs/>
          <w:sz w:val="24"/>
          <w:szCs w:val="24"/>
          <w:lang w:val="en-US"/>
        </w:rPr>
      </w:pPr>
    </w:p>
    <w:p w14:paraId="5CCE638D" w14:textId="77777777" w:rsidR="00E13A88" w:rsidRDefault="00E13A88" w:rsidP="00E13A88">
      <w:pPr>
        <w:ind w:left="-450" w:right="-468"/>
        <w:rPr>
          <w:rFonts w:ascii="Georgia" w:hAnsi="Georgia"/>
          <w:b/>
          <w:bCs/>
          <w:sz w:val="24"/>
          <w:szCs w:val="24"/>
          <w:lang w:val="en-US"/>
        </w:rPr>
      </w:pPr>
    </w:p>
    <w:p w14:paraId="1D337152" w14:textId="2D312E7F" w:rsidR="00E13A88" w:rsidRDefault="00E13A88" w:rsidP="00E13A88">
      <w:pPr>
        <w:ind w:left="-450" w:right="-468"/>
        <w:rPr>
          <w:rFonts w:ascii="Georgia" w:hAnsi="Georgia"/>
          <w:b/>
          <w:bCs/>
          <w:sz w:val="24"/>
          <w:szCs w:val="24"/>
          <w:lang w:val="en-US"/>
        </w:rPr>
      </w:pPr>
      <w:r>
        <w:rPr>
          <w:rFonts w:ascii="Georgia" w:hAnsi="Georgia"/>
          <w:b/>
          <w:bCs/>
          <w:sz w:val="24"/>
          <w:szCs w:val="24"/>
          <w:lang w:val="en-US"/>
        </w:rPr>
        <w:lastRenderedPageBreak/>
        <w:t xml:space="preserve">References </w:t>
      </w:r>
    </w:p>
    <w:p w14:paraId="7BBB9F79" w14:textId="183F6556" w:rsidR="00AE59D6" w:rsidRPr="00AE59D6" w:rsidRDefault="00AE59D6" w:rsidP="00AE59D6">
      <w:pPr>
        <w:ind w:left="-450" w:right="-468"/>
        <w:jc w:val="both"/>
        <w:rPr>
          <w:rFonts w:ascii="Georgia" w:hAnsi="Georgia"/>
          <w:sz w:val="24"/>
          <w:szCs w:val="24"/>
          <w:lang w:val="en-US"/>
        </w:rPr>
      </w:pPr>
      <w:r>
        <w:rPr>
          <w:rFonts w:ascii="Georgia" w:hAnsi="Georgia"/>
          <w:b/>
          <w:bCs/>
          <w:sz w:val="24"/>
          <w:szCs w:val="24"/>
          <w:lang w:val="en-US"/>
        </w:rPr>
        <w:fldChar w:fldCharType="begin"/>
      </w:r>
      <w:r>
        <w:rPr>
          <w:rFonts w:ascii="Georgia" w:hAnsi="Georgia"/>
          <w:b/>
          <w:bCs/>
          <w:sz w:val="24"/>
          <w:szCs w:val="24"/>
          <w:lang w:val="en-US"/>
        </w:rPr>
        <w:instrText xml:space="preserve"> ADDIN ZOTERO_BIBL {"uncited":[],"omitted":[],"custom":[]} CSL_BIBLIOGRAPHY </w:instrText>
      </w:r>
      <w:r>
        <w:rPr>
          <w:rFonts w:ascii="Georgia" w:hAnsi="Georgia"/>
          <w:b/>
          <w:bCs/>
          <w:sz w:val="24"/>
          <w:szCs w:val="24"/>
          <w:lang w:val="en-US"/>
        </w:rPr>
        <w:fldChar w:fldCharType="separate"/>
      </w:r>
      <w:r w:rsidRPr="00AE59D6">
        <w:rPr>
          <w:rFonts w:ascii="Georgia" w:hAnsi="Georgia"/>
          <w:i/>
          <w:iCs/>
          <w:sz w:val="24"/>
        </w:rPr>
        <w:t>Aarhus residence—Dataset</w:t>
      </w:r>
      <w:r w:rsidRPr="00AE59D6">
        <w:rPr>
          <w:rFonts w:ascii="Georgia" w:hAnsi="Georgia"/>
          <w:sz w:val="24"/>
        </w:rPr>
        <w:t>. (</w:t>
      </w:r>
      <w:r>
        <w:rPr>
          <w:rFonts w:ascii="Georgia" w:hAnsi="Georgia"/>
          <w:sz w:val="24"/>
        </w:rPr>
        <w:t>2024</w:t>
      </w:r>
      <w:r w:rsidRPr="00AE59D6">
        <w:rPr>
          <w:rFonts w:ascii="Georgia" w:hAnsi="Georgia"/>
          <w:sz w:val="24"/>
        </w:rPr>
        <w:t xml:space="preserve">). Retrieved December 7, 2024, from </w:t>
      </w:r>
      <w:proofErr w:type="gramStart"/>
      <w:r w:rsidRPr="00AE59D6">
        <w:rPr>
          <w:rFonts w:ascii="Georgia" w:hAnsi="Georgia"/>
          <w:sz w:val="24"/>
          <w:szCs w:val="24"/>
          <w:lang w:val="en-US"/>
        </w:rPr>
        <w:t>https://www.opendata.dk/city-of-aarhus/aarhusbolig?fbclid=IwZXh0bgNhZW0CMTEAAR0ra7fv_hHwOB_lj1e4rwdPfQNy3C0n0Vqf2M3Ska_gAjQPXodSzwH35-g_aem_JGFGaEINLyZiEa-jfv2g1w</w:t>
      </w:r>
      <w:proofErr w:type="gramEnd"/>
    </w:p>
    <w:p w14:paraId="67E1EAC7" w14:textId="77777777" w:rsidR="00AE59D6" w:rsidRPr="00AE59D6" w:rsidRDefault="00AE59D6" w:rsidP="00AE59D6">
      <w:pPr>
        <w:ind w:left="-450" w:right="-468"/>
        <w:jc w:val="both"/>
        <w:rPr>
          <w:rFonts w:ascii="Georgia" w:hAnsi="Georgia"/>
          <w:sz w:val="24"/>
          <w:szCs w:val="24"/>
          <w:lang w:val="en-US"/>
        </w:rPr>
      </w:pPr>
      <w:r w:rsidRPr="00AE59D6">
        <w:rPr>
          <w:rFonts w:ascii="Georgia" w:hAnsi="Georgia"/>
          <w:sz w:val="24"/>
          <w:szCs w:val="24"/>
          <w:lang w:val="en-US"/>
        </w:rPr>
        <w:t xml:space="preserve">Dubois, H., &amp; </w:t>
      </w:r>
      <w:proofErr w:type="spellStart"/>
      <w:r w:rsidRPr="00AE59D6">
        <w:rPr>
          <w:rFonts w:ascii="Georgia" w:hAnsi="Georgia"/>
          <w:sz w:val="24"/>
          <w:szCs w:val="24"/>
          <w:lang w:val="en-US"/>
        </w:rPr>
        <w:t>Nivakosk</w:t>
      </w:r>
      <w:proofErr w:type="spellEnd"/>
      <w:r w:rsidRPr="00AE59D6">
        <w:rPr>
          <w:rFonts w:ascii="Georgia" w:hAnsi="Georgia"/>
          <w:sz w:val="24"/>
          <w:szCs w:val="24"/>
          <w:lang w:val="en-US"/>
        </w:rPr>
        <w:t>, S. (with European Foundation for the Improvement of Living and Working Conditions). (2023). Unaffordable and inadequate housing in Europe. Publications Office of the European Union. https://doi.org/10.2806/715002</w:t>
      </w:r>
    </w:p>
    <w:p w14:paraId="60F8BE04" w14:textId="77777777" w:rsidR="00AE59D6" w:rsidRPr="00AE59D6" w:rsidRDefault="00AE59D6" w:rsidP="00AE59D6">
      <w:pPr>
        <w:ind w:left="-450" w:right="-468"/>
        <w:jc w:val="both"/>
        <w:rPr>
          <w:rFonts w:ascii="Georgia" w:hAnsi="Georgia"/>
          <w:sz w:val="24"/>
          <w:szCs w:val="24"/>
          <w:lang w:val="en-US"/>
        </w:rPr>
      </w:pPr>
      <w:proofErr w:type="spellStart"/>
      <w:r w:rsidRPr="00AE59D6">
        <w:rPr>
          <w:rFonts w:ascii="Georgia" w:hAnsi="Georgia"/>
          <w:sz w:val="24"/>
          <w:szCs w:val="24"/>
          <w:lang w:val="en-US"/>
        </w:rPr>
        <w:t>Melecky</w:t>
      </w:r>
      <w:proofErr w:type="spellEnd"/>
      <w:r w:rsidRPr="00AE59D6">
        <w:rPr>
          <w:rFonts w:ascii="Georgia" w:hAnsi="Georgia"/>
          <w:sz w:val="24"/>
          <w:szCs w:val="24"/>
          <w:lang w:val="en-US"/>
        </w:rPr>
        <w:t xml:space="preserve">, A., &amp; Paksi, D. (2024). Drivers of European housing prices in the new millennium: Demand, financial, and supply determinants. </w:t>
      </w:r>
      <w:proofErr w:type="spellStart"/>
      <w:r w:rsidRPr="00AE59D6">
        <w:rPr>
          <w:rFonts w:ascii="Georgia" w:hAnsi="Georgia"/>
          <w:sz w:val="24"/>
          <w:szCs w:val="24"/>
          <w:lang w:val="en-US"/>
        </w:rPr>
        <w:t>Empirica</w:t>
      </w:r>
      <w:proofErr w:type="spellEnd"/>
      <w:r w:rsidRPr="00AE59D6">
        <w:rPr>
          <w:rFonts w:ascii="Georgia" w:hAnsi="Georgia"/>
          <w:sz w:val="24"/>
          <w:szCs w:val="24"/>
          <w:lang w:val="en-US"/>
        </w:rPr>
        <w:t>, 51(3), 731–753. https://doi.org/10.1007/s10663-024-09611-5</w:t>
      </w:r>
    </w:p>
    <w:p w14:paraId="419E849B" w14:textId="77777777" w:rsidR="00AE59D6" w:rsidRPr="00AE59D6" w:rsidRDefault="00AE59D6" w:rsidP="00AE59D6">
      <w:pPr>
        <w:ind w:left="-450" w:right="-468"/>
        <w:jc w:val="both"/>
        <w:rPr>
          <w:rFonts w:ascii="Georgia" w:hAnsi="Georgia"/>
          <w:sz w:val="24"/>
          <w:szCs w:val="24"/>
          <w:lang w:val="en-US"/>
        </w:rPr>
      </w:pPr>
      <w:r w:rsidRPr="00AE59D6">
        <w:rPr>
          <w:rFonts w:ascii="Georgia" w:hAnsi="Georgia"/>
          <w:sz w:val="24"/>
          <w:szCs w:val="24"/>
          <w:lang w:val="en-US"/>
        </w:rPr>
        <w:t>Zietz, E., Sirmans, S., &amp; Sirmans, G. (2006). The Value of Housing Characteristics: A Meta Analysis. The Journal of Real Estate Finance and Economics. https://www.academia.edu/21853990/The_Value_of_Housing_Characteristics_A_Meta_Analysis</w:t>
      </w:r>
    </w:p>
    <w:p w14:paraId="4D8C65D2" w14:textId="5BDC80AE" w:rsidR="00E13A88" w:rsidRPr="00094D99" w:rsidRDefault="00AE59D6" w:rsidP="00E13A88">
      <w:pPr>
        <w:ind w:left="-450" w:right="-468"/>
        <w:rPr>
          <w:rFonts w:ascii="Georgia" w:hAnsi="Georgia"/>
          <w:b/>
          <w:bCs/>
          <w:sz w:val="24"/>
          <w:szCs w:val="24"/>
          <w:lang w:val="en-US"/>
        </w:rPr>
      </w:pPr>
      <w:r>
        <w:rPr>
          <w:rFonts w:ascii="Georgia" w:hAnsi="Georgia"/>
          <w:b/>
          <w:bCs/>
          <w:sz w:val="24"/>
          <w:szCs w:val="24"/>
          <w:lang w:val="en-US"/>
        </w:rPr>
        <w:fldChar w:fldCharType="end"/>
      </w:r>
    </w:p>
    <w:sectPr w:rsidR="00E13A88" w:rsidRPr="00094D99" w:rsidSect="0065533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CD0CC2" w14:textId="77777777" w:rsidR="00A1455E" w:rsidRDefault="00A1455E" w:rsidP="00B04480">
      <w:pPr>
        <w:spacing w:after="0" w:line="240" w:lineRule="auto"/>
      </w:pPr>
      <w:r>
        <w:separator/>
      </w:r>
    </w:p>
  </w:endnote>
  <w:endnote w:type="continuationSeparator" w:id="0">
    <w:p w14:paraId="521C12C0" w14:textId="77777777" w:rsidR="00A1455E" w:rsidRDefault="00A1455E" w:rsidP="00B04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E4D8FF" w14:textId="77777777" w:rsidR="00A1455E" w:rsidRDefault="00A1455E" w:rsidP="00B04480">
      <w:pPr>
        <w:spacing w:after="0" w:line="240" w:lineRule="auto"/>
      </w:pPr>
      <w:r>
        <w:separator/>
      </w:r>
    </w:p>
  </w:footnote>
  <w:footnote w:type="continuationSeparator" w:id="0">
    <w:p w14:paraId="1BAFA55C" w14:textId="77777777" w:rsidR="00A1455E" w:rsidRDefault="00A1455E" w:rsidP="00B044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446E40"/>
    <w:multiLevelType w:val="hybridMultilevel"/>
    <w:tmpl w:val="32429770"/>
    <w:lvl w:ilvl="0" w:tplc="4AE25062">
      <w:start w:val="1"/>
      <w:numFmt w:val="upperRoman"/>
      <w:lvlText w:val="%1."/>
      <w:lvlJc w:val="left"/>
      <w:pPr>
        <w:ind w:left="270" w:hanging="720"/>
      </w:pPr>
      <w:rPr>
        <w:rFonts w:hint="default"/>
      </w:rPr>
    </w:lvl>
    <w:lvl w:ilvl="1" w:tplc="08090019" w:tentative="1">
      <w:start w:val="1"/>
      <w:numFmt w:val="lowerLetter"/>
      <w:lvlText w:val="%2."/>
      <w:lvlJc w:val="left"/>
      <w:pPr>
        <w:ind w:left="630" w:hanging="360"/>
      </w:pPr>
    </w:lvl>
    <w:lvl w:ilvl="2" w:tplc="0809001B" w:tentative="1">
      <w:start w:val="1"/>
      <w:numFmt w:val="lowerRoman"/>
      <w:lvlText w:val="%3."/>
      <w:lvlJc w:val="right"/>
      <w:pPr>
        <w:ind w:left="1350" w:hanging="180"/>
      </w:pPr>
    </w:lvl>
    <w:lvl w:ilvl="3" w:tplc="0809000F" w:tentative="1">
      <w:start w:val="1"/>
      <w:numFmt w:val="decimal"/>
      <w:lvlText w:val="%4."/>
      <w:lvlJc w:val="left"/>
      <w:pPr>
        <w:ind w:left="2070" w:hanging="360"/>
      </w:pPr>
    </w:lvl>
    <w:lvl w:ilvl="4" w:tplc="08090019" w:tentative="1">
      <w:start w:val="1"/>
      <w:numFmt w:val="lowerLetter"/>
      <w:lvlText w:val="%5."/>
      <w:lvlJc w:val="left"/>
      <w:pPr>
        <w:ind w:left="2790" w:hanging="360"/>
      </w:pPr>
    </w:lvl>
    <w:lvl w:ilvl="5" w:tplc="0809001B" w:tentative="1">
      <w:start w:val="1"/>
      <w:numFmt w:val="lowerRoman"/>
      <w:lvlText w:val="%6."/>
      <w:lvlJc w:val="right"/>
      <w:pPr>
        <w:ind w:left="3510" w:hanging="180"/>
      </w:pPr>
    </w:lvl>
    <w:lvl w:ilvl="6" w:tplc="0809000F" w:tentative="1">
      <w:start w:val="1"/>
      <w:numFmt w:val="decimal"/>
      <w:lvlText w:val="%7."/>
      <w:lvlJc w:val="left"/>
      <w:pPr>
        <w:ind w:left="4230" w:hanging="360"/>
      </w:pPr>
    </w:lvl>
    <w:lvl w:ilvl="7" w:tplc="08090019" w:tentative="1">
      <w:start w:val="1"/>
      <w:numFmt w:val="lowerLetter"/>
      <w:lvlText w:val="%8."/>
      <w:lvlJc w:val="left"/>
      <w:pPr>
        <w:ind w:left="4950" w:hanging="360"/>
      </w:pPr>
    </w:lvl>
    <w:lvl w:ilvl="8" w:tplc="0809001B" w:tentative="1">
      <w:start w:val="1"/>
      <w:numFmt w:val="lowerRoman"/>
      <w:lvlText w:val="%9."/>
      <w:lvlJc w:val="right"/>
      <w:pPr>
        <w:ind w:left="5670" w:hanging="180"/>
      </w:pPr>
    </w:lvl>
  </w:abstractNum>
  <w:num w:numId="1" w16cid:durableId="654332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84A"/>
    <w:rsid w:val="00094D99"/>
    <w:rsid w:val="00124736"/>
    <w:rsid w:val="00160497"/>
    <w:rsid w:val="0033469B"/>
    <w:rsid w:val="00381D98"/>
    <w:rsid w:val="004061A5"/>
    <w:rsid w:val="004939A0"/>
    <w:rsid w:val="004A1C55"/>
    <w:rsid w:val="004B0F34"/>
    <w:rsid w:val="006048C7"/>
    <w:rsid w:val="00655337"/>
    <w:rsid w:val="00671664"/>
    <w:rsid w:val="006F50A2"/>
    <w:rsid w:val="00753014"/>
    <w:rsid w:val="008D6D60"/>
    <w:rsid w:val="00951728"/>
    <w:rsid w:val="009543DF"/>
    <w:rsid w:val="00972885"/>
    <w:rsid w:val="00A1455E"/>
    <w:rsid w:val="00AE59D6"/>
    <w:rsid w:val="00B04480"/>
    <w:rsid w:val="00B1060B"/>
    <w:rsid w:val="00B12CD3"/>
    <w:rsid w:val="00B13AE9"/>
    <w:rsid w:val="00BE284A"/>
    <w:rsid w:val="00BE59D4"/>
    <w:rsid w:val="00BF03E9"/>
    <w:rsid w:val="00C74210"/>
    <w:rsid w:val="00C95A3F"/>
    <w:rsid w:val="00CA3A21"/>
    <w:rsid w:val="00D57378"/>
    <w:rsid w:val="00D91885"/>
    <w:rsid w:val="00E13A88"/>
    <w:rsid w:val="00E27EED"/>
    <w:rsid w:val="00E85E3D"/>
    <w:rsid w:val="00F8733A"/>
    <w:rsid w:val="00FE223A"/>
  </w:rsids>
  <m:mathPr>
    <m:mathFont m:val="Cambria Math"/>
    <m:brkBin m:val="before"/>
    <m:brkBinSub m:val="--"/>
    <m:smallFrac m:val="0"/>
    <m:dispDef/>
    <m:lMargin m:val="0"/>
    <m:rMargin m:val="0"/>
    <m:defJc m:val="centerGroup"/>
    <m:wrapIndent m:val="1440"/>
    <m:intLim m:val="subSup"/>
    <m:naryLim m:val="undOvr"/>
  </m:mathPr>
  <w:themeFontLang w:val="sk-S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B4FE3"/>
  <w15:chartTrackingRefBased/>
  <w15:docId w15:val="{72DB9BB0-E80E-4079-BF2B-ACF707D31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28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E28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28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28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28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28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28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28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28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8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E28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28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28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28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28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28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28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284A"/>
    <w:rPr>
      <w:rFonts w:eastAsiaTheme="majorEastAsia" w:cstheme="majorBidi"/>
      <w:color w:val="272727" w:themeColor="text1" w:themeTint="D8"/>
    </w:rPr>
  </w:style>
  <w:style w:type="paragraph" w:styleId="Title">
    <w:name w:val="Title"/>
    <w:basedOn w:val="Normal"/>
    <w:next w:val="Normal"/>
    <w:link w:val="TitleChar"/>
    <w:uiPriority w:val="10"/>
    <w:qFormat/>
    <w:rsid w:val="00BE28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28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28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28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284A"/>
    <w:pPr>
      <w:spacing w:before="160"/>
      <w:jc w:val="center"/>
    </w:pPr>
    <w:rPr>
      <w:i/>
      <w:iCs/>
      <w:color w:val="404040" w:themeColor="text1" w:themeTint="BF"/>
    </w:rPr>
  </w:style>
  <w:style w:type="character" w:customStyle="1" w:styleId="QuoteChar">
    <w:name w:val="Quote Char"/>
    <w:basedOn w:val="DefaultParagraphFont"/>
    <w:link w:val="Quote"/>
    <w:uiPriority w:val="29"/>
    <w:rsid w:val="00BE284A"/>
    <w:rPr>
      <w:i/>
      <w:iCs/>
      <w:color w:val="404040" w:themeColor="text1" w:themeTint="BF"/>
    </w:rPr>
  </w:style>
  <w:style w:type="paragraph" w:styleId="ListParagraph">
    <w:name w:val="List Paragraph"/>
    <w:basedOn w:val="Normal"/>
    <w:uiPriority w:val="34"/>
    <w:qFormat/>
    <w:rsid w:val="00BE284A"/>
    <w:pPr>
      <w:ind w:left="720"/>
      <w:contextualSpacing/>
    </w:pPr>
  </w:style>
  <w:style w:type="character" w:styleId="IntenseEmphasis">
    <w:name w:val="Intense Emphasis"/>
    <w:basedOn w:val="DefaultParagraphFont"/>
    <w:uiPriority w:val="21"/>
    <w:qFormat/>
    <w:rsid w:val="00BE284A"/>
    <w:rPr>
      <w:i/>
      <w:iCs/>
      <w:color w:val="2F5496" w:themeColor="accent1" w:themeShade="BF"/>
    </w:rPr>
  </w:style>
  <w:style w:type="paragraph" w:styleId="IntenseQuote">
    <w:name w:val="Intense Quote"/>
    <w:basedOn w:val="Normal"/>
    <w:next w:val="Normal"/>
    <w:link w:val="IntenseQuoteChar"/>
    <w:uiPriority w:val="30"/>
    <w:qFormat/>
    <w:rsid w:val="00BE28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284A"/>
    <w:rPr>
      <w:i/>
      <w:iCs/>
      <w:color w:val="2F5496" w:themeColor="accent1" w:themeShade="BF"/>
    </w:rPr>
  </w:style>
  <w:style w:type="character" w:styleId="IntenseReference">
    <w:name w:val="Intense Reference"/>
    <w:basedOn w:val="DefaultParagraphFont"/>
    <w:uiPriority w:val="32"/>
    <w:qFormat/>
    <w:rsid w:val="00BE284A"/>
    <w:rPr>
      <w:b/>
      <w:bCs/>
      <w:smallCaps/>
      <w:color w:val="2F5496" w:themeColor="accent1" w:themeShade="BF"/>
      <w:spacing w:val="5"/>
    </w:rPr>
  </w:style>
  <w:style w:type="paragraph" w:styleId="Header">
    <w:name w:val="header"/>
    <w:basedOn w:val="Normal"/>
    <w:link w:val="HeaderChar"/>
    <w:uiPriority w:val="99"/>
    <w:unhideWhenUsed/>
    <w:rsid w:val="00B04480"/>
    <w:pPr>
      <w:tabs>
        <w:tab w:val="center" w:pos="4536"/>
        <w:tab w:val="right" w:pos="9072"/>
      </w:tabs>
      <w:spacing w:after="0" w:line="240" w:lineRule="auto"/>
    </w:pPr>
  </w:style>
  <w:style w:type="character" w:customStyle="1" w:styleId="HeaderChar">
    <w:name w:val="Header Char"/>
    <w:basedOn w:val="DefaultParagraphFont"/>
    <w:link w:val="Header"/>
    <w:uiPriority w:val="99"/>
    <w:rsid w:val="00B04480"/>
  </w:style>
  <w:style w:type="paragraph" w:styleId="Footer">
    <w:name w:val="footer"/>
    <w:basedOn w:val="Normal"/>
    <w:link w:val="FooterChar"/>
    <w:uiPriority w:val="99"/>
    <w:unhideWhenUsed/>
    <w:rsid w:val="00B04480"/>
    <w:pPr>
      <w:tabs>
        <w:tab w:val="center" w:pos="4536"/>
        <w:tab w:val="right" w:pos="9072"/>
      </w:tabs>
      <w:spacing w:after="0" w:line="240" w:lineRule="auto"/>
    </w:pPr>
  </w:style>
  <w:style w:type="character" w:customStyle="1" w:styleId="FooterChar">
    <w:name w:val="Footer Char"/>
    <w:basedOn w:val="DefaultParagraphFont"/>
    <w:link w:val="Footer"/>
    <w:uiPriority w:val="99"/>
    <w:rsid w:val="00B04480"/>
  </w:style>
  <w:style w:type="character" w:styleId="Hyperlink">
    <w:name w:val="Hyperlink"/>
    <w:basedOn w:val="DefaultParagraphFont"/>
    <w:uiPriority w:val="99"/>
    <w:semiHidden/>
    <w:unhideWhenUsed/>
    <w:rsid w:val="00381D98"/>
    <w:rPr>
      <w:color w:val="0000FF"/>
      <w:u w:val="single"/>
    </w:rPr>
  </w:style>
  <w:style w:type="paragraph" w:styleId="NormalWeb">
    <w:name w:val="Normal (Web)"/>
    <w:basedOn w:val="Normal"/>
    <w:uiPriority w:val="99"/>
    <w:semiHidden/>
    <w:unhideWhenUsed/>
    <w:rsid w:val="00D9188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Caption">
    <w:name w:val="caption"/>
    <w:basedOn w:val="Normal"/>
    <w:next w:val="Normal"/>
    <w:uiPriority w:val="35"/>
    <w:unhideWhenUsed/>
    <w:qFormat/>
    <w:rsid w:val="00671664"/>
    <w:pPr>
      <w:spacing w:after="200" w:line="240" w:lineRule="auto"/>
    </w:pPr>
    <w:rPr>
      <w:i/>
      <w:iCs/>
      <w:color w:val="44546A" w:themeColor="text2"/>
      <w:sz w:val="18"/>
      <w:szCs w:val="18"/>
    </w:rPr>
  </w:style>
  <w:style w:type="character" w:customStyle="1" w:styleId="mord">
    <w:name w:val="mord"/>
    <w:basedOn w:val="DefaultParagraphFont"/>
    <w:rsid w:val="008D6D60"/>
  </w:style>
  <w:style w:type="character" w:customStyle="1" w:styleId="mrel">
    <w:name w:val="mrel"/>
    <w:basedOn w:val="DefaultParagraphFont"/>
    <w:rsid w:val="008D6D60"/>
  </w:style>
  <w:style w:type="character" w:customStyle="1" w:styleId="mbin">
    <w:name w:val="mbin"/>
    <w:basedOn w:val="DefaultParagraphFont"/>
    <w:rsid w:val="008D6D60"/>
  </w:style>
  <w:style w:type="character" w:styleId="PlaceholderText">
    <w:name w:val="Placeholder Text"/>
    <w:basedOn w:val="DefaultParagraphFont"/>
    <w:uiPriority w:val="99"/>
    <w:semiHidden/>
    <w:rsid w:val="008D6D60"/>
    <w:rPr>
      <w:color w:val="666666"/>
    </w:rPr>
  </w:style>
  <w:style w:type="character" w:customStyle="1" w:styleId="mpunct">
    <w:name w:val="mpunct"/>
    <w:basedOn w:val="DefaultParagraphFont"/>
    <w:rsid w:val="006048C7"/>
  </w:style>
  <w:style w:type="paragraph" w:styleId="Bibliography">
    <w:name w:val="Bibliography"/>
    <w:basedOn w:val="Normal"/>
    <w:next w:val="Normal"/>
    <w:uiPriority w:val="37"/>
    <w:unhideWhenUsed/>
    <w:rsid w:val="00AE59D6"/>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752774">
      <w:bodyDiv w:val="1"/>
      <w:marLeft w:val="0"/>
      <w:marRight w:val="0"/>
      <w:marTop w:val="0"/>
      <w:marBottom w:val="0"/>
      <w:divBdr>
        <w:top w:val="none" w:sz="0" w:space="0" w:color="auto"/>
        <w:left w:val="none" w:sz="0" w:space="0" w:color="auto"/>
        <w:bottom w:val="none" w:sz="0" w:space="0" w:color="auto"/>
        <w:right w:val="none" w:sz="0" w:space="0" w:color="auto"/>
      </w:divBdr>
    </w:div>
    <w:div w:id="390079589">
      <w:bodyDiv w:val="1"/>
      <w:marLeft w:val="0"/>
      <w:marRight w:val="0"/>
      <w:marTop w:val="0"/>
      <w:marBottom w:val="0"/>
      <w:divBdr>
        <w:top w:val="none" w:sz="0" w:space="0" w:color="auto"/>
        <w:left w:val="none" w:sz="0" w:space="0" w:color="auto"/>
        <w:bottom w:val="none" w:sz="0" w:space="0" w:color="auto"/>
        <w:right w:val="none" w:sz="0" w:space="0" w:color="auto"/>
      </w:divBdr>
    </w:div>
    <w:div w:id="726228290">
      <w:bodyDiv w:val="1"/>
      <w:marLeft w:val="0"/>
      <w:marRight w:val="0"/>
      <w:marTop w:val="0"/>
      <w:marBottom w:val="0"/>
      <w:divBdr>
        <w:top w:val="none" w:sz="0" w:space="0" w:color="auto"/>
        <w:left w:val="none" w:sz="0" w:space="0" w:color="auto"/>
        <w:bottom w:val="none" w:sz="0" w:space="0" w:color="auto"/>
        <w:right w:val="none" w:sz="0" w:space="0" w:color="auto"/>
      </w:divBdr>
    </w:div>
    <w:div w:id="800417136">
      <w:bodyDiv w:val="1"/>
      <w:marLeft w:val="0"/>
      <w:marRight w:val="0"/>
      <w:marTop w:val="0"/>
      <w:marBottom w:val="0"/>
      <w:divBdr>
        <w:top w:val="none" w:sz="0" w:space="0" w:color="auto"/>
        <w:left w:val="none" w:sz="0" w:space="0" w:color="auto"/>
        <w:bottom w:val="none" w:sz="0" w:space="0" w:color="auto"/>
        <w:right w:val="none" w:sz="0" w:space="0" w:color="auto"/>
      </w:divBdr>
    </w:div>
    <w:div w:id="1758549921">
      <w:bodyDiv w:val="1"/>
      <w:marLeft w:val="0"/>
      <w:marRight w:val="0"/>
      <w:marTop w:val="0"/>
      <w:marBottom w:val="0"/>
      <w:divBdr>
        <w:top w:val="none" w:sz="0" w:space="0" w:color="auto"/>
        <w:left w:val="none" w:sz="0" w:space="0" w:color="auto"/>
        <w:bottom w:val="none" w:sz="0" w:space="0" w:color="auto"/>
        <w:right w:val="none" w:sz="0" w:space="0" w:color="auto"/>
      </w:divBdr>
    </w:div>
    <w:div w:id="187022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4</Pages>
  <Words>1823</Words>
  <Characters>10392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William Nehrer</dc:creator>
  <cp:keywords/>
  <dc:description/>
  <cp:lastModifiedBy>Samuel William Nehrer</cp:lastModifiedBy>
  <cp:revision>3</cp:revision>
  <dcterms:created xsi:type="dcterms:W3CDTF">2024-12-07T12:16:00Z</dcterms:created>
  <dcterms:modified xsi:type="dcterms:W3CDTF">2024-12-07T18:40:00Z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id="bsB5GoEh"/&gt;&lt;style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