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p>
    <w:p>
      <w:pPr>
        <w:spacing w:before="0" w:after="60"/>
        <w:jc w:val="center"/>
      </w:pPr>
      <w:r>
        <w:rPr>
          <w:rFonts w:ascii="Arial" w:cs="Arial" w:eastAsia="Arial" w:hAnsi="Arial"/>
          <w:b/>
          <w:bCs/>
          <w:color w:val="1A2F4E"/>
          <w:sz w:val="80"/>
          <w:szCs w:val="80"/>
        </w:rPr>
        <w:t xml:space="preserve">SuperviseAI</w:t>
      </w:r>
    </w:p>
    <w:p>
      <w:pPr>
        <w:spacing w:before="0" w:after="80"/>
        <w:jc w:val="center"/>
      </w:pPr>
      <w:r>
        <w:rPr>
          <w:rFonts w:ascii="Arial" w:cs="Arial" w:eastAsia="Arial" w:hAnsi="Arial"/>
          <w:i/>
          <w:iCs/>
          <w:color w:val="2471A3"/>
          <w:sz w:val="26"/>
          <w:szCs w:val="26"/>
        </w:rPr>
        <w:t xml:space="preserve">AI thesis coach, examiner &amp; supervision platform — in one app.</w:t>
      </w:r>
    </w:p>
    <w:p>
      <w:pPr>
        <w:spacing w:before="0" w:after="500"/>
        <w:jc w:val="center"/>
      </w:pPr>
      <w:r>
        <w:rPr>
          <w:rFonts w:ascii="Arial" w:cs="Arial" w:eastAsia="Arial" w:hAnsi="Arial"/>
          <w:color w:val="888888"/>
          <w:sz w:val="20"/>
          <w:szCs w:val="20"/>
        </w:rPr>
        <w:t xml:space="preserve">GDE MIT Hackathon 2026  ·  Education Track  ·  February 27–28, Budapest</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c>
          <w:tcPr>
            <w:tcW w:type="dxa" w:w="2000"/>
            <w:tcBorders>
              <w:top w:val="single" w:color="CCCCCC" w:sz="1"/>
              <w:left w:val="single" w:color="CCCCCC" w:sz="1"/>
              <w:bottom w:val="single" w:color="CCCCCC" w:sz="1"/>
              <w:right w:val="single" w:color="CCCCCC" w:sz="1"/>
            </w:tcBorders>
            <w:shd w:fill="1A2F4E" w:val="clear"/>
            <w:tcMar>
              <w:top w:type="dxa" w:w="120"/>
              <w:left w:type="dxa" w:w="180"/>
              <w:bottom w:type="dxa" w:w="120"/>
              <w:right w:type="dxa" w:w="180"/>
            </w:tcMar>
          </w:tcPr>
          <w:p>
            <w:pPr>
              <w:jc w:val="center"/>
            </w:pPr>
            <w:r>
              <w:rPr>
                <w:rFonts w:ascii="Arial" w:cs="Arial" w:eastAsia="Arial" w:hAnsi="Arial"/>
                <w:b/>
                <w:bCs/>
                <w:color w:val="FFFFFF"/>
                <w:sz w:val="18"/>
                <w:szCs w:val="18"/>
              </w:rPr>
              <w:t xml:space="preserve">Track</w:t>
            </w:r>
          </w:p>
          <w:p>
            <w:pPr>
              <w:jc w:val="center"/>
            </w:pPr>
            <w:r>
              <w:rPr>
                <w:rFonts w:ascii="Arial" w:cs="Arial" w:eastAsia="Arial" w:hAnsi="Arial"/>
                <w:color w:val="FFFFFF"/>
                <w:sz w:val="22"/>
                <w:szCs w:val="22"/>
              </w:rPr>
              <w:t xml:space="preserve">Education</w:t>
            </w:r>
          </w:p>
        </w:tc>
        <w:tc>
          <w:tcPr>
            <w:tcW w:type="dxa" w:w="2000"/>
            <w:tcBorders>
              <w:top w:val="single" w:color="CCCCCC" w:sz="1"/>
              <w:left w:val="single" w:color="CCCCCC" w:sz="1"/>
              <w:bottom w:val="single" w:color="CCCCCC" w:sz="1"/>
              <w:right w:val="single" w:color="CCCCCC" w:sz="1"/>
            </w:tcBorders>
            <w:shd w:fill="2471A3" w:val="clear"/>
            <w:tcMar>
              <w:top w:type="dxa" w:w="120"/>
              <w:left w:type="dxa" w:w="180"/>
              <w:bottom w:type="dxa" w:w="120"/>
              <w:right w:type="dxa" w:w="180"/>
            </w:tcMar>
          </w:tcPr>
          <w:p>
            <w:pPr>
              <w:jc w:val="center"/>
            </w:pPr>
            <w:r>
              <w:rPr>
                <w:rFonts w:ascii="Arial" w:cs="Arial" w:eastAsia="Arial" w:hAnsi="Arial"/>
                <w:b/>
                <w:bCs/>
                <w:color w:val="FFFFFF"/>
                <w:sz w:val="18"/>
                <w:szCs w:val="18"/>
              </w:rPr>
              <w:t xml:space="preserve">Stack</w:t>
            </w:r>
          </w:p>
          <w:p>
            <w:pPr>
              <w:jc w:val="center"/>
            </w:pPr>
            <w:r>
              <w:rPr>
                <w:rFonts w:ascii="Arial" w:cs="Arial" w:eastAsia="Arial" w:hAnsi="Arial"/>
                <w:color w:val="FFFFFF"/>
                <w:sz w:val="22"/>
                <w:szCs w:val="22"/>
              </w:rPr>
              <w:t xml:space="preserve">React Web + Node.js</w:t>
            </w:r>
          </w:p>
        </w:tc>
        <w:tc>
          <w:tcPr>
            <w:tcW w:type="dxa" w:w="2000"/>
            <w:tcBorders>
              <w:top w:val="single" w:color="CCCCCC" w:sz="1"/>
              <w:left w:val="single" w:color="CCCCCC" w:sz="1"/>
              <w:bottom w:val="single" w:color="CCCCCC" w:sz="1"/>
              <w:right w:val="single" w:color="CCCCCC" w:sz="1"/>
            </w:tcBorders>
            <w:shd w:fill="1A5276" w:val="clear"/>
            <w:tcMar>
              <w:top w:type="dxa" w:w="120"/>
              <w:left w:type="dxa" w:w="180"/>
              <w:bottom w:type="dxa" w:w="120"/>
              <w:right w:type="dxa" w:w="180"/>
            </w:tcMar>
          </w:tcPr>
          <w:p>
            <w:pPr>
              <w:jc w:val="center"/>
            </w:pPr>
            <w:r>
              <w:rPr>
                <w:rFonts w:ascii="Arial" w:cs="Arial" w:eastAsia="Arial" w:hAnsi="Arial"/>
                <w:b/>
                <w:bCs/>
                <w:color w:val="FFFFFF"/>
                <w:sz w:val="18"/>
                <w:szCs w:val="18"/>
              </w:rPr>
              <w:t xml:space="preserve">Target</w:t>
            </w:r>
          </w:p>
          <w:p>
            <w:pPr>
              <w:jc w:val="center"/>
            </w:pPr>
            <w:r>
              <w:rPr>
                <w:rFonts w:ascii="Arial" w:cs="Arial" w:eastAsia="Arial" w:hAnsi="Arial"/>
                <w:color w:val="FFFFFF"/>
                <w:sz w:val="22"/>
                <w:szCs w:val="22"/>
              </w:rPr>
              <w:t xml:space="preserve">€3,000 + Grand Prize</w:t>
            </w:r>
          </w:p>
        </w:tc>
      </w:tr>
    </w:tbl>
    <w:p>
      <w:pPr>
        <w:spacing w:before="400" w:after="0"/>
      </w:pPr>
    </w:p>
    <w:p>
      <w:pPr>
        <w:spacing w:before="0" w:after="0"/>
      </w:pPr>
      <w:r>
        <w:br/>
      </w:r>
    </w:p>
    <w:p>
      <w:pPr>
        <w:pStyle w:val="Heading1"/>
        <w:spacing w:before="360" w:after="120"/>
      </w:pPr>
      <w:r>
        <w:rPr>
          <w:rFonts w:ascii="Arial" w:cs="Arial" w:eastAsia="Arial" w:hAnsi="Arial"/>
          <w:b/>
          <w:bCs/>
          <w:color w:val="1A2F4E"/>
          <w:sz w:val="36"/>
          <w:szCs w:val="36"/>
        </w:rPr>
        <w:t xml:space="preserve">Overview</w:t>
      </w:r>
    </w:p>
    <w:p>
      <w:pPr>
        <w:spacing w:before="80" w:after="80" w:line="320"/>
      </w:pPr>
      <w:r>
        <w:rPr>
          <w:rFonts w:ascii="Arial" w:cs="Arial" w:eastAsia="Arial" w:hAnsi="Arial"/>
          <w:color w:val="222222"/>
          <w:sz w:val="22"/>
          <w:szCs w:val="22"/>
        </w:rPr>
        <w:t xml:space="preserve">SuperviseAI is a web-first platform that transforms the way universities manage thesis supervision — and goes one step further by acting as an always-available AI coach for every student. Today, supervising thesis students is a largely manual, fragmented process. Professors read full drafts repeatedly, track progress in spreadsheets, and chase students for updates via email. Students get infrequent feedback, little guidance on what to prioritise, and no way to prepare for their thesis defence.</w:t>
      </w:r>
    </w:p>
    <w:p>
      <w:pPr>
        <w:spacing w:before="120" w:after="0"/>
      </w:pPr>
    </w:p>
    <w:p>
      <w:pPr>
        <w:spacing w:before="80" w:after="80" w:line="320"/>
      </w:pPr>
      <w:r>
        <w:rPr>
          <w:rFonts w:ascii="Arial" w:cs="Arial" w:eastAsia="Arial" w:hAnsi="Arial"/>
          <w:color w:val="222222"/>
          <w:sz w:val="22"/>
          <w:szCs w:val="22"/>
        </w:rPr>
        <w:t xml:space="preserve">SuperviseAI fixes both sides of that relationship. Professors get a real-time supervision dashboard with AI-generated analysis on every student submission. Students get instant, structured feedback on their draft — and access to an AI coaching engine that actively challenges their arguments, questions their methodology, and simulates a real viva examination.</w:t>
      </w:r>
    </w:p>
    <w:p>
      <w:pPr>
        <w:spacing w:before="120" w:after="0"/>
      </w:pPr>
    </w:p>
    <w:p>
      <w:pPr>
        <w:spacing w:before="80" w:after="80" w:line="320"/>
      </w:pPr>
      <w:r>
        <w:rPr>
          <w:rFonts w:ascii="Arial" w:cs="Arial" w:eastAsia="Arial" w:hAnsi="Arial"/>
          <w:color w:val="222222"/>
          <w:sz w:val="22"/>
          <w:szCs w:val="22"/>
        </w:rPr>
        <w:t xml:space="preserve">The result is faster feedback loops, stronger thesis arguments, better-prepared students, and dramatically less administrative overhead for supervisors.</w:t>
      </w:r>
    </w:p>
    <w:p>
      <w:pPr>
        <w:pBdr>
          <w:bottom w:val="single" w:color="2471A3" w:sz="4" w:space="1"/>
        </w:pBdr>
        <w:spacing w:before="220" w:after="220"/>
      </w:pPr>
    </w:p>
    <w:p>
      <w:pPr>
        <w:pStyle w:val="Heading1"/>
        <w:spacing w:before="360" w:after="120"/>
      </w:pPr>
      <w:r>
        <w:rPr>
          <w:rFonts w:ascii="Arial" w:cs="Arial" w:eastAsia="Arial" w:hAnsi="Arial"/>
          <w:b/>
          <w:bCs/>
          <w:color w:val="1A2F4E"/>
          <w:sz w:val="36"/>
          <w:szCs w:val="36"/>
        </w:rPr>
        <w:t xml:space="preserve">The Problem</w:t>
      </w:r>
    </w:p>
    <w:p>
      <w:pPr>
        <w:spacing w:before="80" w:after="80" w:line="320"/>
      </w:pPr>
      <w:r>
        <w:rPr>
          <w:rFonts w:ascii="Arial" w:cs="Arial" w:eastAsia="Arial" w:hAnsi="Arial"/>
          <w:color w:val="222222"/>
          <w:sz w:val="22"/>
          <w:szCs w:val="22"/>
        </w:rPr>
        <w:t xml:space="preserve">University thesis supervision is broken in predictable ways. A professor supervising 15 students simultaneously faces a near-impossible workload during submission periods. Reading and comparing drafts, checking references, spotting plagiarism, tracking milestones, and writing feedback — all of this happens manually, often across email threads and local folders.</w:t>
      </w:r>
    </w:p>
    <w:p>
      <w:pPr>
        <w:spacing w:before="120" w:after="0"/>
      </w:pPr>
    </w:p>
    <w:p>
      <w:pPr>
        <w:spacing w:before="80" w:after="80" w:line="320"/>
      </w:pPr>
      <w:r>
        <w:rPr>
          <w:rFonts w:ascii="Arial" w:cs="Arial" w:eastAsia="Arial" w:hAnsi="Arial"/>
          <w:color w:val="222222"/>
          <w:sz w:val="22"/>
          <w:szCs w:val="22"/>
        </w:rPr>
        <w:t xml:space="preserve">Students suffer just as much. They wait weeks for feedback, receive comments that are hard to act on, and have no clear picture of whether they are on track. Worse — they arrive at their thesis defence with no real preparation. No one has challenged their arguments, questioned their methodology, or simulated the pressure of a real viva. The first time a student has to defend their work under pressure is the actual examination.</w:t>
      </w:r>
    </w:p>
    <w:p>
      <w:pPr>
        <w:spacing w:before="120" w:after="0"/>
      </w:pPr>
    </w:p>
    <w:p>
      <w:pPr>
        <w:spacing w:before="80" w:after="80" w:line="320"/>
      </w:pPr>
      <w:r>
        <w:rPr>
          <w:rFonts w:ascii="Arial" w:cs="Arial" w:eastAsia="Arial" w:hAnsi="Arial"/>
          <w:color w:val="222222"/>
          <w:sz w:val="22"/>
          <w:szCs w:val="22"/>
        </w:rPr>
        <w:t xml:space="preserve">SuperviseAI solves both problems in one platform — replacing the fragmented supervision process with an intelligent dashboard, and giving every student a personal AI coach that prepares them like a real examiner would.</w:t>
      </w:r>
    </w:p>
    <w:p>
      <w:pPr>
        <w:pBdr>
          <w:bottom w:val="single" w:color="2471A3" w:sz="4" w:space="1"/>
        </w:pBdr>
        <w:spacing w:before="220" w:after="220"/>
      </w:pPr>
    </w:p>
    <w:p>
      <w:pPr>
        <w:pStyle w:val="Heading1"/>
        <w:spacing w:before="360" w:after="120"/>
      </w:pPr>
      <w:r>
        <w:rPr>
          <w:rFonts w:ascii="Arial" w:cs="Arial" w:eastAsia="Arial" w:hAnsi="Arial"/>
          <w:b/>
          <w:bCs/>
          <w:color w:val="1A2F4E"/>
          <w:sz w:val="36"/>
          <w:szCs w:val="36"/>
        </w:rPr>
        <w:t xml:space="preserve">Features</w:t>
      </w:r>
    </w:p>
    <w:p>
      <w:pPr>
        <w:spacing w:before="80" w:after="0"/>
      </w:pPr>
    </w:p>
    <w:p>
      <w:pPr>
        <w:pStyle w:val="Heading2"/>
        <w:spacing w:before="260" w:after="100"/>
      </w:pPr>
      <w:r>
        <w:rPr>
          <w:rFonts w:ascii="Arial" w:cs="Arial" w:eastAsia="Arial" w:hAnsi="Arial"/>
          <w:b/>
          <w:bCs/>
          <w:color w:val="2471A3"/>
          <w:sz w:val="26"/>
          <w:szCs w:val="26"/>
        </w:rPr>
        <w:t xml:space="preserve">1. ThesisTrack — AI Draft Analysis</w:t>
      </w:r>
    </w:p>
    <w:p>
      <w:pPr>
        <w:spacing w:before="80" w:after="80" w:line="320"/>
      </w:pPr>
      <w:r>
        <w:rPr>
          <w:rFonts w:ascii="Arial" w:cs="Arial" w:eastAsia="Arial" w:hAnsi="Arial"/>
          <w:color w:val="222222"/>
          <w:sz w:val="22"/>
          <w:szCs w:val="22"/>
        </w:rPr>
        <w:t xml:space="preserve">The core of SuperviseAI. Every time a student submits a draft, the platform automatically runs a full AI analysis and presents it to the professor as a clean, digestible summary. No more reading 80-page documents to understand what changed.</w:t>
      </w:r>
    </w:p>
    <w:p>
      <w:pPr>
        <w:spacing w:before="120" w:after="0"/>
      </w:pPr>
    </w:p>
    <w:p>
      <w:pPr>
        <w:pStyle w:val="ListParagraph"/>
        <w:numPr>
          <w:ilvl w:val="0"/>
          <w:numId w:val="2"/>
        </w:numPr>
        <w:spacing w:before="60" w:after="60"/>
      </w:pPr>
      <w:r>
        <w:rPr>
          <w:rFonts w:ascii="Arial" w:cs="Arial" w:eastAsia="Arial" w:hAnsi="Arial"/>
          <w:color w:val="222222"/>
          <w:sz w:val="22"/>
          <w:szCs w:val="22"/>
        </w:rPr>
        <w:t xml:space="preserve">Visual diff showing exactly what was added, removed, or restructured since the previous version</w:t>
      </w:r>
    </w:p>
    <w:p>
      <w:pPr>
        <w:pStyle w:val="ListParagraph"/>
        <w:numPr>
          <w:ilvl w:val="0"/>
          <w:numId w:val="2"/>
        </w:numPr>
        <w:spacing w:before="60" w:after="60"/>
      </w:pPr>
      <w:r>
        <w:rPr>
          <w:rFonts w:ascii="Arial" w:cs="Arial" w:eastAsia="Arial" w:hAnsi="Arial"/>
          <w:color w:val="222222"/>
          <w:sz w:val="22"/>
          <w:szCs w:val="22"/>
        </w:rPr>
        <w:t xml:space="preserve">Direction analysis checking whether the thesis remains aligned with the original proposal and topic</w:t>
      </w:r>
    </w:p>
    <w:p>
      <w:pPr>
        <w:pStyle w:val="ListParagraph"/>
        <w:numPr>
          <w:ilvl w:val="0"/>
          <w:numId w:val="2"/>
        </w:numPr>
        <w:spacing w:before="60" w:after="60"/>
      </w:pPr>
      <w:r>
        <w:rPr>
          <w:rFonts w:ascii="Arial" w:cs="Arial" w:eastAsia="Arial" w:hAnsi="Arial"/>
          <w:color w:val="222222"/>
          <w:sz w:val="22"/>
          <w:szCs w:val="22"/>
        </w:rPr>
        <w:t xml:space="preserve">Structure gap detection flagging missing or underdeveloped sections based on standard academic thesis format</w:t>
      </w:r>
    </w:p>
    <w:p>
      <w:pPr>
        <w:pStyle w:val="ListParagraph"/>
        <w:numPr>
          <w:ilvl w:val="0"/>
          <w:numId w:val="2"/>
        </w:numPr>
        <w:spacing w:before="60" w:after="60"/>
      </w:pPr>
      <w:r>
        <w:rPr>
          <w:rFonts w:ascii="Arial" w:cs="Arial" w:eastAsia="Arial" w:hAnsi="Arial"/>
          <w:color w:val="222222"/>
          <w:sz w:val="22"/>
          <w:szCs w:val="22"/>
        </w:rPr>
        <w:t xml:space="preserve">AI-generated next step suggestions — prioritised, concrete, and specific to the current draft</w:t>
      </w:r>
    </w:p>
    <w:p>
      <w:pPr>
        <w:pStyle w:val="ListParagraph"/>
        <w:numPr>
          <w:ilvl w:val="0"/>
          <w:numId w:val="2"/>
        </w:numPr>
        <w:spacing w:before="60" w:after="60"/>
      </w:pPr>
      <w:r>
        <w:rPr>
          <w:rFonts w:ascii="Arial" w:cs="Arial" w:eastAsia="Arial" w:hAnsi="Arial"/>
          <w:color w:val="222222"/>
          <w:sz w:val="22"/>
          <w:szCs w:val="22"/>
        </w:rPr>
        <w:t xml:space="preserve">Progress score giving a simple numeric indicator of overall thesis completion</w:t>
      </w:r>
    </w:p>
    <w:p>
      <w:pPr>
        <w:spacing w:before="120" w:after="0"/>
      </w:pPr>
    </w:p>
    <w:p>
      <w:pPr>
        <w:spacing w:before="80" w:after="80" w:line="320"/>
      </w:pPr>
      <w:r>
        <w:rPr>
          <w:rFonts w:ascii="Arial" w:cs="Arial" w:eastAsia="Arial" w:hAnsi="Arial"/>
          <w:color w:val="222222"/>
          <w:sz w:val="22"/>
          <w:szCs w:val="22"/>
        </w:rPr>
        <w:t xml:space="preserve">The professor's dashboard lists all supervised students in one view. Each row shows the student name, last submission date, progress score, and a one-line AI status note. Drilling into a student's full analysis takes one click.</w:t>
      </w:r>
    </w:p>
    <w:p>
      <w:pPr>
        <w:spacing w:before="120" w:after="0"/>
      </w:pPr>
    </w:p>
    <w:p>
      <w:pPr>
        <w:pStyle w:val="Heading2"/>
        <w:spacing w:before="260" w:after="100"/>
      </w:pPr>
      <w:r>
        <w:rPr>
          <w:rFonts w:ascii="Arial" w:cs="Arial" w:eastAsia="Arial" w:hAnsi="Arial"/>
          <w:b/>
          <w:bCs/>
          <w:color w:val="2471A3"/>
          <w:sz w:val="26"/>
          <w:szCs w:val="26"/>
        </w:rPr>
        <w:t xml:space="preserve">2. PlagiarismCheck — Originality on Every Submission</w:t>
      </w:r>
    </w:p>
    <w:p>
      <w:pPr>
        <w:spacing w:before="0" w:after="100"/>
      </w:pPr>
      <w:r>
        <w:rPr>
          <w:rFonts w:ascii="Arial" w:cs="Arial" w:eastAsia="Arial" w:hAnsi="Arial"/>
          <w:b/>
          <w:bCs/>
          <w:caps/>
          <w:color w:val="2471A3"/>
          <w:sz w:val="18"/>
          <w:szCs w:val="18"/>
        </w:rPr>
        <w:t xml:space="preserve">[ Powered by Copyleaks API + Internal DB ]</w:t>
      </w:r>
    </w:p>
    <w:p>
      <w:pPr>
        <w:spacing w:before="80" w:after="80" w:line="320"/>
      </w:pPr>
      <w:r>
        <w:rPr>
          <w:rFonts w:ascii="Arial" w:cs="Arial" w:eastAsia="Arial" w:hAnsi="Arial"/>
          <w:color w:val="222222"/>
          <w:sz w:val="22"/>
          <w:szCs w:val="22"/>
        </w:rPr>
        <w:t xml:space="preserve">Plagiarism detection is not a separate step in SuperviseAI — it runs automatically on every draft submission alongside the ThesisTrack analysis. Professors see a full originality report on their dashboard without taking any additional action.</w:t>
      </w:r>
    </w:p>
    <w:p>
      <w:pPr>
        <w:spacing w:before="120" w:after="0"/>
      </w:pPr>
    </w:p>
    <w:p>
      <w:pPr>
        <w:spacing w:before="200" w:after="80"/>
      </w:pPr>
      <w:r>
        <w:rPr>
          <w:rFonts w:ascii="Arial" w:cs="Arial" w:eastAsia="Arial" w:hAnsi="Arial"/>
          <w:b/>
          <w:bCs/>
          <w:color w:val="1A2F4E"/>
          <w:sz w:val="22"/>
          <w:szCs w:val="22"/>
        </w:rPr>
        <w:t xml:space="preserve">Two-Layer Detection</w:t>
      </w:r>
    </w:p>
    <w:p>
      <w:pPr>
        <w:spacing w:before="80" w:after="80" w:line="320"/>
      </w:pPr>
      <w:r>
        <w:rPr>
          <w:rFonts w:ascii="Arial" w:cs="Arial" w:eastAsia="Arial" w:hAnsi="Arial"/>
          <w:color w:val="222222"/>
          <w:sz w:val="22"/>
          <w:szCs w:val="22"/>
        </w:rPr>
        <w:t xml:space="preserve">SuperviseAI checks against two sources simultaneously on every submission:</w:t>
      </w:r>
    </w:p>
    <w:p>
      <w:pPr>
        <w:spacing w:before="60" w:after="0"/>
      </w:pPr>
    </w:p>
    <w:p>
      <w:pPr>
        <w:pStyle w:val="ListParagraph"/>
        <w:numPr>
          <w:ilvl w:val="0"/>
          <w:numId w:val="2"/>
        </w:numPr>
        <w:spacing w:before="60" w:after="60"/>
      </w:pPr>
      <w:r>
        <w:rPr>
          <w:rFonts w:ascii="Arial" w:cs="Arial" w:eastAsia="Arial" w:hAnsi="Arial"/>
          <w:b/>
          <w:bCs/>
          <w:color w:val="1A2F4E"/>
          <w:sz w:val="22"/>
          <w:szCs w:val="22"/>
        </w:rPr>
        <w:t xml:space="preserve">Internet Check — </w:t>
      </w:r>
      <w:r>
        <w:rPr>
          <w:rFonts w:ascii="Arial" w:cs="Arial" w:eastAsia="Arial" w:hAnsi="Arial"/>
          <w:color w:val="222222"/>
          <w:sz w:val="22"/>
          <w:szCs w:val="22"/>
        </w:rPr>
        <w:t xml:space="preserve">Powered by the Copyleaks API, which scans over 60 trillion websites, 15,000+ academic journals, and password-protected sources. Any content matching published or online material is flagged with the source URL.</w:t>
      </w:r>
    </w:p>
    <w:p>
      <w:pPr>
        <w:pStyle w:val="ListParagraph"/>
        <w:numPr>
          <w:ilvl w:val="0"/>
          <w:numId w:val="2"/>
        </w:numPr>
        <w:spacing w:before="60" w:after="60"/>
      </w:pPr>
      <w:r>
        <w:rPr>
          <w:rFonts w:ascii="Arial" w:cs="Arial" w:eastAsia="Arial" w:hAnsi="Arial"/>
          <w:b/>
          <w:bCs/>
          <w:color w:val="1A2F4E"/>
          <w:sz w:val="22"/>
          <w:szCs w:val="22"/>
        </w:rPr>
        <w:t xml:space="preserve">Internal DB Check — </w:t>
      </w:r>
      <w:r>
        <w:rPr>
          <w:rFonts w:ascii="Arial" w:cs="Arial" w:eastAsia="Arial" w:hAnsi="Arial"/>
          <w:color w:val="222222"/>
          <w:sz w:val="22"/>
          <w:szCs w:val="22"/>
        </w:rPr>
        <w:t xml:space="preserve">Copyleaks also checks against all previous submissions stored in SuperviseAI's private repository — catching cases where students copy from each other or reuse their own prior work without disclosure.</w:t>
      </w:r>
    </w:p>
    <w:p>
      <w:pPr>
        <w:spacing w:before="120" w:after="0"/>
      </w:pPr>
    </w:p>
    <w:p>
      <w:pPr>
        <w:spacing w:before="200" w:after="80"/>
      </w:pPr>
      <w:r>
        <w:rPr>
          <w:rFonts w:ascii="Arial" w:cs="Arial" w:eastAsia="Arial" w:hAnsi="Arial"/>
          <w:b/>
          <w:bCs/>
          <w:color w:val="1A2F4E"/>
          <w:sz w:val="22"/>
          <w:szCs w:val="22"/>
        </w:rPr>
        <w:t xml:space="preserve">What the Report Shows</w:t>
      </w:r>
    </w:p>
    <w:p>
      <w:pPr>
        <w:pStyle w:val="ListParagraph"/>
        <w:numPr>
          <w:ilvl w:val="0"/>
          <w:numId w:val="2"/>
        </w:numPr>
        <w:spacing w:before="60" w:after="60"/>
      </w:pPr>
      <w:r>
        <w:rPr>
          <w:rFonts w:ascii="Arial" w:cs="Arial" w:eastAsia="Arial" w:hAnsi="Arial"/>
          <w:color w:val="222222"/>
          <w:sz w:val="22"/>
          <w:szCs w:val="22"/>
        </w:rPr>
        <w:t xml:space="preserve">Overall originality score as a percentage (e.g. 84% original)</w:t>
      </w:r>
    </w:p>
    <w:p>
      <w:pPr>
        <w:pStyle w:val="ListParagraph"/>
        <w:numPr>
          <w:ilvl w:val="0"/>
          <w:numId w:val="2"/>
        </w:numPr>
        <w:spacing w:before="60" w:after="60"/>
      </w:pPr>
      <w:r>
        <w:rPr>
          <w:rFonts w:ascii="Arial" w:cs="Arial" w:eastAsia="Arial" w:hAnsi="Arial"/>
          <w:color w:val="222222"/>
          <w:sz w:val="22"/>
          <w:szCs w:val="22"/>
        </w:rPr>
        <w:t xml:space="preserve">Flagged passages highlighted with the matched source and similarity percentage</w:t>
      </w:r>
    </w:p>
    <w:p>
      <w:pPr>
        <w:pStyle w:val="ListParagraph"/>
        <w:numPr>
          <w:ilvl w:val="0"/>
          <w:numId w:val="2"/>
        </w:numPr>
        <w:spacing w:before="60" w:after="60"/>
      </w:pPr>
      <w:r>
        <w:rPr>
          <w:rFonts w:ascii="Arial" w:cs="Arial" w:eastAsia="Arial" w:hAnsi="Arial"/>
          <w:color w:val="222222"/>
          <w:sz w:val="22"/>
          <w:szCs w:val="22"/>
        </w:rPr>
        <w:t xml:space="preserve">Trend alert — if a student's originality score drops between versions, the professor is notified</w:t>
      </w:r>
    </w:p>
    <w:p>
      <w:pPr>
        <w:pStyle w:val="ListParagraph"/>
        <w:numPr>
          <w:ilvl w:val="0"/>
          <w:numId w:val="2"/>
        </w:numPr>
        <w:spacing w:before="60" w:after="60"/>
      </w:pPr>
      <w:r>
        <w:rPr>
          <w:rFonts w:ascii="Arial" w:cs="Arial" w:eastAsia="Arial" w:hAnsi="Arial"/>
          <w:color w:val="222222"/>
          <w:sz w:val="22"/>
          <w:szCs w:val="22"/>
        </w:rPr>
        <w:t xml:space="preserve">Students see their own originality score before submitting, so they can self-correct early</w:t>
      </w:r>
    </w:p>
    <w:p>
      <w:pPr>
        <w:spacing w:before="120" w:after="0"/>
      </w:pPr>
    </w:p>
    <w:p>
      <w:pPr>
        <w:spacing w:before="200" w:after="80"/>
      </w:pPr>
      <w:r>
        <w:rPr>
          <w:rFonts w:ascii="Arial" w:cs="Arial" w:eastAsia="Arial" w:hAnsi="Arial"/>
          <w:b/>
          <w:bCs/>
          <w:color w:val="1A2F4E"/>
          <w:sz w:val="22"/>
          <w:szCs w:val="22"/>
        </w:rPr>
        <w:t xml:space="preserve">Why Copyleaks</w:t>
      </w:r>
    </w:p>
    <w:p>
      <w:pPr>
        <w:spacing w:before="80" w:after="80" w:line="320"/>
      </w:pPr>
      <w:r>
        <w:rPr>
          <w:rFonts w:ascii="Arial" w:cs="Arial" w:eastAsia="Arial" w:hAnsi="Arial"/>
          <w:color w:val="222222"/>
          <w:sz w:val="22"/>
          <w:szCs w:val="22"/>
        </w:rPr>
        <w:t xml:space="preserve">Copyleaks has an official Node.js SDK, making integration straightforward within the hackathon window. It handles both the internet scan and the internal repository check in a single API call, eliminating the need to build or maintain any custom plagiarism infrastructure.</w:t>
      </w:r>
    </w:p>
    <w:p>
      <w:pPr>
        <w:spacing w:before="120" w:after="0"/>
      </w:pPr>
    </w:p>
    <w:p>
      <w:pPr>
        <w:pStyle w:val="Heading2"/>
        <w:spacing w:before="260" w:after="100"/>
      </w:pPr>
      <w:r>
        <w:rPr>
          <w:rFonts w:ascii="Arial" w:cs="Arial" w:eastAsia="Arial" w:hAnsi="Arial"/>
          <w:b/>
          <w:bCs/>
          <w:color w:val="2471A3"/>
          <w:sz w:val="26"/>
          <w:szCs w:val="26"/>
        </w:rPr>
        <w:t xml:space="preserve">3. Citation &amp; Reference Validator</w:t>
      </w:r>
    </w:p>
    <w:p>
      <w:pPr>
        <w:spacing w:before="0" w:after="100"/>
      </w:pPr>
      <w:r>
        <w:rPr>
          <w:rFonts w:ascii="Arial" w:cs="Arial" w:eastAsia="Arial" w:hAnsi="Arial"/>
          <w:b/>
          <w:bCs/>
          <w:caps/>
          <w:color w:val="2471A3"/>
          <w:sz w:val="18"/>
          <w:szCs w:val="18"/>
        </w:rPr>
        <w:t xml:space="preserve">[ 3 Layers · No New Paid APIs ]</w:t>
      </w:r>
    </w:p>
    <w:p>
      <w:pPr>
        <w:spacing w:before="80" w:after="80" w:line="320"/>
      </w:pPr>
      <w:r>
        <w:rPr>
          <w:rFonts w:ascii="Arial" w:cs="Arial" w:eastAsia="Arial" w:hAnsi="Arial"/>
          <w:color w:val="222222"/>
          <w:sz w:val="22"/>
          <w:szCs w:val="22"/>
        </w:rPr>
        <w:t xml:space="preserve">Since the thesis draft is already being parsed for ThesisTrack and PlagiarismCheck, SuperviseAI runs a citation and reference validation pass on the same text at no extra cost to the workflow. The validator operates in three distinct layers:</w:t>
      </w:r>
    </w:p>
    <w:p>
      <w:pPr>
        <w:spacing w:before="120" w:after="0"/>
      </w:pPr>
    </w:p>
    <w:p>
      <w:pPr>
        <w:spacing w:before="200" w:after="80"/>
      </w:pPr>
      <w:r>
        <w:rPr>
          <w:rFonts w:ascii="Arial" w:cs="Arial" w:eastAsia="Arial" w:hAnsi="Arial"/>
          <w:b/>
          <w:bCs/>
          <w:color w:val="1A2F4E"/>
          <w:sz w:val="22"/>
          <w:szCs w:val="22"/>
        </w:rPr>
        <w:t xml:space="preserve">Layer 1 — Cross-Reference Check  (Node.js, no external API)</w:t>
      </w:r>
    </w:p>
    <w:p>
      <w:pPr>
        <w:spacing w:before="80" w:after="80" w:line="320"/>
      </w:pPr>
      <w:r>
        <w:rPr>
          <w:rFonts w:ascii="Arial" w:cs="Arial" w:eastAsia="Arial" w:hAnsi="Arial"/>
          <w:color w:val="222222"/>
          <w:sz w:val="22"/>
          <w:szCs w:val="22"/>
        </w:rPr>
        <w:t xml:space="preserve">Pure backend logic applied to the already-parsed thesis text. The system extracts all in-text citations using regex patterns that handle the most common academic formats:</w:t>
      </w:r>
    </w:p>
    <w:p>
      <w:pPr>
        <w:spacing w:before="60" w:after="0"/>
      </w:pPr>
    </w:p>
    <w:p>
      <w:pPr>
        <w:pStyle w:val="ListParagraph"/>
        <w:numPr>
          <w:ilvl w:val="0"/>
          <w:numId w:val="2"/>
        </w:numPr>
        <w:spacing w:before="60" w:after="60"/>
      </w:pPr>
      <w:r>
        <w:rPr>
          <w:rFonts w:ascii="Arial" w:cs="Arial" w:eastAsia="Arial" w:hAnsi="Arial"/>
          <w:color w:val="222222"/>
          <w:sz w:val="22"/>
          <w:szCs w:val="22"/>
        </w:rPr>
        <w:t xml:space="preserve">Author-date format: (Smith, 2020) or Smith (2020)</w:t>
      </w:r>
    </w:p>
    <w:p>
      <w:pPr>
        <w:pStyle w:val="ListParagraph"/>
        <w:numPr>
          <w:ilvl w:val="0"/>
          <w:numId w:val="2"/>
        </w:numPr>
        <w:spacing w:before="60" w:after="60"/>
      </w:pPr>
      <w:r>
        <w:rPr>
          <w:rFonts w:ascii="Arial" w:cs="Arial" w:eastAsia="Arial" w:hAnsi="Arial"/>
          <w:color w:val="222222"/>
          <w:sz w:val="22"/>
          <w:szCs w:val="22"/>
        </w:rPr>
        <w:t xml:space="preserve">Numbered format: [1], [2], [1-3]</w:t>
      </w:r>
    </w:p>
    <w:p>
      <w:pPr>
        <w:pStyle w:val="ListParagraph"/>
        <w:numPr>
          <w:ilvl w:val="0"/>
          <w:numId w:val="2"/>
        </w:numPr>
        <w:spacing w:before="60" w:after="60"/>
      </w:pPr>
      <w:r>
        <w:rPr>
          <w:rFonts w:ascii="Arial" w:cs="Arial" w:eastAsia="Arial" w:hAnsi="Arial"/>
          <w:color w:val="222222"/>
          <w:sz w:val="22"/>
          <w:szCs w:val="22"/>
        </w:rPr>
        <w:t xml:space="preserve">Short-key format: [Smith20]</w:t>
      </w:r>
    </w:p>
    <w:p>
      <w:pPr>
        <w:spacing w:before="60" w:after="0"/>
      </w:pPr>
    </w:p>
    <w:p>
      <w:pPr>
        <w:spacing w:before="80" w:after="80" w:line="320"/>
      </w:pPr>
      <w:r>
        <w:rPr>
          <w:rFonts w:ascii="Arial" w:cs="Arial" w:eastAsia="Arial" w:hAnsi="Arial"/>
          <w:color w:val="222222"/>
          <w:sz w:val="22"/>
          <w:szCs w:val="22"/>
        </w:rPr>
        <w:t xml:space="preserve">It then extracts all entries from the bibliography section and cross-references both lists. The result flags two classes of error: citations in the text with no matching bibliography entry, and bibliography entries that are never cited anywhere in the text.</w:t>
      </w:r>
    </w:p>
    <w:p>
      <w:pPr>
        <w:spacing w:before="120" w:after="0"/>
      </w:pPr>
    </w:p>
    <w:p>
      <w:pPr>
        <w:spacing w:before="200" w:after="80"/>
      </w:pPr>
      <w:r>
        <w:rPr>
          <w:rFonts w:ascii="Arial" w:cs="Arial" w:eastAsia="Arial" w:hAnsi="Arial"/>
          <w:b/>
          <w:bCs/>
          <w:color w:val="1A2F4E"/>
          <w:sz w:val="22"/>
          <w:szCs w:val="22"/>
        </w:rPr>
        <w:t xml:space="preserve">Layer 2 — Format Validation  (GPT-4o, already in stack)</w:t>
      </w:r>
    </w:p>
    <w:p>
      <w:pPr>
        <w:spacing w:before="80" w:after="80" w:line="320"/>
      </w:pPr>
      <w:r>
        <w:rPr>
          <w:rFonts w:ascii="Arial" w:cs="Arial" w:eastAsia="Arial" w:hAnsi="Arial"/>
          <w:color w:val="222222"/>
          <w:sz w:val="22"/>
          <w:szCs w:val="22"/>
        </w:rPr>
        <w:t xml:space="preserve">SuperviseAI reuses the GPT-4o API already powering ThesisTrack — no additional cost or integration. The flow is:</w:t>
      </w:r>
    </w:p>
    <w:p>
      <w:pPr>
        <w:spacing w:before="60" w:after="0"/>
      </w:pPr>
    </w:p>
    <w:p>
      <w:pPr>
        <w:pStyle w:val="ListParagraph"/>
        <w:numPr>
          <w:ilvl w:val="0"/>
          <w:numId w:val="2"/>
        </w:numPr>
        <w:spacing w:before="60" w:after="60"/>
      </w:pPr>
      <w:r>
        <w:rPr>
          <w:rFonts w:ascii="Arial" w:cs="Arial" w:eastAsia="Arial" w:hAnsi="Arial"/>
          <w:color w:val="222222"/>
          <w:sz w:val="22"/>
          <w:szCs w:val="22"/>
        </w:rPr>
        <w:t xml:space="preserve">Auto-detect citation style from the bibliography (APA, MLA, IEEE, Harvard)</w:t>
      </w:r>
    </w:p>
    <w:p>
      <w:pPr>
        <w:pStyle w:val="ListParagraph"/>
        <w:numPr>
          <w:ilvl w:val="0"/>
          <w:numId w:val="2"/>
        </w:numPr>
        <w:spacing w:before="60" w:after="60"/>
      </w:pPr>
      <w:r>
        <w:rPr>
          <w:rFonts w:ascii="Arial" w:cs="Arial" w:eastAsia="Arial" w:hAnsi="Arial"/>
          <w:color w:val="222222"/>
          <w:sz w:val="22"/>
          <w:szCs w:val="22"/>
        </w:rPr>
        <w:t xml:space="preserve">Pass bibliography entries to GPT-4o with a prompt to validate formatting rules for the detected style</w:t>
      </w:r>
    </w:p>
    <w:p>
      <w:pPr>
        <w:pStyle w:val="ListParagraph"/>
        <w:numPr>
          <w:ilvl w:val="0"/>
          <w:numId w:val="2"/>
        </w:numPr>
        <w:spacing w:before="60" w:after="60"/>
      </w:pPr>
      <w:r>
        <w:rPr>
          <w:rFonts w:ascii="Arial" w:cs="Arial" w:eastAsia="Arial" w:hAnsi="Arial"/>
          <w:color w:val="222222"/>
          <w:sz w:val="22"/>
          <w:szCs w:val="22"/>
        </w:rPr>
        <w:t xml:space="preserve">Return each flagged entry with a one-line explanation of the error and a corrected suggestion</w:t>
      </w:r>
    </w:p>
    <w:p>
      <w:pPr>
        <w:spacing w:before="60" w:after="0"/>
      </w:pPr>
    </w:p>
    <w:p>
      <w:pPr>
        <w:spacing w:before="80" w:after="80" w:line="320"/>
      </w:pPr>
      <w:r>
        <w:rPr>
          <w:rFonts w:ascii="Arial" w:cs="Arial" w:eastAsia="Arial" w:hAnsi="Arial"/>
          <w:color w:val="222222"/>
          <w:sz w:val="22"/>
          <w:szCs w:val="22"/>
        </w:rPr>
        <w:t xml:space="preserve">This handles the nuanced formatting rules — missing DOIs, wrong date formats, incorrect author name ordering, capitalisation errors — that regex alone cannot reliably catch.</w:t>
      </w:r>
    </w:p>
    <w:p>
      <w:pPr>
        <w:spacing w:before="120" w:after="0"/>
      </w:pPr>
    </w:p>
    <w:p>
      <w:pPr>
        <w:spacing w:before="200" w:after="80"/>
      </w:pPr>
      <w:r>
        <w:rPr>
          <w:rFonts w:ascii="Arial" w:cs="Arial" w:eastAsia="Arial" w:hAnsi="Arial"/>
          <w:b/>
          <w:bCs/>
          <w:color w:val="1A2F4E"/>
          <w:sz w:val="22"/>
          <w:szCs w:val="22"/>
        </w:rPr>
        <w:t xml:space="preserve">Layer 3 — Source Existence Check  (Semantic Scholar API, free)</w:t>
      </w:r>
    </w:p>
    <w:p>
      <w:pPr>
        <w:spacing w:before="80" w:after="80" w:line="320"/>
      </w:pPr>
      <w:r>
        <w:rPr>
          <w:rFonts w:ascii="Arial" w:cs="Arial" w:eastAsia="Arial" w:hAnsi="Arial"/>
          <w:color w:val="222222"/>
          <w:sz w:val="22"/>
          <w:szCs w:val="22"/>
        </w:rPr>
        <w:t xml:space="preserve">This is the most powerful layer, particularly given the rise of AI-generated fake references. The Semantic Scholar API covers nearly 200 million academic papers across all disciplines and requires no API key for standard usage.</w:t>
      </w:r>
    </w:p>
    <w:p>
      <w:pPr>
        <w:spacing w:before="60" w:after="0"/>
      </w:pPr>
    </w:p>
    <w:p>
      <w:pPr>
        <w:pStyle w:val="ListParagraph"/>
        <w:numPr>
          <w:ilvl w:val="0"/>
          <w:numId w:val="2"/>
        </w:numPr>
        <w:spacing w:before="60" w:after="60"/>
      </w:pPr>
      <w:r>
        <w:rPr>
          <w:rFonts w:ascii="Arial" w:cs="Arial" w:eastAsia="Arial" w:hAnsi="Arial"/>
          <w:color w:val="222222"/>
          <w:sz w:val="22"/>
          <w:szCs w:val="22"/>
        </w:rPr>
        <w:t xml:space="preserve">Extract the title or DOI from each bibliography entry</w:t>
      </w:r>
    </w:p>
    <w:p>
      <w:pPr>
        <w:pStyle w:val="ListParagraph"/>
        <w:numPr>
          <w:ilvl w:val="0"/>
          <w:numId w:val="2"/>
        </w:numPr>
        <w:spacing w:before="60" w:after="60"/>
      </w:pPr>
      <w:r>
        <w:rPr>
          <w:rFonts w:ascii="Arial" w:cs="Arial" w:eastAsia="Arial" w:hAnsi="Arial"/>
          <w:color w:val="222222"/>
          <w:sz w:val="22"/>
          <w:szCs w:val="22"/>
        </w:rPr>
        <w:t xml:space="preserve">Query the Semantic Scholar API to verify the paper exists in its database</w:t>
      </w:r>
    </w:p>
    <w:p>
      <w:pPr>
        <w:pStyle w:val="ListParagraph"/>
        <w:numPr>
          <w:ilvl w:val="0"/>
          <w:numId w:val="2"/>
        </w:numPr>
        <w:spacing w:before="60" w:after="60"/>
      </w:pPr>
      <w:r>
        <w:rPr>
          <w:rFonts w:ascii="Arial" w:cs="Arial" w:eastAsia="Arial" w:hAnsi="Arial"/>
          <w:color w:val="222222"/>
          <w:sz w:val="22"/>
          <w:szCs w:val="22"/>
        </w:rPr>
        <w:t xml:space="preserve">Flag any entry that returns no match as 'Unverifiable — source not found in academic databases'</w:t>
      </w:r>
    </w:p>
    <w:p>
      <w:pPr>
        <w:pStyle w:val="ListParagraph"/>
        <w:numPr>
          <w:ilvl w:val="0"/>
          <w:numId w:val="2"/>
        </w:numPr>
        <w:spacing w:before="60" w:after="60"/>
      </w:pPr>
      <w:r>
        <w:rPr>
          <w:rFonts w:ascii="Arial" w:cs="Arial" w:eastAsia="Arial" w:hAnsi="Arial"/>
          <w:color w:val="222222"/>
          <w:sz w:val="22"/>
          <w:szCs w:val="22"/>
        </w:rPr>
        <w:t xml:space="preserve">For matched sources, optionally surface the correct metadata so the student can fix formatting errors</w:t>
      </w:r>
    </w:p>
    <w:p>
      <w:pPr>
        <w:spacing w:before="60" w:after="0"/>
      </w:pPr>
    </w:p>
    <w:p>
      <w:pPr>
        <w:spacing w:before="80" w:after="80" w:line="320"/>
      </w:pPr>
      <w:r>
        <w:rPr>
          <w:rFonts w:ascii="Arial" w:cs="Arial" w:eastAsia="Arial" w:hAnsi="Arial"/>
          <w:color w:val="222222"/>
          <w:sz w:val="22"/>
          <w:szCs w:val="22"/>
        </w:rPr>
        <w:t xml:space="preserve">This directly catches AI-hallucinated references — a growing academic integrity problem that standard plagiarism checkers do not address at all.</w:t>
      </w:r>
    </w:p>
    <w:p>
      <w:pPr>
        <w:spacing w:before="120" w:after="0"/>
      </w:pPr>
    </w:p>
    <w:p>
      <w:pPr>
        <w:spacing w:before="200" w:after="80"/>
      </w:pPr>
      <w:r>
        <w:rPr>
          <w:rFonts w:ascii="Arial" w:cs="Arial" w:eastAsia="Arial" w:hAnsi="Arial"/>
          <w:b/>
          <w:bCs/>
          <w:color w:val="1A2F4E"/>
          <w:sz w:val="22"/>
          <w:szCs w:val="22"/>
        </w:rPr>
        <w:t xml:space="preserve">Full Citation Validator Pipeline</w:t>
      </w:r>
    </w:p>
    <w:p>
      <w:pPr>
        <w:spacing w:before="6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6226"/>
      </w:tblGrid>
      <w:tr>
        <w:tc>
          <w:tcPr>
            <w:tcW w:type="dxa" w:w="400"/>
            <w:tcBorders>
              <w:top w:val="single" w:color="CCCCCC" w:sz="1"/>
              <w:left w:val="single" w:color="CCCCCC" w:sz="1"/>
              <w:bottom w:val="single" w:color="CCCCCC" w:sz="1"/>
              <w:right w:val="single" w:color="CCCCCC" w:sz="1"/>
            </w:tcBorders>
            <w:shd w:fill="1A2F4E"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1A2F4E"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6226"/>
            <w:tcBorders>
              <w:top w:val="single" w:color="CCCCCC" w:sz="1"/>
              <w:left w:val="single" w:color="CCCCCC" w:sz="1"/>
              <w:bottom w:val="single" w:color="CCCCCC" w:sz="1"/>
              <w:right w:val="single" w:color="CCCCCC" w:sz="1"/>
            </w:tcBorders>
            <w:shd w:fill="1A2F4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400"/>
            <w:tcBorders>
              <w:top w:val="single" w:color="CCCCCC" w:sz="1"/>
              <w:left w:val="single" w:color="CCCCCC" w:sz="1"/>
              <w:bottom w:val="single" w:color="CCCCCC" w:sz="1"/>
              <w:right w:val="single" w:color="CCCCCC" w:sz="1"/>
            </w:tcBorders>
            <w:shd w:fill="D4E6F1" w:val="clear"/>
            <w:tcMar>
              <w:top w:type="dxa" w:w="80"/>
              <w:left w:type="dxa" w:w="100"/>
              <w:bottom w:type="dxa" w:w="80"/>
              <w:right w:type="dxa" w:w="100"/>
            </w:tcMar>
          </w:tcPr>
          <w:p>
            <w:pPr>
              <w:jc w:val="center"/>
            </w:pPr>
            <w:r>
              <w:rPr>
                <w:rFonts w:ascii="Arial" w:cs="Arial" w:eastAsia="Arial" w:hAnsi="Arial"/>
                <w:b/>
                <w:bCs/>
                <w:color w:val="2471A3"/>
                <w:sz w:val="18"/>
                <w:szCs w:val="18"/>
              </w:rPr>
              <w:t xml:space="preserve">1</w:t>
            </w:r>
          </w:p>
        </w:tc>
        <w:tc>
          <w:tcPr>
            <w:tcW w:type="dxa" w:w="24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b/>
                <w:bCs/>
                <w:color w:val="1A2F4E"/>
                <w:sz w:val="18"/>
                <w:szCs w:val="18"/>
              </w:rPr>
              <w:t xml:space="preserve">Text already parsed</w:t>
            </w:r>
          </w:p>
        </w:tc>
        <w:tc>
          <w:tcPr>
            <w:tcW w:type="dxa" w:w="6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333333"/>
                <w:sz w:val="18"/>
                <w:szCs w:val="18"/>
              </w:rPr>
              <w:t xml:space="preserve">Thesis text extracted during ThesisTrack analysis — no re-upload needed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2471A3"/>
                <w:sz w:val="18"/>
                <w:szCs w:val="18"/>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F4E"/>
                <w:sz w:val="18"/>
                <w:szCs w:val="18"/>
              </w:rPr>
              <w:t xml:space="preserve">Cross-reference check</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Regex extracts in-text citations and bibliography entries, compares both lists</w:t>
            </w:r>
          </w:p>
        </w:tc>
      </w:tr>
      <w:tr>
        <w:tc>
          <w:tcPr>
            <w:tcW w:type="dxa" w:w="400"/>
            <w:tcBorders>
              <w:top w:val="single" w:color="CCCCCC" w:sz="1"/>
              <w:left w:val="single" w:color="CCCCCC" w:sz="1"/>
              <w:bottom w:val="single" w:color="CCCCCC" w:sz="1"/>
              <w:right w:val="single" w:color="CCCCCC" w:sz="1"/>
            </w:tcBorders>
            <w:shd w:fill="D4E6F1" w:val="clear"/>
            <w:tcMar>
              <w:top w:type="dxa" w:w="80"/>
              <w:left w:type="dxa" w:w="100"/>
              <w:bottom w:type="dxa" w:w="80"/>
              <w:right w:type="dxa" w:w="100"/>
            </w:tcMar>
          </w:tcPr>
          <w:p>
            <w:pPr>
              <w:jc w:val="center"/>
            </w:pPr>
            <w:r>
              <w:rPr>
                <w:rFonts w:ascii="Arial" w:cs="Arial" w:eastAsia="Arial" w:hAnsi="Arial"/>
                <w:b/>
                <w:bCs/>
                <w:color w:val="2471A3"/>
                <w:sz w:val="18"/>
                <w:szCs w:val="18"/>
              </w:rPr>
              <w:t xml:space="preserve">3</w:t>
            </w:r>
          </w:p>
        </w:tc>
        <w:tc>
          <w:tcPr>
            <w:tcW w:type="dxa" w:w="24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b/>
                <w:bCs/>
                <w:color w:val="1A2F4E"/>
                <w:sz w:val="18"/>
                <w:szCs w:val="18"/>
              </w:rPr>
              <w:t xml:space="preserve">Format validation</w:t>
            </w:r>
          </w:p>
        </w:tc>
        <w:tc>
          <w:tcPr>
            <w:tcW w:type="dxa" w:w="6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333333"/>
                <w:sz w:val="18"/>
                <w:szCs w:val="18"/>
              </w:rPr>
              <w:t xml:space="preserve">GPT-4o detects citation style and validates each bibliography entry's formatting</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2471A3"/>
                <w:sz w:val="18"/>
                <w:szCs w:val="18"/>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F4E"/>
                <w:sz w:val="18"/>
                <w:szCs w:val="18"/>
              </w:rPr>
              <w:t xml:space="preserve">Source existence check</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Semantic Scholar API queries each reference title/DOI to confirm it is a real published work</w:t>
            </w:r>
          </w:p>
        </w:tc>
      </w:tr>
      <w:tr>
        <w:tc>
          <w:tcPr>
            <w:tcW w:type="dxa" w:w="400"/>
            <w:tcBorders>
              <w:top w:val="single" w:color="CCCCCC" w:sz="1"/>
              <w:left w:val="single" w:color="CCCCCC" w:sz="1"/>
              <w:bottom w:val="single" w:color="CCCCCC" w:sz="1"/>
              <w:right w:val="single" w:color="CCCCCC" w:sz="1"/>
            </w:tcBorders>
            <w:shd w:fill="D4E6F1" w:val="clear"/>
            <w:tcMar>
              <w:top w:type="dxa" w:w="80"/>
              <w:left w:type="dxa" w:w="100"/>
              <w:bottom w:type="dxa" w:w="80"/>
              <w:right w:type="dxa" w:w="100"/>
            </w:tcMar>
          </w:tcPr>
          <w:p>
            <w:pPr>
              <w:jc w:val="center"/>
            </w:pPr>
            <w:r>
              <w:rPr>
                <w:rFonts w:ascii="Arial" w:cs="Arial" w:eastAsia="Arial" w:hAnsi="Arial"/>
                <w:b/>
                <w:bCs/>
                <w:color w:val="2471A3"/>
                <w:sz w:val="18"/>
                <w:szCs w:val="18"/>
              </w:rPr>
              <w:t xml:space="preserve">5</w:t>
            </w:r>
          </w:p>
        </w:tc>
        <w:tc>
          <w:tcPr>
            <w:tcW w:type="dxa" w:w="24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b/>
                <w:bCs/>
                <w:color w:val="1A2F4E"/>
                <w:sz w:val="18"/>
                <w:szCs w:val="18"/>
              </w:rPr>
              <w:t xml:space="preserve">Combined report generated</w:t>
            </w:r>
          </w:p>
        </w:tc>
        <w:tc>
          <w:tcPr>
            <w:tcW w:type="dxa" w:w="6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333333"/>
                <w:sz w:val="18"/>
                <w:szCs w:val="18"/>
              </w:rPr>
              <w:t xml:space="preserve">All three layers merged into one report: missing citations, format errors, unverifiable sources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2471A3"/>
                <w:sz w:val="18"/>
                <w:szCs w:val="18"/>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F4E"/>
                <w:sz w:val="18"/>
                <w:szCs w:val="18"/>
              </w:rPr>
              <w:t xml:space="preserve">Stored in Supabase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Results saved alongside the ThesisTrack analysis and plagiarism report for the same submission</w:t>
            </w:r>
          </w:p>
        </w:tc>
      </w:tr>
    </w:tbl>
    <w:p>
      <w:pPr>
        <w:spacing w:before="120" w:after="0"/>
      </w:pPr>
    </w:p>
    <w:p>
      <w:pPr>
        <w:spacing w:before="200" w:after="80"/>
      </w:pPr>
      <w:r>
        <w:rPr>
          <w:rFonts w:ascii="Arial" w:cs="Arial" w:eastAsia="Arial" w:hAnsi="Arial"/>
          <w:b/>
          <w:bCs/>
          <w:color w:val="1A2F4E"/>
          <w:sz w:val="22"/>
          <w:szCs w:val="22"/>
        </w:rPr>
        <w:t xml:space="preserve">What Professor and Student See</w:t>
      </w:r>
    </w:p>
    <w:p>
      <w:pPr>
        <w:spacing w:before="80" w:after="80" w:line="320"/>
      </w:pPr>
      <w:r>
        <w:rPr>
          <w:rFonts w:ascii="Arial" w:cs="Arial" w:eastAsia="Arial" w:hAnsi="Arial"/>
          <w:color w:val="222222"/>
          <w:sz w:val="22"/>
          <w:szCs w:val="22"/>
        </w:rPr>
        <w:t xml:space="preserve">A single summary card per submission: e.g. '2 missing citations, 3 formatting errors, 1 unverifiable source.' One click expands the full breakdown with each flagged item, the specific error, and the suggested fix.</w:t>
      </w:r>
    </w:p>
    <w:p>
      <w:pPr>
        <w:spacing w:before="120" w:after="0"/>
      </w:pPr>
    </w:p>
    <w:p>
      <w:pPr>
        <w:pStyle w:val="Heading2"/>
        <w:spacing w:before="260" w:after="100"/>
      </w:pPr>
      <w:r>
        <w:rPr>
          <w:rFonts w:ascii="Arial" w:cs="Arial" w:eastAsia="Arial" w:hAnsi="Arial"/>
          <w:b/>
          <w:bCs/>
          <w:color w:val="2471A3"/>
          <w:sz w:val="26"/>
          <w:szCs w:val="26"/>
        </w:rPr>
        <w:t xml:space="preserve">4. Milestone &amp; Deadline Tracker</w:t>
      </w:r>
    </w:p>
    <w:p>
      <w:pPr>
        <w:spacing w:before="80" w:after="80" w:line="320"/>
      </w:pPr>
      <w:r>
        <w:rPr>
          <w:rFonts w:ascii="Arial" w:cs="Arial" w:eastAsia="Arial" w:hAnsi="Arial"/>
          <w:color w:val="222222"/>
          <w:sz w:val="22"/>
          <w:szCs w:val="22"/>
        </w:rPr>
        <w:t xml:space="preserve">Thesis supervision has natural stages — proposal approval, literature review, methodology, first full draft, final submission. SuperviseAI lets professors define these milestones per student or per cohort, turning an informal process into a structured one.</w:t>
      </w:r>
    </w:p>
    <w:p>
      <w:pPr>
        <w:spacing w:before="120" w:after="0"/>
      </w:pPr>
    </w:p>
    <w:p>
      <w:pPr>
        <w:pStyle w:val="ListParagraph"/>
        <w:numPr>
          <w:ilvl w:val="0"/>
          <w:numId w:val="2"/>
        </w:numPr>
        <w:spacing w:before="60" w:after="60"/>
      </w:pPr>
      <w:r>
        <w:rPr>
          <w:rFonts w:ascii="Arial" w:cs="Arial" w:eastAsia="Arial" w:hAnsi="Arial"/>
          <w:color w:val="222222"/>
          <w:sz w:val="22"/>
          <w:szCs w:val="22"/>
        </w:rPr>
        <w:t xml:space="preserve">Professor sets milestones with deadlines at the start of the supervision period</w:t>
      </w:r>
    </w:p>
    <w:p>
      <w:pPr>
        <w:pStyle w:val="ListParagraph"/>
        <w:numPr>
          <w:ilvl w:val="0"/>
          <w:numId w:val="2"/>
        </w:numPr>
        <w:spacing w:before="60" w:after="60"/>
      </w:pPr>
      <w:r>
        <w:rPr>
          <w:rFonts w:ascii="Arial" w:cs="Arial" w:eastAsia="Arial" w:hAnsi="Arial"/>
          <w:color w:val="222222"/>
          <w:sz w:val="22"/>
          <w:szCs w:val="22"/>
        </w:rPr>
        <w:t xml:space="preserve">Students submit drafts tagged to a specific milestone</w:t>
      </w:r>
    </w:p>
    <w:p>
      <w:pPr>
        <w:pStyle w:val="ListParagraph"/>
        <w:numPr>
          <w:ilvl w:val="0"/>
          <w:numId w:val="2"/>
        </w:numPr>
        <w:spacing w:before="60" w:after="60"/>
      </w:pPr>
      <w:r>
        <w:rPr>
          <w:rFonts w:ascii="Arial" w:cs="Arial" w:eastAsia="Arial" w:hAnsi="Arial"/>
          <w:color w:val="222222"/>
          <w:sz w:val="22"/>
          <w:szCs w:val="22"/>
        </w:rPr>
        <w:t xml:space="preserve">ThesisTrack analysis is contextual — it scores the submission against what is expected at that stage</w:t>
      </w:r>
    </w:p>
    <w:p>
      <w:pPr>
        <w:pStyle w:val="ListParagraph"/>
        <w:numPr>
          <w:ilvl w:val="0"/>
          <w:numId w:val="2"/>
        </w:numPr>
        <w:spacing w:before="60" w:after="60"/>
      </w:pPr>
      <w:r>
        <w:rPr>
          <w:rFonts w:ascii="Arial" w:cs="Arial" w:eastAsia="Arial" w:hAnsi="Arial"/>
          <w:color w:val="222222"/>
          <w:sz w:val="22"/>
          <w:szCs w:val="22"/>
        </w:rPr>
        <w:t xml:space="preserve">Students see a visual timeline of upcoming milestones and their current position</w:t>
      </w:r>
    </w:p>
    <w:p>
      <w:pPr>
        <w:pStyle w:val="ListParagraph"/>
        <w:numPr>
          <w:ilvl w:val="0"/>
          <w:numId w:val="2"/>
        </w:numPr>
        <w:spacing w:before="60" w:after="60"/>
      </w:pPr>
      <w:r>
        <w:rPr>
          <w:rFonts w:ascii="Arial" w:cs="Arial" w:eastAsia="Arial" w:hAnsi="Arial"/>
          <w:color w:val="222222"/>
          <w:sz w:val="22"/>
          <w:szCs w:val="22"/>
        </w:rPr>
        <w:t xml:space="preserve">Professor is notified when a student misses a milestone or has not submitted in a defined period</w:t>
      </w:r>
    </w:p>
    <w:p>
      <w:pPr>
        <w:spacing w:before="120" w:after="0"/>
      </w:pPr>
    </w:p>
    <w:p>
      <w:pPr>
        <w:pStyle w:val="Heading2"/>
        <w:spacing w:before="260" w:after="100"/>
      </w:pPr>
      <w:r>
        <w:rPr>
          <w:rFonts w:ascii="Arial" w:cs="Arial" w:eastAsia="Arial" w:hAnsi="Arial"/>
          <w:b/>
          <w:bCs/>
          <w:color w:val="2471A3"/>
          <w:sz w:val="26"/>
          <w:szCs w:val="26"/>
        </w:rPr>
        <w:t xml:space="preserve">5. Professor Analytics Dashboard</w:t>
      </w:r>
    </w:p>
    <w:p>
      <w:pPr>
        <w:spacing w:before="80" w:after="80" w:line="320"/>
      </w:pPr>
      <w:r>
        <w:rPr>
          <w:rFonts w:ascii="Arial" w:cs="Arial" w:eastAsia="Arial" w:hAnsi="Arial"/>
          <w:color w:val="222222"/>
          <w:sz w:val="22"/>
          <w:szCs w:val="22"/>
        </w:rPr>
        <w:t xml:space="preserve">SuperviseAI aggregates data across all of a professor's thesis students and surfaces actionable insights that would be invisible in a manual process.</w:t>
      </w:r>
    </w:p>
    <w:p>
      <w:pPr>
        <w:spacing w:before="120" w:after="0"/>
      </w:pPr>
    </w:p>
    <w:p>
      <w:pPr>
        <w:pStyle w:val="ListParagraph"/>
        <w:numPr>
          <w:ilvl w:val="0"/>
          <w:numId w:val="2"/>
        </w:numPr>
        <w:spacing w:before="60" w:after="60"/>
      </w:pPr>
      <w:r>
        <w:rPr>
          <w:rFonts w:ascii="Arial" w:cs="Arial" w:eastAsia="Arial" w:hAnsi="Arial"/>
          <w:color w:val="222222"/>
          <w:sz w:val="22"/>
          <w:szCs w:val="22"/>
        </w:rPr>
        <w:t xml:space="preserve">At-risk alerts — students who have not submitted in 2+ weeks or whose progress score is declining</w:t>
      </w:r>
    </w:p>
    <w:p>
      <w:pPr>
        <w:pStyle w:val="ListParagraph"/>
        <w:numPr>
          <w:ilvl w:val="0"/>
          <w:numId w:val="2"/>
        </w:numPr>
        <w:spacing w:before="60" w:after="60"/>
      </w:pPr>
      <w:r>
        <w:rPr>
          <w:rFonts w:ascii="Arial" w:cs="Arial" w:eastAsia="Arial" w:hAnsi="Arial"/>
          <w:color w:val="222222"/>
          <w:sz w:val="22"/>
          <w:szCs w:val="22"/>
        </w:rPr>
        <w:t xml:space="preserve">Cohort weak spots — sections consistently underdeveloped across multiple students</w:t>
      </w:r>
    </w:p>
    <w:p>
      <w:pPr>
        <w:pStyle w:val="ListParagraph"/>
        <w:numPr>
          <w:ilvl w:val="0"/>
          <w:numId w:val="2"/>
        </w:numPr>
        <w:spacing w:before="60" w:after="60"/>
      </w:pPr>
      <w:r>
        <w:rPr>
          <w:rFonts w:ascii="Arial" w:cs="Arial" w:eastAsia="Arial" w:hAnsi="Arial"/>
          <w:color w:val="222222"/>
          <w:sz w:val="22"/>
          <w:szCs w:val="22"/>
        </w:rPr>
        <w:t xml:space="preserve">Submission velocity — how frequently each student is submitting, showing engagement and momentum</w:t>
      </w:r>
    </w:p>
    <w:p>
      <w:pPr>
        <w:pStyle w:val="ListParagraph"/>
        <w:numPr>
          <w:ilvl w:val="0"/>
          <w:numId w:val="2"/>
        </w:numPr>
        <w:spacing w:before="60" w:after="60"/>
      </w:pPr>
      <w:r>
        <w:rPr>
          <w:rFonts w:ascii="Arial" w:cs="Arial" w:eastAsia="Arial" w:hAnsi="Arial"/>
          <w:color w:val="222222"/>
          <w:sz w:val="22"/>
          <w:szCs w:val="22"/>
        </w:rPr>
        <w:t xml:space="preserve">Progress and quality trends over time per student</w:t>
      </w:r>
    </w:p>
    <w:p>
      <w:pPr>
        <w:spacing w:before="120" w:after="0"/>
      </w:pPr>
    </w:p>
    <w:p>
      <w:pPr>
        <w:pStyle w:val="Heading2"/>
        <w:spacing w:before="260" w:after="100"/>
      </w:pPr>
      <w:r>
        <w:rPr>
          <w:rFonts w:ascii="Arial" w:cs="Arial" w:eastAsia="Arial" w:hAnsi="Arial"/>
          <w:b/>
          <w:bCs/>
          <w:color w:val="2471A3"/>
          <w:sz w:val="26"/>
          <w:szCs w:val="26"/>
        </w:rPr>
        <w:t xml:space="preserve">6. StudentView — The Student's Own Dashboard</w:t>
      </w:r>
    </w:p>
    <w:p>
      <w:pPr>
        <w:spacing w:before="80" w:after="80" w:line="320"/>
      </w:pPr>
      <w:r>
        <w:rPr>
          <w:rFonts w:ascii="Arial" w:cs="Arial" w:eastAsia="Arial" w:hAnsi="Arial"/>
          <w:color w:val="222222"/>
          <w:sz w:val="22"/>
          <w:szCs w:val="22"/>
        </w:rPr>
        <w:t xml:space="preserve">SuperviseAI is not just a tool for professors. Students have their own web dashboard that gives them visibility into their own progress and faster access to feedback.</w:t>
      </w:r>
    </w:p>
    <w:p>
      <w:pPr>
        <w:spacing w:before="120" w:after="0"/>
      </w:pPr>
    </w:p>
    <w:p>
      <w:pPr>
        <w:pStyle w:val="ListParagraph"/>
        <w:numPr>
          <w:ilvl w:val="0"/>
          <w:numId w:val="2"/>
        </w:numPr>
        <w:spacing w:before="60" w:after="60"/>
      </w:pPr>
      <w:r>
        <w:rPr>
          <w:rFonts w:ascii="Arial" w:cs="Arial" w:eastAsia="Arial" w:hAnsi="Arial"/>
          <w:color w:val="222222"/>
          <w:sz w:val="22"/>
          <w:szCs w:val="22"/>
        </w:rPr>
        <w:t xml:space="preserve">Personal progress dashboard with their own ThesisTrack analysis, progress score, and next steps</w:t>
      </w:r>
    </w:p>
    <w:p>
      <w:pPr>
        <w:pStyle w:val="ListParagraph"/>
        <w:numPr>
          <w:ilvl w:val="0"/>
          <w:numId w:val="2"/>
        </w:numPr>
        <w:spacing w:before="60" w:after="60"/>
      </w:pPr>
      <w:r>
        <w:rPr>
          <w:rFonts w:ascii="Arial" w:cs="Arial" w:eastAsia="Arial" w:hAnsi="Arial"/>
          <w:color w:val="222222"/>
          <w:sz w:val="22"/>
          <w:szCs w:val="22"/>
        </w:rPr>
        <w:t xml:space="preserve">Plagiarism and citation report visible before submission — students fix issues before the professor sees them</w:t>
      </w:r>
    </w:p>
    <w:p>
      <w:pPr>
        <w:pStyle w:val="ListParagraph"/>
        <w:numPr>
          <w:ilvl w:val="0"/>
          <w:numId w:val="2"/>
        </w:numPr>
        <w:spacing w:before="60" w:after="60"/>
      </w:pPr>
      <w:r>
        <w:rPr>
          <w:rFonts w:ascii="Arial" w:cs="Arial" w:eastAsia="Arial" w:hAnsi="Arial"/>
          <w:color w:val="222222"/>
          <w:sz w:val="22"/>
          <w:szCs w:val="22"/>
        </w:rPr>
        <w:t xml:space="preserve">AI self-check tool — run the full analysis before submitting</w:t>
      </w:r>
    </w:p>
    <w:p>
      <w:pPr>
        <w:pStyle w:val="ListParagraph"/>
        <w:numPr>
          <w:ilvl w:val="0"/>
          <w:numId w:val="2"/>
        </w:numPr>
        <w:spacing w:before="60" w:after="60"/>
      </w:pPr>
      <w:r>
        <w:rPr>
          <w:rFonts w:ascii="Arial" w:cs="Arial" w:eastAsia="Arial" w:hAnsi="Arial"/>
          <w:color w:val="222222"/>
          <w:sz w:val="22"/>
          <w:szCs w:val="22"/>
        </w:rPr>
        <w:t xml:space="preserve">Full submission history with diffs between every version</w:t>
      </w:r>
    </w:p>
    <w:p>
      <w:pPr>
        <w:pStyle w:val="ListParagraph"/>
        <w:numPr>
          <w:ilvl w:val="0"/>
          <w:numId w:val="2"/>
        </w:numPr>
        <w:spacing w:before="60" w:after="60"/>
      </w:pPr>
      <w:r>
        <w:rPr>
          <w:rFonts w:ascii="Arial" w:cs="Arial" w:eastAsia="Arial" w:hAnsi="Arial"/>
          <w:color w:val="222222"/>
          <w:sz w:val="22"/>
          <w:szCs w:val="22"/>
        </w:rPr>
        <w:t xml:space="preserve">Milestone timeline and push notifications for deadlines and professor feedback</w:t>
      </w:r>
    </w:p>
    <w:p>
      <w:pPr>
        <w:spacing w:before="120" w:after="0"/>
      </w:pPr>
    </w:p>
    <w:p>
      <w:pPr>
        <w:pStyle w:val="Heading2"/>
        <w:spacing w:before="260" w:after="100"/>
      </w:pPr>
      <w:r>
        <w:rPr>
          <w:rFonts w:ascii="Arial" w:cs="Arial" w:eastAsia="Arial" w:hAnsi="Arial"/>
          <w:b/>
          <w:bCs/>
          <w:color w:val="2471A3"/>
          <w:sz w:val="26"/>
          <w:szCs w:val="26"/>
        </w:rPr>
        <w:t xml:space="preserve">7. AI Thesis Coach — Three Coaching Modes</w:t>
      </w:r>
    </w:p>
    <w:p>
      <w:pPr>
        <w:spacing w:before="0" w:after="100"/>
      </w:pPr>
      <w:r>
        <w:rPr>
          <w:rFonts w:ascii="Arial" w:cs="Arial" w:eastAsia="Arial" w:hAnsi="Arial"/>
          <w:b/>
          <w:bCs/>
          <w:caps/>
          <w:color w:val="2471A3"/>
          <w:sz w:val="18"/>
          <w:szCs w:val="18"/>
        </w:rPr>
        <w:t xml:space="preserve">[ Powered by Azure OpenAI · Azure Speech · Azure Cognitive Services ]</w:t>
      </w:r>
    </w:p>
    <w:p>
      <w:pPr>
        <w:spacing w:before="80" w:after="80" w:line="320"/>
      </w:pPr>
      <w:r>
        <w:rPr>
          <w:rFonts w:ascii="Arial" w:cs="Arial" w:eastAsia="Arial" w:hAnsi="Arial"/>
          <w:color w:val="222222"/>
          <w:sz w:val="22"/>
          <w:szCs w:val="22"/>
        </w:rPr>
        <w:t xml:space="preserve">This is the feature that transforms SuperviseAI from a supervision management tool into an active learning platform. The AI Coach gives every student access to an intelligent, always-available tutor that does not just analyse their draft — it actively engages with them, challenges their thinking, and prepares them for the real examination.</w:t>
      </w:r>
    </w:p>
    <w:p>
      <w:pPr>
        <w:spacing w:before="120" w:after="0"/>
      </w:pPr>
    </w:p>
    <w:p>
      <w:pPr>
        <w:spacing w:before="80" w:after="80" w:line="320"/>
      </w:pPr>
      <w:r>
        <w:rPr>
          <w:rFonts w:ascii="Arial" w:cs="Arial" w:eastAsia="Arial" w:hAnsi="Arial"/>
          <w:color w:val="222222"/>
          <w:sz w:val="22"/>
          <w:szCs w:val="22"/>
        </w:rPr>
        <w:t xml:space="preserve">The coach operates in three distinct modes, each targeting a different stage of the thesis journey:</w:t>
      </w:r>
    </w:p>
    <w:p>
      <w:pPr>
        <w:spacing w:before="120" w:after="0"/>
      </w:pPr>
    </w:p>
    <w:p>
      <w:pPr>
        <w:spacing w:before="200" w:after="80"/>
      </w:pPr>
      <w:r>
        <w:rPr>
          <w:rFonts w:ascii="Arial" w:cs="Arial" w:eastAsia="Arial" w:hAnsi="Arial"/>
          <w:b/>
          <w:bCs/>
          <w:color w:val="1A2F4E"/>
          <w:sz w:val="22"/>
          <w:szCs w:val="22"/>
        </w:rPr>
        <w:t xml:space="preserve">Mode 1 — Argument Defender</w:t>
      </w:r>
    </w:p>
    <w:p>
      <w:pPr>
        <w:spacing w:before="80" w:after="80" w:line="320"/>
      </w:pPr>
      <w:r>
        <w:rPr>
          <w:rFonts w:ascii="Arial" w:cs="Arial" w:eastAsia="Arial" w:hAnsi="Arial"/>
          <w:color w:val="222222"/>
          <w:sz w:val="22"/>
          <w:szCs w:val="22"/>
        </w:rPr>
        <w:t xml:space="preserve">The AI reads the student's submitted chapter and takes the role of a critical examiner. It identifies the core arguments in the text and challenges them directly — asking the student to defend their claims, address counterarguments, and justify their methodology. The student responds in text or voice, the AI pushes back based on the quality of the answer, and at the end produces a structured feedback report covering argument strength, evidence quality, and logical consistency.</w:t>
      </w:r>
    </w:p>
    <w:p>
      <w:pPr>
        <w:spacing w:before="60" w:after="0"/>
      </w:pPr>
    </w:p>
    <w:p>
      <w:pPr>
        <w:pStyle w:val="ListParagraph"/>
        <w:numPr>
          <w:ilvl w:val="0"/>
          <w:numId w:val="2"/>
        </w:numPr>
        <w:spacing w:before="60" w:after="60"/>
      </w:pPr>
      <w:r>
        <w:rPr>
          <w:rFonts w:ascii="Arial" w:cs="Arial" w:eastAsia="Arial" w:hAnsi="Arial"/>
          <w:color w:val="222222"/>
          <w:sz w:val="22"/>
          <w:szCs w:val="22"/>
        </w:rPr>
        <w:t xml:space="preserve">AI identifies 3 to 5 key claims in the chapter and challenges each one</w:t>
      </w:r>
    </w:p>
    <w:p>
      <w:pPr>
        <w:pStyle w:val="ListParagraph"/>
        <w:numPr>
          <w:ilvl w:val="0"/>
          <w:numId w:val="2"/>
        </w:numPr>
        <w:spacing w:before="60" w:after="60"/>
      </w:pPr>
      <w:r>
        <w:rPr>
          <w:rFonts w:ascii="Arial" w:cs="Arial" w:eastAsia="Arial" w:hAnsi="Arial"/>
          <w:color w:val="222222"/>
          <w:sz w:val="22"/>
          <w:szCs w:val="22"/>
        </w:rPr>
        <w:t xml:space="preserve">Student responds — AI escalates or redirects based on answer quality</w:t>
      </w:r>
    </w:p>
    <w:p>
      <w:pPr>
        <w:pStyle w:val="ListParagraph"/>
        <w:numPr>
          <w:ilvl w:val="0"/>
          <w:numId w:val="2"/>
        </w:numPr>
        <w:spacing w:before="60" w:after="60"/>
      </w:pPr>
      <w:r>
        <w:rPr>
          <w:rFonts w:ascii="Arial" w:cs="Arial" w:eastAsia="Arial" w:hAnsi="Arial"/>
          <w:color w:val="222222"/>
          <w:sz w:val="22"/>
          <w:szCs w:val="22"/>
        </w:rPr>
        <w:t xml:space="preserve">Session ends with a scored feedback report: argument strength, evidence, logic</w:t>
      </w:r>
    </w:p>
    <w:p>
      <w:pPr>
        <w:pStyle w:val="ListParagraph"/>
        <w:numPr>
          <w:ilvl w:val="0"/>
          <w:numId w:val="2"/>
        </w:numPr>
        <w:spacing w:before="60" w:after="60"/>
      </w:pPr>
      <w:r>
        <w:rPr>
          <w:rFonts w:ascii="Arial" w:cs="Arial" w:eastAsia="Arial" w:hAnsi="Arial"/>
          <w:color w:val="222222"/>
          <w:sz w:val="22"/>
          <w:szCs w:val="22"/>
        </w:rPr>
        <w:t xml:space="preserve">Professor can see coaching session summaries on their dashboard</w:t>
      </w:r>
    </w:p>
    <w:p>
      <w:pPr>
        <w:spacing w:before="120" w:after="0"/>
      </w:pPr>
    </w:p>
    <w:p>
      <w:pPr>
        <w:spacing w:before="200" w:after="80"/>
      </w:pPr>
      <w:r>
        <w:rPr>
          <w:rFonts w:ascii="Arial" w:cs="Arial" w:eastAsia="Arial" w:hAnsi="Arial"/>
          <w:b/>
          <w:bCs/>
          <w:color w:val="1A2F4E"/>
          <w:sz w:val="22"/>
          <w:szCs w:val="22"/>
        </w:rPr>
        <w:t xml:space="preserve">Mode 2 — Socratic Writing Coach</w:t>
      </w:r>
    </w:p>
    <w:p>
      <w:pPr>
        <w:spacing w:before="80" w:after="80" w:line="320"/>
      </w:pPr>
      <w:r>
        <w:rPr>
          <w:rFonts w:ascii="Arial" w:cs="Arial" w:eastAsia="Arial" w:hAnsi="Arial"/>
          <w:color w:val="222222"/>
          <w:sz w:val="22"/>
          <w:szCs w:val="22"/>
        </w:rPr>
        <w:t xml:space="preserve">When a student is stuck or unsure how to develop a section, the Socratic Coach does not tell them what to write — it asks questions until they work it out themselves. This is the pedagogical core of the challenge brief: an AI that truly understands learners rather than just delivering content.</w:t>
      </w:r>
    </w:p>
    <w:p>
      <w:pPr>
        <w:spacing w:before="60" w:after="0"/>
      </w:pPr>
    </w:p>
    <w:p>
      <w:pPr>
        <w:pStyle w:val="ListParagraph"/>
        <w:numPr>
          <w:ilvl w:val="0"/>
          <w:numId w:val="2"/>
        </w:numPr>
        <w:spacing w:before="60" w:after="60"/>
      </w:pPr>
      <w:r>
        <w:rPr>
          <w:rFonts w:ascii="Arial" w:cs="Arial" w:eastAsia="Arial" w:hAnsi="Arial"/>
          <w:color w:val="222222"/>
          <w:sz w:val="22"/>
          <w:szCs w:val="22"/>
        </w:rPr>
        <w:t xml:space="preserve">Student describes what section they are working on and what they are stuck on</w:t>
      </w:r>
    </w:p>
    <w:p>
      <w:pPr>
        <w:pStyle w:val="ListParagraph"/>
        <w:numPr>
          <w:ilvl w:val="0"/>
          <w:numId w:val="2"/>
        </w:numPr>
        <w:spacing w:before="60" w:after="60"/>
      </w:pPr>
      <w:r>
        <w:rPr>
          <w:rFonts w:ascii="Arial" w:cs="Arial" w:eastAsia="Arial" w:hAnsi="Arial"/>
          <w:color w:val="222222"/>
          <w:sz w:val="22"/>
          <w:szCs w:val="22"/>
        </w:rPr>
        <w:t xml:space="preserve">AI asks guided questions: 'What is the central claim of this section?', 'What evidence would disprove it?', 'How does this connect to your research question?'</w:t>
      </w:r>
    </w:p>
    <w:p>
      <w:pPr>
        <w:pStyle w:val="ListParagraph"/>
        <w:numPr>
          <w:ilvl w:val="0"/>
          <w:numId w:val="2"/>
        </w:numPr>
        <w:spacing w:before="60" w:after="60"/>
      </w:pPr>
      <w:r>
        <w:rPr>
          <w:rFonts w:ascii="Arial" w:cs="Arial" w:eastAsia="Arial" w:hAnsi="Arial"/>
          <w:color w:val="222222"/>
          <w:sz w:val="22"/>
          <w:szCs w:val="22"/>
        </w:rPr>
        <w:t xml:space="preserve">AI adapts question depth based on the student's responses — simpler follow-ups for struggling students, deeper challenges for strong ones</w:t>
      </w:r>
    </w:p>
    <w:p>
      <w:pPr>
        <w:pStyle w:val="ListParagraph"/>
        <w:numPr>
          <w:ilvl w:val="0"/>
          <w:numId w:val="2"/>
        </w:numPr>
        <w:spacing w:before="60" w:after="60"/>
      </w:pPr>
      <w:r>
        <w:rPr>
          <w:rFonts w:ascii="Arial" w:cs="Arial" w:eastAsia="Arial" w:hAnsi="Arial"/>
          <w:color w:val="222222"/>
          <w:sz w:val="22"/>
          <w:szCs w:val="22"/>
        </w:rPr>
        <w:t xml:space="preserve">Session produces a structured outline the student can immediately write from</w:t>
      </w:r>
    </w:p>
    <w:p>
      <w:pPr>
        <w:spacing w:before="120" w:after="0"/>
      </w:pPr>
    </w:p>
    <w:p>
      <w:pPr>
        <w:spacing w:before="200" w:after="80"/>
      </w:pPr>
      <w:r>
        <w:rPr>
          <w:rFonts w:ascii="Arial" w:cs="Arial" w:eastAsia="Arial" w:hAnsi="Arial"/>
          <w:b/>
          <w:bCs/>
          <w:color w:val="1A2F4E"/>
          <w:sz w:val="22"/>
          <w:szCs w:val="22"/>
        </w:rPr>
        <w:t xml:space="preserve">Mode 3 — Mock Viva</w:t>
      </w:r>
    </w:p>
    <w:p>
      <w:pPr>
        <w:spacing w:before="80" w:after="80" w:line="320"/>
      </w:pPr>
      <w:r>
        <w:rPr>
          <w:rFonts w:ascii="Arial" w:cs="Arial" w:eastAsia="Arial" w:hAnsi="Arial"/>
          <w:color w:val="222222"/>
          <w:sz w:val="22"/>
          <w:szCs w:val="22"/>
        </w:rPr>
        <w:t xml:space="preserve">The most powerful coaching mode. The AI simulates a full thesis defence committee — it reads the student's complete draft and conducts a realistic viva examination using voice. The student speaks their answers aloud, the AI responds as an examiner would, and the session ends with a detailed preparation report highlighting the weakest parts of the thesis to focus on before the real defence.</w:t>
      </w:r>
    </w:p>
    <w:p>
      <w:pPr>
        <w:spacing w:before="60" w:after="0"/>
      </w:pPr>
    </w:p>
    <w:p>
      <w:pPr>
        <w:pStyle w:val="ListParagraph"/>
        <w:numPr>
          <w:ilvl w:val="0"/>
          <w:numId w:val="2"/>
        </w:numPr>
        <w:spacing w:before="60" w:after="60"/>
      </w:pPr>
      <w:r>
        <w:rPr>
          <w:rFonts w:ascii="Arial" w:cs="Arial" w:eastAsia="Arial" w:hAnsi="Arial"/>
          <w:color w:val="222222"/>
          <w:sz w:val="22"/>
          <w:szCs w:val="22"/>
        </w:rPr>
        <w:t xml:space="preserve">Azure Speech-to-Text converts student's spoken answers to text in real time</w:t>
      </w:r>
    </w:p>
    <w:p>
      <w:pPr>
        <w:pStyle w:val="ListParagraph"/>
        <w:numPr>
          <w:ilvl w:val="0"/>
          <w:numId w:val="2"/>
        </w:numPr>
        <w:spacing w:before="60" w:after="60"/>
      </w:pPr>
      <w:r>
        <w:rPr>
          <w:rFonts w:ascii="Arial" w:cs="Arial" w:eastAsia="Arial" w:hAnsi="Arial"/>
          <w:color w:val="222222"/>
          <w:sz w:val="22"/>
          <w:szCs w:val="22"/>
        </w:rPr>
        <w:t xml:space="preserve">Azure Text-to-Speech reads the AI examiner's questions aloud — the viva feels real</w:t>
      </w:r>
    </w:p>
    <w:p>
      <w:pPr>
        <w:pStyle w:val="ListParagraph"/>
        <w:numPr>
          <w:ilvl w:val="0"/>
          <w:numId w:val="2"/>
        </w:numPr>
        <w:spacing w:before="60" w:after="60"/>
      </w:pPr>
      <w:r>
        <w:rPr>
          <w:rFonts w:ascii="Arial" w:cs="Arial" w:eastAsia="Arial" w:hAnsi="Arial"/>
          <w:color w:val="222222"/>
          <w:sz w:val="22"/>
          <w:szCs w:val="22"/>
        </w:rPr>
        <w:t xml:space="preserve">Azure Cognitive Services analyses sentiment and confidence in student responses — detecting hesitation, uncertainty, or stress in their answers</w:t>
      </w:r>
    </w:p>
    <w:p>
      <w:pPr>
        <w:pStyle w:val="ListParagraph"/>
        <w:numPr>
          <w:ilvl w:val="0"/>
          <w:numId w:val="2"/>
        </w:numPr>
        <w:spacing w:before="60" w:after="60"/>
      </w:pPr>
      <w:r>
        <w:rPr>
          <w:rFonts w:ascii="Arial" w:cs="Arial" w:eastAsia="Arial" w:hAnsi="Arial"/>
          <w:color w:val="222222"/>
          <w:sz w:val="22"/>
          <w:szCs w:val="22"/>
        </w:rPr>
        <w:t xml:space="preserve">AI adapts its questioning style based on detected confidence — pressing harder on weak answers, acknowledging strong ones</w:t>
      </w:r>
    </w:p>
    <w:p>
      <w:pPr>
        <w:pStyle w:val="ListParagraph"/>
        <w:numPr>
          <w:ilvl w:val="0"/>
          <w:numId w:val="2"/>
        </w:numPr>
        <w:spacing w:before="60" w:after="60"/>
      </w:pPr>
      <w:r>
        <w:rPr>
          <w:rFonts w:ascii="Arial" w:cs="Arial" w:eastAsia="Arial" w:hAnsi="Arial"/>
          <w:color w:val="222222"/>
          <w:sz w:val="22"/>
          <w:szCs w:val="22"/>
        </w:rPr>
        <w:t xml:space="preserve">End-of-session report: overall viva readiness score, strongest and weakest sections, recommended preparation focus areas</w:t>
      </w:r>
    </w:p>
    <w:p>
      <w:pPr>
        <w:spacing w:before="120" w:after="0"/>
      </w:pPr>
    </w:p>
    <w:p>
      <w:pPr>
        <w:spacing w:before="200" w:after="80"/>
      </w:pPr>
      <w:r>
        <w:rPr>
          <w:rFonts w:ascii="Arial" w:cs="Arial" w:eastAsia="Arial" w:hAnsi="Arial"/>
          <w:b/>
          <w:bCs/>
          <w:color w:val="1A2F4E"/>
          <w:sz w:val="22"/>
          <w:szCs w:val="22"/>
        </w:rPr>
        <w:t xml:space="preserve">Why Azure Makes This Work</w:t>
      </w:r>
    </w:p>
    <w:p>
      <w:pPr>
        <w:spacing w:before="6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026"/>
      </w:tblGrid>
      <w:tr>
        <w:tc>
          <w:tcPr>
            <w:tcW w:type="dxa" w:w="2600"/>
            <w:tcBorders>
              <w:top w:val="single" w:color="CCCCCC" w:sz="1"/>
              <w:left w:val="single" w:color="CCCCCC" w:sz="1"/>
              <w:bottom w:val="single" w:color="CCCCCC" w:sz="1"/>
              <w:right w:val="single" w:color="CCCCCC" w:sz="1"/>
            </w:tcBorders>
            <w:shd w:fill="1A2F4E" w:val="clear"/>
            <w:tcMar>
              <w:top w:type="dxa" w:w="80"/>
              <w:left w:type="dxa" w:w="120"/>
              <w:bottom w:type="dxa" w:w="80"/>
              <w:right w:type="dxa" w:w="120"/>
            </w:tcMar>
          </w:tcPr>
          <w:p>
            <w:r>
              <w:rPr>
                <w:rFonts w:ascii="Arial" w:cs="Arial" w:eastAsia="Arial" w:hAnsi="Arial"/>
                <w:b/>
                <w:bCs/>
                <w:color w:val="FFFFFF"/>
                <w:sz w:val="20"/>
                <w:szCs w:val="20"/>
              </w:rPr>
              <w:t xml:space="preserve">Azure Service</w:t>
            </w:r>
          </w:p>
        </w:tc>
        <w:tc>
          <w:tcPr>
            <w:tcW w:type="dxa" w:w="2400"/>
            <w:tcBorders>
              <w:top w:val="single" w:color="CCCCCC" w:sz="1"/>
              <w:left w:val="single" w:color="CCCCCC" w:sz="1"/>
              <w:bottom w:val="single" w:color="CCCCCC" w:sz="1"/>
              <w:right w:val="single" w:color="CCCCCC" w:sz="1"/>
            </w:tcBorders>
            <w:shd w:fill="1A2F4E" w:val="clear"/>
            <w:tcMar>
              <w:top w:type="dxa" w:w="80"/>
              <w:left w:type="dxa" w:w="120"/>
              <w:bottom w:type="dxa" w:w="80"/>
              <w:right w:type="dxa" w:w="120"/>
            </w:tcMar>
          </w:tcPr>
          <w:p>
            <w:r>
              <w:rPr>
                <w:rFonts w:ascii="Arial" w:cs="Arial" w:eastAsia="Arial" w:hAnsi="Arial"/>
                <w:b/>
                <w:bCs/>
                <w:color w:val="FFFFFF"/>
                <w:sz w:val="20"/>
                <w:szCs w:val="20"/>
              </w:rPr>
              <w:t xml:space="preserve">Used In</w:t>
            </w:r>
          </w:p>
        </w:tc>
        <w:tc>
          <w:tcPr>
            <w:tcW w:type="dxa" w:w="4026"/>
            <w:tcBorders>
              <w:top w:val="single" w:color="CCCCCC" w:sz="1"/>
              <w:left w:val="single" w:color="CCCCCC" w:sz="1"/>
              <w:bottom w:val="single" w:color="CCCCCC" w:sz="1"/>
              <w:right w:val="single" w:color="CCCCCC" w:sz="1"/>
            </w:tcBorders>
            <w:shd w:fill="1A2F4E" w:val="clear"/>
            <w:tcMar>
              <w:top w:type="dxa" w:w="80"/>
              <w:left w:type="dxa" w:w="120"/>
              <w:bottom w:type="dxa" w:w="80"/>
              <w:right w:type="dxa" w:w="120"/>
            </w:tcMar>
          </w:tcPr>
          <w:p>
            <w:r>
              <w:rPr>
                <w:rFonts w:ascii="Arial" w:cs="Arial" w:eastAsia="Arial" w:hAnsi="Arial"/>
                <w:b/>
                <w:bCs/>
                <w:color w:val="FFFFFF"/>
                <w:sz w:val="20"/>
                <w:szCs w:val="20"/>
              </w:rPr>
              <w:t xml:space="preserve">What It Enables</w:t>
            </w:r>
          </w:p>
        </w:tc>
      </w:tr>
      <w:tr>
        <w:tc>
          <w:tcPr>
            <w:tcW w:type="dxa" w:w="26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b/>
                <w:bCs/>
                <w:color w:val="1A2F4E"/>
                <w:sz w:val="18"/>
                <w:szCs w:val="18"/>
              </w:rPr>
              <w:t xml:space="preserve">Azure OpenAI (GPT-4o)</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18"/>
                <w:szCs w:val="18"/>
              </w:rPr>
              <w:t xml:space="preserve">All three modes</w:t>
            </w:r>
          </w:p>
        </w:tc>
        <w:tc>
          <w:tcPr>
            <w:tcW w:type="dxa" w:w="40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44444"/>
                <w:sz w:val="18"/>
                <w:szCs w:val="18"/>
              </w:rPr>
              <w:t xml:space="preserve">Powers the AI examiner, Socratic coach, and argument challenger — context-aware, thesis-specific responses</w:t>
            </w:r>
          </w:p>
        </w:tc>
      </w:tr>
      <w:tr>
        <w:tc>
          <w:tcPr>
            <w:tcW w:type="dxa" w:w="2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bCs/>
                <w:color w:val="1A2F4E"/>
                <w:sz w:val="18"/>
                <w:szCs w:val="18"/>
              </w:rPr>
              <w:t xml:space="preserve">Azure Speech-to-Text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Mock Viva</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Converts student's spoken viva answers to text for AI processing in real time</w:t>
            </w:r>
          </w:p>
        </w:tc>
      </w:tr>
      <w:tr>
        <w:tc>
          <w:tcPr>
            <w:tcW w:type="dxa" w:w="26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b/>
                <w:bCs/>
                <w:color w:val="1A2F4E"/>
                <w:sz w:val="18"/>
                <w:szCs w:val="18"/>
              </w:rPr>
              <w:t xml:space="preserve">Azure Text-to-Speech</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18"/>
                <w:szCs w:val="18"/>
              </w:rPr>
              <w:t xml:space="preserve">Mock Viva</w:t>
            </w:r>
          </w:p>
        </w:tc>
        <w:tc>
          <w:tcPr>
            <w:tcW w:type="dxa" w:w="40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44444"/>
                <w:sz w:val="18"/>
                <w:szCs w:val="18"/>
              </w:rPr>
              <w:t xml:space="preserve">AI examiner speaks questions aloud — creates a realistic, immersive viva simulation</w:t>
            </w:r>
          </w:p>
        </w:tc>
      </w:tr>
      <w:tr>
        <w:tc>
          <w:tcPr>
            <w:tcW w:type="dxa" w:w="2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bCs/>
                <w:color w:val="1A2F4E"/>
                <w:sz w:val="18"/>
                <w:szCs w:val="18"/>
              </w:rPr>
              <w:t xml:space="preserve">Azure Cognitive Services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Mock Viva + Argument Defender</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Sentiment and confidence analysis on student responses — AI adapts based on detected hesitation or stress</w:t>
            </w:r>
          </w:p>
        </w:tc>
      </w:tr>
    </w:tbl>
    <w:p>
      <w:pPr>
        <w:spacing w:before="120" w:after="0"/>
      </w:pPr>
    </w:p>
    <w:p>
      <w:pPr>
        <w:spacing w:before="200" w:after="80"/>
      </w:pPr>
      <w:r>
        <w:rPr>
          <w:rFonts w:ascii="Arial" w:cs="Arial" w:eastAsia="Arial" w:hAnsi="Arial"/>
          <w:b/>
          <w:bCs/>
          <w:color w:val="1A2F4E"/>
          <w:sz w:val="22"/>
          <w:szCs w:val="22"/>
        </w:rPr>
        <w:t xml:space="preserve">How the Coach Connects to the Rest of SuperviseAI</w:t>
      </w:r>
    </w:p>
    <w:p>
      <w:pPr>
        <w:spacing w:before="80" w:after="80" w:line="320"/>
      </w:pPr>
      <w:r>
        <w:rPr>
          <w:rFonts w:ascii="Arial" w:cs="Arial" w:eastAsia="Arial" w:hAnsi="Arial"/>
          <w:color w:val="222222"/>
          <w:sz w:val="22"/>
          <w:szCs w:val="22"/>
        </w:rPr>
        <w:t xml:space="preserve">The AI Coach does not operate in isolation — it is deeply integrated with the rest of the platform. The coach reads the same thesis draft that ThesisTrack analysed. It knows which sections are weak from the gap detector. It knows which citations are flagged. It knows what milestone the student is on. All of this context is fed into the coaching session, making the AI examiner genuinely informed rather than generic.</w:t>
      </w:r>
    </w:p>
    <w:p>
      <w:pPr>
        <w:spacing w:before="120" w:after="0"/>
      </w:pPr>
    </w:p>
    <w:p>
      <w:pPr>
        <w:spacing w:before="80" w:after="80" w:line="320"/>
      </w:pPr>
      <w:r>
        <w:rPr>
          <w:rFonts w:ascii="Arial" w:cs="Arial" w:eastAsia="Arial" w:hAnsi="Arial"/>
          <w:color w:val="222222"/>
          <w:sz w:val="22"/>
          <w:szCs w:val="22"/>
        </w:rPr>
        <w:t xml:space="preserve">Coaching session summaries are stored in Supabase and visible on the professor's dashboard. The professor can see how many mock viva sessions a student has done, what their viva readiness score is, and which arguments the AI identified as weak — giving the supervisor richer context without doing any extra work.</w:t>
      </w:r>
    </w:p>
    <w:p>
      <w:pPr>
        <w:spacing w:before="120" w:after="0"/>
      </w:pPr>
    </w:p>
    <w:p>
      <w:pPr>
        <w:pBdr>
          <w:bottom w:val="single" w:color="2471A3" w:sz="4" w:space="1"/>
        </w:pBdr>
        <w:spacing w:before="220" w:after="220"/>
      </w:pPr>
    </w:p>
    <w:p>
      <w:pPr>
        <w:pStyle w:val="Heading1"/>
        <w:spacing w:before="360" w:after="120"/>
      </w:pPr>
      <w:r>
        <w:rPr>
          <w:rFonts w:ascii="Arial" w:cs="Arial" w:eastAsia="Arial" w:hAnsi="Arial"/>
          <w:b/>
          <w:bCs/>
          <w:color w:val="1A2F4E"/>
          <w:sz w:val="36"/>
          <w:szCs w:val="36"/>
        </w:rPr>
        <w:t xml:space="preserve">Technical Implementation</w:t>
      </w:r>
    </w:p>
    <w:p>
      <w:pPr>
        <w:spacing w:before="80" w:after="0"/>
      </w:pPr>
    </w:p>
    <w:p>
      <w:pPr>
        <w:pStyle w:val="Heading2"/>
        <w:spacing w:before="260" w:after="100"/>
      </w:pPr>
      <w:r>
        <w:rPr>
          <w:rFonts w:ascii="Arial" w:cs="Arial" w:eastAsia="Arial" w:hAnsi="Arial"/>
          <w:b/>
          <w:bCs/>
          <w:color w:val="2471A3"/>
          <w:sz w:val="26"/>
          <w:szCs w:val="26"/>
        </w:rPr>
        <w:t xml:space="preserve">Tech Stack</w:t>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226"/>
      </w:tblGrid>
      <w:tr>
        <w:tc>
          <w:tcPr>
            <w:tcW w:type="dxa" w:w="2200"/>
            <w:tcBorders>
              <w:top w:val="single" w:color="CCCCCC" w:sz="1"/>
              <w:left w:val="single" w:color="CCCCCC" w:sz="1"/>
              <w:bottom w:val="single" w:color="CCCCCC" w:sz="1"/>
              <w:right w:val="single" w:color="CCCCCC" w:sz="1"/>
            </w:tcBorders>
            <w:shd w:fill="1A2F4E"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600"/>
            <w:tcBorders>
              <w:top w:val="single" w:color="CCCCCC" w:sz="1"/>
              <w:left w:val="single" w:color="CCCCCC" w:sz="1"/>
              <w:bottom w:val="single" w:color="CCCCCC" w:sz="1"/>
              <w:right w:val="single" w:color="CCCCCC" w:sz="1"/>
            </w:tcBorders>
            <w:shd w:fill="1A2F4E"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226"/>
            <w:tcBorders>
              <w:top w:val="single" w:color="CCCCCC" w:sz="1"/>
              <w:left w:val="single" w:color="CCCCCC" w:sz="1"/>
              <w:bottom w:val="single" w:color="CCCCCC" w:sz="1"/>
              <w:right w:val="single" w:color="CCCCCC" w:sz="1"/>
            </w:tcBorders>
            <w:shd w:fill="1A2F4E"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22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b/>
                <w:bCs/>
                <w:color w:val="1A2F4E"/>
                <w:sz w:val="18"/>
                <w:szCs w:val="18"/>
              </w:rPr>
              <w:t xml:space="preserve">Frontend / Mobile</w:t>
            </w:r>
          </w:p>
        </w:tc>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18"/>
                <w:szCs w:val="18"/>
              </w:rPr>
              <w:t xml:space="preserve">React.js (Vite)</w:t>
            </w:r>
          </w:p>
        </w:tc>
        <w:tc>
          <w:tcPr>
            <w:tcW w:type="dxa" w:w="4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44444"/>
                <w:sz w:val="18"/>
                <w:szCs w:val="18"/>
              </w:rPr>
              <w:t xml:space="preserve">Fast, responsive web app — works on desktop and mobile browsers</w:t>
            </w:r>
          </w:p>
        </w:tc>
      </w:tr>
      <w:tr>
        <w:tc>
          <w:tcPr>
            <w:tcW w:type="dxa" w:w="2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bCs/>
                <w:color w:val="1A2F4E"/>
                <w:sz w:val="18"/>
                <w:szCs w:val="18"/>
              </w:rPr>
              <w:t xml:space="preserve">Backend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Node.js + Express</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REST API, file processing, auth orchestration, AI pipeline</w:t>
            </w:r>
          </w:p>
        </w:tc>
      </w:tr>
      <w:tr>
        <w:tc>
          <w:tcPr>
            <w:tcW w:type="dxa" w:w="22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b/>
                <w:bCs/>
                <w:color w:val="1A2F4E"/>
                <w:sz w:val="18"/>
                <w:szCs w:val="18"/>
              </w:rPr>
              <w:t xml:space="preserve">AI — Thesis Analysis + Coach</w:t>
            </w:r>
          </w:p>
        </w:tc>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18"/>
                <w:szCs w:val="18"/>
              </w:rPr>
              <w:t xml:space="preserve">Azure OpenAI (GPT-4o)</w:t>
            </w:r>
          </w:p>
        </w:tc>
        <w:tc>
          <w:tcPr>
            <w:tcW w:type="dxa" w:w="4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44444"/>
                <w:sz w:val="18"/>
                <w:szCs w:val="18"/>
              </w:rPr>
              <w:t xml:space="preserve">ThesisTrack, all three coaching modes, citation format validation</w:t>
            </w:r>
          </w:p>
        </w:tc>
      </w:tr>
      <w:tr>
        <w:tc>
          <w:tcPr>
            <w:tcW w:type="dxa" w:w="2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bCs/>
                <w:color w:val="1A2F4E"/>
                <w:sz w:val="18"/>
                <w:szCs w:val="18"/>
              </w:rPr>
              <w:t xml:space="preserve">Voice Input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Azure Speech-to-Text</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Student speaks viva answers — converted to text for AI processing</w:t>
            </w:r>
          </w:p>
        </w:tc>
      </w:tr>
      <w:tr>
        <w:tc>
          <w:tcPr>
            <w:tcW w:type="dxa" w:w="22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b/>
                <w:bCs/>
                <w:color w:val="1A2F4E"/>
                <w:sz w:val="18"/>
                <w:szCs w:val="18"/>
              </w:rPr>
              <w:t xml:space="preserve">Voice Output</w:t>
            </w:r>
          </w:p>
        </w:tc>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18"/>
                <w:szCs w:val="18"/>
              </w:rPr>
              <w:t xml:space="preserve">Azure Text-to-Speech</w:t>
            </w:r>
          </w:p>
        </w:tc>
        <w:tc>
          <w:tcPr>
            <w:tcW w:type="dxa" w:w="4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44444"/>
                <w:sz w:val="18"/>
                <w:szCs w:val="18"/>
              </w:rPr>
              <w:t xml:space="preserve">AI examiner speaks questions aloud in Mock Viva mode</w:t>
            </w:r>
          </w:p>
        </w:tc>
      </w:tr>
      <w:tr>
        <w:tc>
          <w:tcPr>
            <w:tcW w:type="dxa" w:w="2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bCs/>
                <w:color w:val="1A2F4E"/>
                <w:sz w:val="18"/>
                <w:szCs w:val="18"/>
              </w:rPr>
              <w:t xml:space="preserve">Sentiment Analysis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Azure Cognitive Services</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Detects confidence and hesitation in student responses during coaching</w:t>
            </w:r>
          </w:p>
        </w:tc>
      </w:tr>
      <w:tr>
        <w:tc>
          <w:tcPr>
            <w:tcW w:type="dxa" w:w="22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b/>
                <w:bCs/>
                <w:color w:val="1A2F4E"/>
                <w:sz w:val="18"/>
                <w:szCs w:val="18"/>
              </w:rPr>
              <w:t xml:space="preserve">Plagiarism — Internet</w:t>
            </w:r>
          </w:p>
        </w:tc>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18"/>
                <w:szCs w:val="18"/>
              </w:rPr>
              <w:t xml:space="preserve">Copyleaks API (Node.js SDK)</w:t>
            </w:r>
          </w:p>
        </w:tc>
        <w:tc>
          <w:tcPr>
            <w:tcW w:type="dxa" w:w="4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44444"/>
                <w:sz w:val="18"/>
                <w:szCs w:val="18"/>
              </w:rPr>
              <w:t xml:space="preserve">60+ trillion web sources, 15,000+ academic journals scanned</w:t>
            </w:r>
          </w:p>
        </w:tc>
      </w:tr>
      <w:tr>
        <w:tc>
          <w:tcPr>
            <w:tcW w:type="dxa" w:w="2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bCs/>
                <w:color w:val="1A2F4E"/>
                <w:sz w:val="18"/>
                <w:szCs w:val="18"/>
              </w:rPr>
              <w:t xml:space="preserve">Plagiarism — Internal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Copyleaks Private Repo</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All student submissions stored and cross-checked within platform</w:t>
            </w:r>
          </w:p>
        </w:tc>
      </w:tr>
      <w:tr>
        <w:tc>
          <w:tcPr>
            <w:tcW w:type="dxa" w:w="22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b/>
                <w:bCs/>
                <w:color w:val="1A2F4E"/>
                <w:sz w:val="18"/>
                <w:szCs w:val="18"/>
              </w:rPr>
              <w:t xml:space="preserve">Citation Cross-Ref</w:t>
            </w:r>
          </w:p>
        </w:tc>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18"/>
                <w:szCs w:val="18"/>
              </w:rPr>
              <w:t xml:space="preserve">Custom Node.js logic</w:t>
            </w:r>
          </w:p>
        </w:tc>
        <w:tc>
          <w:tcPr>
            <w:tcW w:type="dxa" w:w="4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44444"/>
                <w:sz w:val="18"/>
                <w:szCs w:val="18"/>
              </w:rPr>
              <w:t xml:space="preserve">Regex-based extraction and comparison — no external API needed</w:t>
            </w:r>
          </w:p>
        </w:tc>
      </w:tr>
      <w:tr>
        <w:tc>
          <w:tcPr>
            <w:tcW w:type="dxa" w:w="2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bCs/>
                <w:color w:val="1A2F4E"/>
                <w:sz w:val="18"/>
                <w:szCs w:val="18"/>
              </w:rPr>
              <w:t xml:space="preserve">Source Verification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Semantic Scholar API</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200M+ academic papers, completely free, no API key required</w:t>
            </w:r>
          </w:p>
        </w:tc>
      </w:tr>
      <w:tr>
        <w:tc>
          <w:tcPr>
            <w:tcW w:type="dxa" w:w="22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b/>
                <w:bCs/>
                <w:color w:val="1A2F4E"/>
                <w:sz w:val="18"/>
                <w:szCs w:val="18"/>
              </w:rPr>
              <w:t xml:space="preserve">Diff Engine</w:t>
            </w:r>
          </w:p>
        </w:tc>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18"/>
                <w:szCs w:val="18"/>
              </w:rPr>
              <w:t xml:space="preserve">diff-match-patch</w:t>
            </w:r>
          </w:p>
        </w:tc>
        <w:tc>
          <w:tcPr>
            <w:tcW w:type="dxa" w:w="4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44444"/>
                <w:sz w:val="18"/>
                <w:szCs w:val="18"/>
              </w:rPr>
              <w:t xml:space="preserve">Fast text comparison between thesis draft versions</w:t>
            </w:r>
          </w:p>
        </w:tc>
      </w:tr>
      <w:tr>
        <w:tc>
          <w:tcPr>
            <w:tcW w:type="dxa" w:w="2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bCs/>
                <w:color w:val="1A2F4E"/>
                <w:sz w:val="18"/>
                <w:szCs w:val="18"/>
              </w:rPr>
              <w:t xml:space="preserve">File Parsing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pdf-parse + mammoth.js</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Extract raw text from PDF and DOCX uploads</w:t>
            </w:r>
          </w:p>
        </w:tc>
      </w:tr>
      <w:tr>
        <w:tc>
          <w:tcPr>
            <w:tcW w:type="dxa" w:w="22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b/>
                <w:bCs/>
                <w:color w:val="1A2F4E"/>
                <w:sz w:val="18"/>
                <w:szCs w:val="18"/>
              </w:rPr>
              <w:t xml:space="preserve">Database</w:t>
            </w:r>
          </w:p>
        </w:tc>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18"/>
                <w:szCs w:val="18"/>
              </w:rPr>
              <w:t xml:space="preserve">PostgreSQL (Supabase)</w:t>
            </w:r>
          </w:p>
        </w:tc>
        <w:tc>
          <w:tcPr>
            <w:tcW w:type="dxa" w:w="4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44444"/>
                <w:sz w:val="18"/>
                <w:szCs w:val="18"/>
              </w:rPr>
              <w:t xml:space="preserve">Users, submissions, milestones, analysis results, coaching sessions</w:t>
            </w:r>
          </w:p>
        </w:tc>
      </w:tr>
      <w:tr>
        <w:tc>
          <w:tcPr>
            <w:tcW w:type="dxa" w:w="2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bCs/>
                <w:color w:val="1A2F4E"/>
                <w:sz w:val="18"/>
                <w:szCs w:val="18"/>
              </w:rPr>
              <w:t xml:space="preserve">File Storage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Supabase Storage</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Thesis draft files stored per version per student</w:t>
            </w:r>
          </w:p>
        </w:tc>
      </w:tr>
      <w:tr>
        <w:tc>
          <w:tcPr>
            <w:tcW w:type="dxa" w:w="22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b/>
                <w:bCs/>
                <w:color w:val="1A2F4E"/>
                <w:sz w:val="18"/>
                <w:szCs w:val="18"/>
              </w:rPr>
              <w:t xml:space="preserve">Auth</w:t>
            </w:r>
          </w:p>
        </w:tc>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18"/>
                <w:szCs w:val="18"/>
              </w:rPr>
              <w:t xml:space="preserve">Supabase Auth</w:t>
            </w:r>
          </w:p>
        </w:tc>
        <w:tc>
          <w:tcPr>
            <w:tcW w:type="dxa" w:w="4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44444"/>
                <w:sz w:val="18"/>
                <w:szCs w:val="18"/>
              </w:rPr>
              <w:t xml:space="preserve">Professor and student roles with JWT-based session management</w:t>
            </w:r>
          </w:p>
        </w:tc>
      </w:tr>
      <w:tr>
        <w:tc>
          <w:tcPr>
            <w:tcW w:type="dxa" w:w="2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bCs/>
                <w:color w:val="1A2F4E"/>
                <w:sz w:val="18"/>
                <w:szCs w:val="18"/>
              </w:rPr>
              <w:t xml:space="preserve">Push Notifications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Web Push Notifications (Firebase FCM)</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Deadline reminders and feedback alerts for students</w:t>
            </w:r>
          </w:p>
        </w:tc>
      </w:tr>
      <w:tr>
        <w:tc>
          <w:tcPr>
            <w:tcW w:type="dxa" w:w="22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b/>
                <w:bCs/>
                <w:color w:val="1A2F4E"/>
                <w:sz w:val="18"/>
                <w:szCs w:val="18"/>
              </w:rPr>
              <w:t xml:space="preserve">Deployment</w:t>
            </w:r>
          </w:p>
        </w:tc>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18"/>
                <w:szCs w:val="18"/>
              </w:rPr>
              <w:t xml:space="preserve">Vercel (frontend) + Railway (backend)</w:t>
            </w:r>
          </w:p>
        </w:tc>
        <w:tc>
          <w:tcPr>
            <w:tcW w:type="dxa" w:w="4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44444"/>
                <w:sz w:val="18"/>
                <w:szCs w:val="18"/>
              </w:rPr>
              <w:t xml:space="preserve">One-command deploy, free tier sufficient for hackathon demo</w:t>
            </w:r>
          </w:p>
        </w:tc>
      </w:tr>
    </w:tbl>
    <w:p>
      <w:pPr>
        <w:spacing w:before="200" w:after="0"/>
      </w:pPr>
    </w:p>
    <w:p>
      <w:pPr>
        <w:pStyle w:val="Heading2"/>
        <w:spacing w:before="260" w:after="100"/>
      </w:pPr>
      <w:r>
        <w:rPr>
          <w:rFonts w:ascii="Arial" w:cs="Arial" w:eastAsia="Arial" w:hAnsi="Arial"/>
          <w:b/>
          <w:bCs/>
          <w:color w:val="2471A3"/>
          <w:sz w:val="26"/>
          <w:szCs w:val="26"/>
        </w:rPr>
        <w:t xml:space="preserve">How the Three Analysis Layers Share One Pipeline</w:t>
      </w:r>
    </w:p>
    <w:p>
      <w:pPr>
        <w:spacing w:before="80" w:after="0"/>
      </w:pPr>
    </w:p>
    <w:p>
      <w:pPr>
        <w:spacing w:before="80" w:after="80" w:line="320"/>
      </w:pPr>
      <w:r>
        <w:rPr>
          <w:rFonts w:ascii="Arial" w:cs="Arial" w:eastAsia="Arial" w:hAnsi="Arial"/>
          <w:color w:val="222222"/>
          <w:sz w:val="22"/>
          <w:szCs w:val="22"/>
        </w:rPr>
        <w:t xml:space="preserve">A key architectural decision in SuperviseAI is that ThesisTrack, PlagiarismCheck, and the Citation Validator all operate on the same parsed text from a single file upload. The student uploads once — the backend extracts the text once — and then fires all three analysis jobs in parallel. Results are stored together in Supabase and displayed on a single dashboard card.</w:t>
      </w:r>
    </w:p>
    <w:p>
      <w:pPr>
        <w:spacing w:before="120" w:after="0"/>
      </w:pPr>
    </w:p>
    <w:p>
      <w:pPr>
        <w:spacing w:before="80" w:after="80" w:line="320"/>
      </w:pPr>
      <w:r>
        <w:rPr>
          <w:rFonts w:ascii="Arial" w:cs="Arial" w:eastAsia="Arial" w:hAnsi="Arial"/>
          <w:color w:val="222222"/>
          <w:sz w:val="22"/>
          <w:szCs w:val="22"/>
        </w:rPr>
        <w:t xml:space="preserve">This means there is no redundant processing, no repeated file uploads, and no additional waiting time for the user. All three reports arrive together.</w:t>
      </w:r>
    </w:p>
    <w:p>
      <w:pPr>
        <w:pBdr>
          <w:bottom w:val="single" w:color="2471A3" w:sz="4" w:space="1"/>
        </w:pBdr>
        <w:spacing w:before="220" w:after="220"/>
      </w:pPr>
    </w:p>
    <w:p>
      <w:pPr>
        <w:pStyle w:val="Heading1"/>
        <w:spacing w:before="360" w:after="120"/>
      </w:pPr>
      <w:r>
        <w:rPr>
          <w:rFonts w:ascii="Arial" w:cs="Arial" w:eastAsia="Arial" w:hAnsi="Arial"/>
          <w:b/>
          <w:bCs/>
          <w:color w:val="1A2F4E"/>
          <w:sz w:val="36"/>
          <w:szCs w:val="36"/>
        </w:rPr>
        <w:t xml:space="preserve">Why SuperviseAI Wins</w:t>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A2F4E" w:val="clear"/>
            <w:tcMar>
              <w:top w:type="dxa" w:w="100"/>
              <w:left w:type="dxa" w:w="140"/>
              <w:bottom w:type="dxa" w:w="100"/>
              <w:right w:type="dxa" w:w="140"/>
            </w:tcMar>
          </w:tcPr>
          <w:p>
            <w:r>
              <w:rPr>
                <w:rFonts w:ascii="Arial" w:cs="Arial" w:eastAsia="Arial" w:hAnsi="Arial"/>
                <w:b/>
                <w:bCs/>
                <w:color w:val="FFFFFF"/>
                <w:sz w:val="20"/>
                <w:szCs w:val="20"/>
              </w:rPr>
              <w:t xml:space="preserve">Strength</w:t>
            </w:r>
          </w:p>
        </w:tc>
        <w:tc>
          <w:tcPr>
            <w:tcW w:type="dxa" w:w="6226"/>
            <w:tcBorders>
              <w:top w:val="single" w:color="CCCCCC" w:sz="1"/>
              <w:left w:val="single" w:color="CCCCCC" w:sz="1"/>
              <w:bottom w:val="single" w:color="CCCCCC" w:sz="1"/>
              <w:right w:val="single" w:color="CCCCCC" w:sz="1"/>
            </w:tcBorders>
            <w:shd w:fill="1A2F4E" w:val="clear"/>
            <w:tcMar>
              <w:top w:type="dxa" w:w="100"/>
              <w:left w:type="dxa" w:w="140"/>
              <w:bottom w:type="dxa" w:w="100"/>
              <w:right w:type="dxa" w:w="140"/>
            </w:tcMar>
          </w:tcPr>
          <w:p>
            <w:r>
              <w:rPr>
                <w:rFonts w:ascii="Arial" w:cs="Arial" w:eastAsia="Arial" w:hAnsi="Arial"/>
                <w:b/>
                <w:bCs/>
                <w:color w:val="FFFFFF"/>
                <w:sz w:val="20"/>
                <w:szCs w:val="20"/>
              </w:rPr>
              <w:t xml:space="preserve">Why It Matters</w:t>
            </w:r>
          </w:p>
        </w:tc>
      </w:tr>
      <w:tr>
        <w:tc>
          <w:tcPr>
            <w:tcW w:type="dxa" w:w="2800"/>
            <w:tcBorders>
              <w:top w:val="single" w:color="CCCCCC" w:sz="1"/>
              <w:left w:val="single" w:color="CCCCCC" w:sz="1"/>
              <w:bottom w:val="single" w:color="CCCCCC" w:sz="1"/>
              <w:right w:val="single" w:color="CCCCCC" w:sz="1"/>
            </w:tcBorders>
            <w:shd w:fill="D4E6F1" w:val="clear"/>
            <w:tcMar>
              <w:top w:type="dxa" w:w="100"/>
              <w:left w:type="dxa" w:w="140"/>
              <w:bottom w:type="dxa" w:w="100"/>
              <w:right w:type="dxa" w:w="140"/>
            </w:tcMar>
          </w:tcPr>
          <w:p>
            <w:r>
              <w:rPr>
                <w:rFonts w:ascii="Arial" w:cs="Arial" w:eastAsia="Arial" w:hAnsi="Arial"/>
                <w:b/>
                <w:bCs/>
                <w:color w:val="1A2F4E"/>
                <w:sz w:val="20"/>
                <w:szCs w:val="20"/>
              </w:rPr>
              <w:t xml:space="preserve">Directly answers the brief</w:t>
            </w:r>
          </w:p>
        </w:tc>
        <w:tc>
          <w:tcPr>
            <w:tcW w:type="dxa" w:w="6226"/>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color w:val="333333"/>
                <w:sz w:val="20"/>
                <w:szCs w:val="20"/>
              </w:rPr>
              <w:t xml:space="preserve">The challenge asks for an AI coach that debates students and provides structured feedback. The Mock Viva and Argument Defender modes do exactly that — applied specifically to thesis writing.</w:t>
            </w:r>
          </w:p>
        </w:tc>
      </w:tr>
      <w:tr>
        <w:tc>
          <w:tcPr>
            <w:tcW w:type="dxa" w:w="28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r>
              <w:rPr>
                <w:rFonts w:ascii="Arial" w:cs="Arial" w:eastAsia="Arial" w:hAnsi="Arial"/>
                <w:b/>
                <w:bCs/>
                <w:color w:val="1A2F4E"/>
                <w:sz w:val="20"/>
                <w:szCs w:val="20"/>
              </w:rPr>
              <w:t xml:space="preserve">Azure services used meaningfully</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Azure Speech, Text-to-Speech, and Cognitive Services are not bolted on — they are core to the Mock Viva experience. The sentiment analysis layer directly hits the bonus points criteria.</w:t>
            </w:r>
          </w:p>
        </w:tc>
      </w:tr>
      <w:tr>
        <w:tc>
          <w:tcPr>
            <w:tcW w:type="dxa" w:w="2800"/>
            <w:tcBorders>
              <w:top w:val="single" w:color="CCCCCC" w:sz="1"/>
              <w:left w:val="single" w:color="CCCCCC" w:sz="1"/>
              <w:bottom w:val="single" w:color="CCCCCC" w:sz="1"/>
              <w:right w:val="single" w:color="CCCCCC" w:sz="1"/>
            </w:tcBorders>
            <w:shd w:fill="D4E6F1" w:val="clear"/>
            <w:tcMar>
              <w:top w:type="dxa" w:w="100"/>
              <w:left w:type="dxa" w:w="140"/>
              <w:bottom w:type="dxa" w:w="100"/>
              <w:right w:type="dxa" w:w="140"/>
            </w:tcMar>
          </w:tcPr>
          <w:p>
            <w:r>
              <w:rPr>
                <w:rFonts w:ascii="Arial" w:cs="Arial" w:eastAsia="Arial" w:hAnsi="Arial"/>
                <w:b/>
                <w:bCs/>
                <w:color w:val="1A2F4E"/>
                <w:sz w:val="20"/>
                <w:szCs w:val="20"/>
              </w:rPr>
              <w:t xml:space="preserve">Two-sided platform</w:t>
            </w:r>
          </w:p>
        </w:tc>
        <w:tc>
          <w:tcPr>
            <w:tcW w:type="dxa" w:w="6226"/>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color w:val="333333"/>
                <w:sz w:val="20"/>
                <w:szCs w:val="20"/>
              </w:rPr>
              <w:t xml:space="preserve">Both professors and students are users. Professors get a supervision dashboard. Students get an AI coach. This doubles the value and makes the product significantly harder to replicate.</w:t>
            </w:r>
          </w:p>
        </w:tc>
      </w:tr>
      <w:tr>
        <w:tc>
          <w:tcPr>
            <w:tcW w:type="dxa" w:w="28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r>
              <w:rPr>
                <w:rFonts w:ascii="Arial" w:cs="Arial" w:eastAsia="Arial" w:hAnsi="Arial"/>
                <w:b/>
                <w:bCs/>
                <w:color w:val="1A2F4E"/>
                <w:sz w:val="20"/>
                <w:szCs w:val="20"/>
              </w:rPr>
              <w:t xml:space="preserve">Real-time AI feedback</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Coaching sessions provide live, adaptive feedback — not a static report. The AI escalates or redirects based on each student response. This directly hits the bonus judging criteria.</w:t>
            </w:r>
          </w:p>
        </w:tc>
      </w:tr>
      <w:tr>
        <w:tc>
          <w:tcPr>
            <w:tcW w:type="dxa" w:w="2800"/>
            <w:tcBorders>
              <w:top w:val="single" w:color="CCCCCC" w:sz="1"/>
              <w:left w:val="single" w:color="CCCCCC" w:sz="1"/>
              <w:bottom w:val="single" w:color="CCCCCC" w:sz="1"/>
              <w:right w:val="single" w:color="CCCCCC" w:sz="1"/>
            </w:tcBorders>
            <w:shd w:fill="D4E6F1" w:val="clear"/>
            <w:tcMar>
              <w:top w:type="dxa" w:w="100"/>
              <w:left w:type="dxa" w:w="140"/>
              <w:bottom w:type="dxa" w:w="100"/>
              <w:right w:type="dxa" w:w="140"/>
            </w:tcMar>
          </w:tcPr>
          <w:p>
            <w:r>
              <w:rPr>
                <w:rFonts w:ascii="Arial" w:cs="Arial" w:eastAsia="Arial" w:hAnsi="Arial"/>
                <w:b/>
                <w:bCs/>
                <w:color w:val="1A2F4E"/>
                <w:sz w:val="20"/>
                <w:szCs w:val="20"/>
              </w:rPr>
              <w:t xml:space="preserve">Diverse learner support</w:t>
            </w:r>
          </w:p>
        </w:tc>
        <w:tc>
          <w:tcPr>
            <w:tcW w:type="dxa" w:w="6226"/>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color w:val="333333"/>
                <w:sz w:val="20"/>
                <w:szCs w:val="20"/>
              </w:rPr>
              <w:t xml:space="preserve">The Socratic Coach adapts question depth to the student's responses — simpler for struggling students, deeper for strong ones. This directly hits the inclusive design bonus criteria.</w:t>
            </w:r>
          </w:p>
        </w:tc>
      </w:tr>
      <w:tr>
        <w:tc>
          <w:tcPr>
            <w:tcW w:type="dxa" w:w="28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r>
              <w:rPr>
                <w:rFonts w:ascii="Arial" w:cs="Arial" w:eastAsia="Arial" w:hAnsi="Arial"/>
                <w:b/>
                <w:bCs/>
                <w:color w:val="1A2F4E"/>
                <w:sz w:val="20"/>
                <w:szCs w:val="20"/>
              </w:rPr>
              <w:t xml:space="preserve">No fake APIs — real integrations</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Copyleaks for plagiarism, Semantic Scholar for source verification, Azure for voice and sentiment. Every service is a real, working integration that can be demoed live.</w:t>
            </w:r>
          </w:p>
        </w:tc>
      </w:tr>
      <w:tr>
        <w:tc>
          <w:tcPr>
            <w:tcW w:type="dxa" w:w="2800"/>
            <w:tcBorders>
              <w:top w:val="single" w:color="CCCCCC" w:sz="1"/>
              <w:left w:val="single" w:color="CCCCCC" w:sz="1"/>
              <w:bottom w:val="single" w:color="CCCCCC" w:sz="1"/>
              <w:right w:val="single" w:color="CCCCCC" w:sz="1"/>
            </w:tcBorders>
            <w:shd w:fill="D4E6F1" w:val="clear"/>
            <w:tcMar>
              <w:top w:type="dxa" w:w="100"/>
              <w:left w:type="dxa" w:w="140"/>
              <w:bottom w:type="dxa" w:w="100"/>
              <w:right w:type="dxa" w:w="140"/>
            </w:tcMar>
          </w:tcPr>
          <w:p>
            <w:r>
              <w:rPr>
                <w:rFonts w:ascii="Arial" w:cs="Arial" w:eastAsia="Arial" w:hAnsi="Arial"/>
                <w:b/>
                <w:bCs/>
                <w:color w:val="1A2F4E"/>
                <w:sz w:val="20"/>
                <w:szCs w:val="20"/>
              </w:rPr>
              <w:t xml:space="preserve">Demo-friendly</w:t>
            </w:r>
          </w:p>
        </w:tc>
        <w:tc>
          <w:tcPr>
            <w:tcW w:type="dxa" w:w="6226"/>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color w:val="333333"/>
                <w:sz w:val="20"/>
                <w:szCs w:val="20"/>
              </w:rPr>
              <w:t xml:space="preserve">Upload a draft, show ThesisTrack. Start a Mock Viva, speak an answer, hear the AI respond. The 2-minute video writes itself and has multiple jaw-dropping moments.</w:t>
            </w:r>
          </w:p>
        </w:tc>
      </w:tr>
      <w:tr>
        <w:tc>
          <w:tcPr>
            <w:tcW w:type="dxa" w:w="28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r>
              <w:rPr>
                <w:rFonts w:ascii="Arial" w:cs="Arial" w:eastAsia="Arial" w:hAnsi="Arial"/>
                <w:b/>
                <w:bCs/>
                <w:color w:val="1A2F4E"/>
                <w:sz w:val="20"/>
                <w:szCs w:val="20"/>
              </w:rPr>
              <w:t xml:space="preserve">Jury relevance</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The jury is from Gabor Denes University. They supervise theses and examine students. Every single feature in SuperviseAI solves a problem they experience personally.</w:t>
            </w:r>
          </w:p>
        </w:tc>
      </w:tr>
    </w:tbl>
    <w:p>
      <w:pPr>
        <w:pBdr>
          <w:bottom w:val="single" w:color="2471A3" w:sz="4" w:space="1"/>
        </w:pBdr>
        <w:spacing w:before="220" w:after="220"/>
      </w:pPr>
    </w:p>
    <w:p>
      <w:pPr>
        <w:pStyle w:val="Heading1"/>
        <w:spacing w:before="360" w:after="120"/>
      </w:pPr>
      <w:r>
        <w:rPr>
          <w:rFonts w:ascii="Arial" w:cs="Arial" w:eastAsia="Arial" w:hAnsi="Arial"/>
          <w:b/>
          <w:bCs/>
          <w:color w:val="1A2F4E"/>
          <w:sz w:val="36"/>
          <w:szCs w:val="36"/>
        </w:rPr>
        <w:t xml:space="preserve">Team &amp; Task Split</w:t>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26"/>
      </w:tblGrid>
      <w:tr>
        <w:tc>
          <w:tcPr>
            <w:tcW w:type="dxa" w:w="2200"/>
            <w:tcBorders>
              <w:top w:val="single" w:color="CCCCCC" w:sz="1"/>
              <w:left w:val="single" w:color="CCCCCC" w:sz="1"/>
              <w:bottom w:val="single" w:color="CCCCCC" w:sz="1"/>
              <w:right w:val="single" w:color="CCCCCC" w:sz="1"/>
            </w:tcBorders>
            <w:shd w:fill="1A2F4E" w:val="clear"/>
            <w:tcMar>
              <w:top w:type="dxa" w:w="80"/>
              <w:left w:type="dxa" w:w="120"/>
              <w:bottom w:type="dxa" w:w="80"/>
              <w:right w:type="dxa" w:w="120"/>
            </w:tcMar>
          </w:tcPr>
          <w:p>
            <w:r>
              <w:rPr>
                <w:rFonts w:ascii="Arial" w:cs="Arial" w:eastAsia="Arial" w:hAnsi="Arial"/>
                <w:b/>
                <w:bCs/>
                <w:color w:val="FFFFFF"/>
                <w:sz w:val="20"/>
                <w:szCs w:val="20"/>
              </w:rPr>
              <w:t xml:space="preserve">Member</w:t>
            </w:r>
          </w:p>
        </w:tc>
        <w:tc>
          <w:tcPr>
            <w:tcW w:type="dxa" w:w="1800"/>
            <w:tcBorders>
              <w:top w:val="single" w:color="CCCCCC" w:sz="1"/>
              <w:left w:val="single" w:color="CCCCCC" w:sz="1"/>
              <w:bottom w:val="single" w:color="CCCCCC" w:sz="1"/>
              <w:right w:val="single" w:color="CCCCCC" w:sz="1"/>
            </w:tcBorders>
            <w:shd w:fill="1A2F4E"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5026"/>
            <w:tcBorders>
              <w:top w:val="single" w:color="CCCCCC" w:sz="1"/>
              <w:left w:val="single" w:color="CCCCCC" w:sz="1"/>
              <w:bottom w:val="single" w:color="CCCCCC" w:sz="1"/>
              <w:right w:val="single" w:color="CCCCCC" w:sz="1"/>
            </w:tcBorders>
            <w:shd w:fill="1A2F4E" w:val="clear"/>
            <w:tcMar>
              <w:top w:type="dxa" w:w="80"/>
              <w:left w:type="dxa" w:w="120"/>
              <w:bottom w:type="dxa" w:w="80"/>
              <w:right w:type="dxa" w:w="120"/>
            </w:tcMar>
          </w:tcPr>
          <w:p>
            <w:r>
              <w:rPr>
                <w:rFonts w:ascii="Arial" w:cs="Arial" w:eastAsia="Arial" w:hAnsi="Arial"/>
                <w:b/>
                <w:bCs/>
                <w:color w:val="FFFFFF"/>
                <w:sz w:val="20"/>
                <w:szCs w:val="20"/>
              </w:rPr>
              <w:t xml:space="preserve">Owns</w:t>
            </w:r>
          </w:p>
        </w:tc>
      </w:tr>
      <w:tr>
        <w:tc>
          <w:tcPr>
            <w:tcW w:type="dxa" w:w="22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b/>
                <w:bCs/>
                <w:color w:val="1A2F4E"/>
                <w:sz w:val="18"/>
                <w:szCs w:val="18"/>
              </w:rPr>
              <w:t xml:space="preserve">Junior Full-Stack Dev</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18"/>
                <w:szCs w:val="18"/>
              </w:rPr>
              <w:t xml:space="preserve">Frontend</w:t>
            </w:r>
          </w:p>
        </w:tc>
        <w:tc>
          <w:tcPr>
            <w:tcW w:type="dxa" w:w="50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44444"/>
                <w:sz w:val="18"/>
                <w:szCs w:val="18"/>
              </w:rPr>
              <w:t xml:space="preserve">React Web UI — student dashboard, coaching session interface, voice UI for Mock Viva, milestone tracker, diff viewer</w:t>
            </w:r>
          </w:p>
        </w:tc>
      </w:tr>
      <w:tr>
        <w:tc>
          <w:tcPr>
            <w:tcW w:type="dxa" w:w="2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bCs/>
                <w:color w:val="1A2F4E"/>
                <w:sz w:val="18"/>
                <w:szCs w:val="18"/>
              </w:rPr>
              <w:t xml:space="preserve">Senior Backend Dev</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Backend Lead</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Node/Express API, Supabase setup, file parsing, Copyleaks SDK, Azure Speech integration, auth, Railway deployment</w:t>
            </w:r>
          </w:p>
        </w:tc>
      </w:tr>
      <w:tr>
        <w:tc>
          <w:tcPr>
            <w:tcW w:type="dxa" w:w="22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b/>
                <w:bCs/>
                <w:color w:val="1A2F4E"/>
                <w:sz w:val="18"/>
                <w:szCs w:val="18"/>
              </w:rPr>
              <w:t xml:space="preserve">Data Science Dev</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18"/>
                <w:szCs w:val="18"/>
              </w:rPr>
              <w:t xml:space="preserve">AI &amp; Analysis</w:t>
            </w:r>
          </w:p>
        </w:tc>
        <w:tc>
          <w:tcPr>
            <w:tcW w:type="dxa" w:w="50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44444"/>
                <w:sz w:val="18"/>
                <w:szCs w:val="18"/>
              </w:rPr>
              <w:t xml:space="preserve">Azure OpenAI prompts for all coach modes, sentiment analysis integration, ThesisTrack logic, Semantic Scholar, diff engine</w:t>
            </w:r>
          </w:p>
        </w:tc>
      </w:tr>
      <w:tr>
        <w:tc>
          <w:tcPr>
            <w:tcW w:type="dxa" w:w="2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bCs/>
                <w:color w:val="1A2F4E"/>
                <w:sz w:val="18"/>
                <w:szCs w:val="18"/>
              </w:rPr>
              <w:t xml:space="preserve">Team Lead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Product &amp; Demo</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Architecture, GitHub repo, presentation slides, demo video, pitch rehearsal, Azure credits setup</w:t>
            </w:r>
          </w:p>
        </w:tc>
      </w:tr>
    </w:tbl>
    <w:p>
      <w:pPr>
        <w:spacing w:before="300" w:after="0"/>
      </w:pPr>
    </w:p>
    <w:p>
      <w:pPr>
        <w:spacing w:before="200" w:after="0"/>
        <w:jc w:val="center"/>
      </w:pPr>
      <w:r>
        <w:rPr>
          <w:rFonts w:ascii="Arial" w:cs="Arial" w:eastAsia="Arial" w:hAnsi="Arial"/>
          <w:i/>
          <w:iCs/>
          <w:color w:val="AAAAAA"/>
          <w:sz w:val="18"/>
          <w:szCs w:val="18"/>
        </w:rPr>
        <w:t xml:space="preserve">SuperviseAI — Built at GDE MIT Hackathon, February 2026, Budapest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2F4E"/>
      <w:sz w:val="36"/>
      <w:szCs w:val="36"/>
    </w:rPr>
  </w:style>
  <w:style w:type="paragraph" w:styleId="Heading2">
    <w:name w:val="Heading 2"/>
    <w:basedOn w:val="Normal"/>
    <w:next w:val="Normal"/>
    <w:qFormat/>
    <w:pPr>
      <w:spacing w:before="260" w:after="100"/>
      <w:outlineLvl w:val="1"/>
    </w:pPr>
    <w:rPr>
      <w:rFonts w:ascii="Arial" w:cs="Arial" w:eastAsia="Arial" w:hAnsi="Arial"/>
      <w:b/>
      <w:bCs/>
      <w:color w:val="2471A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2026-02-25T11:11:07.371Z</dcterms:created>
  <dcterms:modified xsi:type="dcterms:W3CDTF">2026-02-25T11:11:07.371Z</dcterms:modified>
</cp:coreProperties>
</file>

<file path=docProps/custom.xml><?xml version="1.0" encoding="utf-8"?>
<Properties xmlns="http://schemas.openxmlformats.org/officeDocument/2006/custom-properties" xmlns:vt="http://schemas.openxmlformats.org/officeDocument/2006/docPropsVTypes"/>
</file>