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4408" w:rsidRDefault="005F7CF7">
      <w:pPr>
        <w:jc w:val="center"/>
      </w:pPr>
      <w:r>
        <w:rPr>
          <w:rFonts w:ascii="Arial" w:eastAsia="Arial" w:hAnsi="Arial" w:cs="Arial"/>
          <w:b/>
          <w:sz w:val="44"/>
          <w:szCs w:val="44"/>
        </w:rPr>
        <w:t>Garantia da Qualidade (GQA)</w:t>
      </w:r>
    </w:p>
    <w:p w:rsidR="00F94408" w:rsidRDefault="00F94408">
      <w:pPr>
        <w:jc w:val="center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>Assegurar que os produtos de trabalho e a execução dos processos estejam em conformidade com os planos e recursos predefinidos.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 xml:space="preserve">As atividades de Garantia da Qualidade permitem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visibilidade do trabalho para todos da organização por meio de uma visão independente em relação ao processo e aos artefatos gerados por ele. A Garantia da Qualidade é um apoio para o gerente, servindo como seus “olhos e ouvidos”. Também agrega valor à equipe do trabalho, ajudando-a a preparar e rever procedimentos, planos e padrões, desde o início do trabalho até o seu encerramento.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Responsáveis pelas atividades de Garantia da Qualidade devem executar seu trabalho com independência, imparcialidade e autoridade.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Todo registro feito durante o processo deverá ser revisado pelo Gerente de Qualidade.</w:t>
      </w: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tbl>
      <w:tblPr>
        <w:tblStyle w:val="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(GQA)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atividades serão exercidas por pessoas que tenham graduação em T.I (Tecnologia da Informação) e experiência na área de gerência.</w:t>
            </w:r>
          </w:p>
        </w:tc>
      </w:tr>
      <w:tr w:rsidR="00F94408">
        <w:trPr>
          <w:trHeight w:val="15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uma ampla visão de desenvolver novos métodos e processo no controle da qualidade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conhecimento em desenvolver procedimentos e estratégias para identificar pontos críticos e realizar correção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Experiência em uso de ferramentas que ajudaram a obter um melhor controle na qualidade do software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Liderar a equipe de Garantia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procedimentos para gerência de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Mapear processos e procedimentos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fluxogramas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 (AQA)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Pr="001725B4" w:rsidRDefault="005F7CF7" w:rsidP="005F7CF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F7CF7">
              <w:rPr>
                <w:rFonts w:ascii="Arial" w:eastAsia="Arial" w:hAnsi="Arial" w:cs="Arial"/>
                <w:sz w:val="22"/>
                <w:szCs w:val="22"/>
              </w:rPr>
              <w:t>Essas ocupações são exercidas por pessoas com escolaridade de ensino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5F7CF7">
              <w:rPr>
                <w:rFonts w:ascii="Arial" w:eastAsia="Arial" w:hAnsi="Arial" w:cs="Arial"/>
                <w:sz w:val="22"/>
                <w:szCs w:val="22"/>
              </w:rPr>
              <w:t>superior na área de tecnolo</w:t>
            </w:r>
            <w:r>
              <w:rPr>
                <w:rFonts w:ascii="Arial" w:eastAsia="Arial" w:hAnsi="Arial" w:cs="Arial"/>
                <w:sz w:val="22"/>
                <w:szCs w:val="22"/>
              </w:rPr>
              <w:t>gia da informação ou similares.</w:t>
            </w:r>
          </w:p>
        </w:tc>
      </w:tr>
      <w:tr w:rsidR="00F94408">
        <w:trPr>
          <w:trHeight w:val="9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possíveis falhas dos desenvolvedores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Compreender e apresentar as funcionalidades de um software 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Reconhecer se o software está apresentando qualidade de acordo com os requisitos estabelecidos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Avaliar a qualidade do produto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não-conformidades que foram implementadas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estratégias para novas maneiras de correção de não-conformidades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 que há não-conformidades para serem corrigidas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Testar correção de erros encontrados 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registro de correção de todos os erros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 (GPR)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Para atuar como a Analista de Qualidade é necessário ter formação em Ciências da Computação, Engenharia de Software ou áreas afins, além de saber lidar com pessoas.</w:t>
            </w:r>
          </w:p>
        </w:tc>
      </w:tr>
      <w:tr w:rsidR="00F94408">
        <w:trPr>
          <w:trHeight w:val="82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Possuir qualidades de liderança e gerência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experiência em resolver problemas e construir soluções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Restrições (cronograma, custo, qualidade,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Estar a par de tudo para assegurar que todos seguem os processos e procedimentos estabelecidos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Elaboração de propostas para resolver problemas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Planejar e programar projetos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Levantar um custo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Monitorar e revisar tarefas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relatórios para se obter um feedback de todas as funcionalidades que estão sendo desenvolvidas ou prontas até o momento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tbl>
      <w:tblPr>
        <w:tblStyle w:val="a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correção de não-conformidades (RNC)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a efetividade da correção esteja correta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de efetividade de correção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Gerente de Projeto dar uma resposta para efetivar a correção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PCE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esperada) - esperado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PCC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concluída) - concluído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RNC =   PCC - concluído (-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menos) PCE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RNC são armazenados na LC - Lista de Correções e o RNC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RNC &lt;= 30%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&lt;= 50%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RNC nível BAIXO</w:t>
            </w:r>
          </w:p>
        </w:tc>
      </w:tr>
    </w:tbl>
    <w:p w:rsidR="00F94408" w:rsidRDefault="00F94408">
      <w:pPr>
        <w:jc w:val="both"/>
      </w:pPr>
    </w:p>
    <w:tbl>
      <w:tblPr>
        <w:tblStyle w:val="a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Avaliação da Qualidade (RAQ)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Garantir que todas as </w:t>
            </w:r>
            <w:r w:rsidR="005F7CF7">
              <w:rPr>
                <w:rFonts w:ascii="Arial" w:eastAsia="Arial" w:hAnsi="Arial" w:cs="Arial"/>
                <w:sz w:val="22"/>
                <w:szCs w:val="22"/>
              </w:rPr>
              <w:t xml:space="preserve">buscas por não-conformidades </w:t>
            </w:r>
            <w:r>
              <w:rPr>
                <w:rFonts w:ascii="Arial" w:eastAsia="Arial" w:hAnsi="Arial" w:cs="Arial"/>
                <w:sz w:val="22"/>
                <w:szCs w:val="22"/>
              </w:rPr>
              <w:t>foram encontradas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Avaliação da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o Gerente de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Qualidade definir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os critérios a serem utilizados para Avaliação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esperada(BNCES) - esperada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encontrada(BNCE) - encontrada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=   BNCE - concluído / BNCES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RAQ são armazenados na LNCE - Lista de não-conformidades não encontradas e o RAQ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RAQ &lt;= 20%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&lt;= 40%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RAQ nível BAIXO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Definir atividades a serem avaliadas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1725B4" w:rsidRDefault="001725B4" w:rsidP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1725B4" w:rsidTr="00207744">
        <w:trPr>
          <w:trHeight w:val="34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1725B4" w:rsidRPr="001725B4" w:rsidRDefault="001725B4" w:rsidP="001725B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Quais atividades devem ser avaliadas</w:t>
            </w:r>
          </w:p>
          <w:p w:rsidR="001725B4" w:rsidRDefault="001725B4" w:rsidP="001725B4">
            <w:pPr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O nível de prioridade de cada atividade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Durante o GQ1</w:t>
            </w:r>
            <w:bookmarkStart w:id="0" w:name="_GoBack"/>
            <w:bookmarkEnd w:id="0"/>
          </w:p>
        </w:tc>
      </w:tr>
    </w:tbl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Escalonamento da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As não-conformidades e problemas não foram resolvidos com a ação corretiva, o escalonamento para superiores é necessário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Ação corretiva não foi cumprida</w:t>
            </w:r>
          </w:p>
        </w:tc>
      </w:tr>
    </w:tbl>
    <w:p w:rsidR="00F94408" w:rsidRDefault="00F94408">
      <w:pPr>
        <w:jc w:val="both"/>
      </w:pPr>
    </w:p>
    <w:tbl>
      <w:tblPr>
        <w:tblStyle w:val="a5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Planejamento da ação corretiva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e Analista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Todo o planejamento da ação corretiva para o problema ou não-conformidade encontrada.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a comunicação aos interessados.</w:t>
            </w:r>
          </w:p>
        </w:tc>
      </w:tr>
    </w:tbl>
    <w:p w:rsidR="00F94408" w:rsidRDefault="00F94408">
      <w:pPr>
        <w:jc w:val="both"/>
      </w:pPr>
    </w:p>
    <w:tbl>
      <w:tblPr>
        <w:tblStyle w:val="a6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Mudança de Estratégia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mudança de estratégia adotada para 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conclusão da ação corretiva ser estourado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7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Qualidade, Gerente de Projeto e relacionados com o artefato.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Especificar o problema ou não-conformidade encontrado no artefato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registro do problema ou não-conformidade</w:t>
            </w:r>
          </w:p>
        </w:tc>
      </w:tr>
    </w:tbl>
    <w:p w:rsidR="00F94408" w:rsidRDefault="00F94408">
      <w:pPr>
        <w:jc w:val="both"/>
      </w:pPr>
    </w:p>
    <w:tbl>
      <w:tblPr>
        <w:tblStyle w:val="a8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1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correção do problema ou não-conformidade do artefato foi estourado.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prazo estabelecido para a correção do problema ou não conformidade.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9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2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ação corretiva do problema ou não-conformidade foi ineficaz.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teste de efetividade da ação corretiva caso tenha sido reprovada pelo analista.</w:t>
            </w:r>
          </w:p>
        </w:tc>
      </w:tr>
    </w:tbl>
    <w:p w:rsidR="00F94408" w:rsidRDefault="00F94408"/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Fluxo </w:t>
      </w:r>
    </w:p>
    <w:p w:rsidR="00F94408" w:rsidRDefault="00F94408"/>
    <w:p w:rsidR="00F94408" w:rsidRDefault="005F7CF7">
      <w:r>
        <w:rPr>
          <w:rFonts w:ascii="Arial" w:eastAsia="Arial" w:hAnsi="Arial" w:cs="Arial"/>
        </w:rPr>
        <w:lastRenderedPageBreak/>
        <w:t xml:space="preserve">       </w:t>
      </w:r>
      <w:r>
        <w:rPr>
          <w:noProof/>
        </w:rPr>
        <w:drawing>
          <wp:inline distT="114300" distB="114300" distL="114300" distR="114300">
            <wp:extent cx="3278429" cy="3309069"/>
            <wp:effectExtent l="0" t="0" r="0" b="0"/>
            <wp:docPr id="1" name="image01.png" descr="GQ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Q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429" cy="330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08" w:rsidRDefault="001725B4">
      <w:hyperlink r:id="rId6">
        <w:r w:rsidR="005F7CF7">
          <w:rPr>
            <w:rFonts w:ascii="Arial" w:eastAsia="Arial" w:hAnsi="Arial" w:cs="Arial"/>
            <w:color w:val="1155CC"/>
            <w:u w:val="single"/>
          </w:rPr>
          <w:t>Fluxograma para Download</w:t>
        </w:r>
      </w:hyperlink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tbl>
      <w:tblPr>
        <w:tblStyle w:val="a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Selecionar os artefatos a serem analisados (GQ01)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Equipe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5F7CF7">
        <w:tc>
          <w:tcPr>
            <w:tcW w:w="2517" w:type="dxa"/>
            <w:vMerge w:val="restart"/>
          </w:tcPr>
          <w:p w:rsidR="005F7CF7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5F7CF7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Realizar a análise do projeto.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Levantar áreas críticas que precisam passar pela avaliação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5F7CF7">
              <w:rPr>
                <w:rFonts w:ascii="Arial" w:eastAsia="Arial" w:hAnsi="Arial" w:cs="Arial"/>
              </w:rPr>
              <w:t>Definir áreas que precisam ser avaliadas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5F7CF7">
              <w:rPr>
                <w:rFonts w:ascii="Arial" w:eastAsia="Arial" w:hAnsi="Arial" w:cs="Arial"/>
              </w:rPr>
              <w:t>Estimar prazos para avaliação e correção de inconformidades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5F7CF7">
              <w:rPr>
                <w:rFonts w:ascii="Arial" w:eastAsia="Arial" w:hAnsi="Arial" w:cs="Arial"/>
              </w:rPr>
              <w:t>Definir Resultados esperados para cada avaliação.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5F7CF7">
              <w:rPr>
                <w:rFonts w:ascii="Arial" w:eastAsia="Arial" w:hAnsi="Arial" w:cs="Arial"/>
              </w:rPr>
              <w:t>Definir todos os materiais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 w:rsidRPr="005F7CF7">
              <w:rPr>
                <w:rFonts w:ascii="Arial" w:eastAsia="Arial" w:hAnsi="Arial" w:cs="Arial"/>
              </w:rPr>
              <w:t>Início da execução do processo aprovado pela gerencia do projeto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Escopo do projeto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 w:rsidRPr="005F7CF7">
              <w:rPr>
                <w:rFonts w:ascii="Arial" w:eastAsia="Arial" w:hAnsi="Arial" w:cs="Arial"/>
              </w:rPr>
              <w:t>Relatório de reunião contendo os itens de cada área a serem</w:t>
            </w:r>
          </w:p>
          <w:p w:rsidR="00F94408" w:rsidRDefault="005F7CF7" w:rsidP="005F7CF7">
            <w:pPr>
              <w:contextualSpacing w:val="0"/>
            </w:pPr>
            <w:proofErr w:type="gramStart"/>
            <w:r w:rsidRPr="005F7CF7">
              <w:rPr>
                <w:rFonts w:ascii="Arial" w:eastAsia="Arial" w:hAnsi="Arial" w:cs="Arial"/>
              </w:rPr>
              <w:t>avaliados</w:t>
            </w:r>
            <w:proofErr w:type="gramEnd"/>
            <w:r w:rsidRPr="005F7CF7">
              <w:rPr>
                <w:rFonts w:ascii="Arial" w:eastAsia="Arial" w:hAnsi="Arial" w:cs="Arial"/>
              </w:rPr>
              <w:t xml:space="preserve"> pela garantia de qualidade e os que não serão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de apoio específica.</w:t>
            </w:r>
          </w:p>
        </w:tc>
      </w:tr>
    </w:tbl>
    <w:p w:rsidR="00F94408" w:rsidRDefault="00F94408">
      <w:pPr>
        <w:ind w:left="360"/>
      </w:pPr>
    </w:p>
    <w:tbl>
      <w:tblPr>
        <w:tblStyle w:val="ab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os critérios de avaliação a serem utilizados (GQ02)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Selecionar o artefato do processo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quais as possibilidades de critérios de avaliação disponíveis.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Selecionar os critérios mais efetivos e objetivos para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para avaliação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Revisão dos requisitos que tem relação com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Critérios específicos para avaliação do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dos critérios estabelecidos.</w:t>
            </w:r>
          </w:p>
        </w:tc>
      </w:tr>
    </w:tbl>
    <w:p w:rsidR="00F94408" w:rsidRDefault="00F94408">
      <w:pPr>
        <w:ind w:left="360"/>
      </w:pPr>
    </w:p>
    <w:tbl>
      <w:tblPr>
        <w:tblStyle w:val="ac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 w:rsidP="002F2293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A</w:t>
            </w:r>
            <w:r w:rsidR="008B519B">
              <w:rPr>
                <w:rFonts w:ascii="Arial" w:eastAsia="Arial" w:hAnsi="Arial" w:cs="Arial"/>
                <w:b/>
              </w:rPr>
              <w:t>valia</w:t>
            </w:r>
            <w:r w:rsidR="002F2293">
              <w:rPr>
                <w:rFonts w:ascii="Arial" w:eastAsia="Arial" w:hAnsi="Arial" w:cs="Arial"/>
                <w:b/>
              </w:rPr>
              <w:t xml:space="preserve">ção da Qualidade </w:t>
            </w:r>
            <w:r w:rsidRPr="005F7CF7">
              <w:rPr>
                <w:rFonts w:ascii="Arial" w:eastAsia="Arial" w:hAnsi="Arial" w:cs="Arial"/>
                <w:b/>
              </w:rPr>
              <w:t>(GQ03)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ambiente de trabalho da equipe</w:t>
            </w:r>
            <w:r w:rsidR="008B519B"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processos usados.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execução dos processos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8B519B" w:rsidRPr="008B519B" w:rsidRDefault="005F7CF7" w:rsidP="008B51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produtos gerados pelos processos e demais produtos</w:t>
            </w:r>
          </w:p>
          <w:p w:rsidR="00F94408" w:rsidRDefault="008B519B" w:rsidP="008B519B">
            <w:pPr>
              <w:contextualSpacing w:val="0"/>
            </w:pPr>
            <w:r>
              <w:rPr>
                <w:rFonts w:ascii="Arial" w:eastAsia="Arial" w:hAnsi="Arial" w:cs="Arial"/>
              </w:rPr>
              <w:t>(</w:t>
            </w:r>
            <w:proofErr w:type="gramStart"/>
            <w:r>
              <w:rPr>
                <w:rFonts w:ascii="Arial" w:eastAsia="Arial" w:hAnsi="Arial" w:cs="Arial"/>
              </w:rPr>
              <w:t>artefatos</w:t>
            </w:r>
            <w:proofErr w:type="gramEnd"/>
            <w:r>
              <w:rPr>
                <w:rFonts w:ascii="Arial" w:eastAsia="Arial" w:hAnsi="Arial" w:cs="Arial"/>
              </w:rPr>
              <w:t>).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8B519B">
              <w:rPr>
                <w:rFonts w:ascii="Arial" w:eastAsia="Arial" w:hAnsi="Arial" w:cs="Arial"/>
              </w:rPr>
              <w:t>Levantamento de não-conformidades encontradas.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8B519B">
              <w:rPr>
                <w:rFonts w:ascii="Arial" w:eastAsia="Arial" w:hAnsi="Arial" w:cs="Arial"/>
              </w:rPr>
              <w:t>Rastrear não conformidades.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7. </w:t>
            </w:r>
            <w:r w:rsidRPr="008B519B">
              <w:rPr>
                <w:rFonts w:ascii="Arial" w:eastAsia="Arial" w:hAnsi="Arial" w:cs="Arial"/>
              </w:rPr>
              <w:t>Levantamento dos riscos para as não-conformidades.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Os critérios de avaliação estarem devidamente definidos.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Documento de Requisitos e Critérios estabelecidos.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Não-conformidade ou problema caso encontrado.</w:t>
            </w:r>
          </w:p>
          <w:p w:rsidR="00F94408" w:rsidRDefault="00F94408">
            <w:pPr>
              <w:contextualSpacing w:val="0"/>
            </w:pP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Fluxogramas, Diagrama de Ishikawa, Folhas de Verificação, e outras que poderão ser definidas junto aos critérios de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d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problema encontrado (GQ04)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0154D9">
        <w:tc>
          <w:tcPr>
            <w:tcW w:w="2517" w:type="dxa"/>
            <w:vMerge w:val="restart"/>
          </w:tcPr>
          <w:p w:rsidR="000154D9" w:rsidRDefault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 w:rsidRPr="000154D9"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54D9">
              <w:rPr>
                <w:rFonts w:ascii="Arial" w:eastAsia="Arial" w:hAnsi="Arial" w:cs="Arial"/>
              </w:rPr>
              <w:t>Organizar toda a documentação Obtida no levantamento das não 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Pr="000154D9">
              <w:rPr>
                <w:rFonts w:ascii="Arial" w:eastAsia="Arial" w:hAnsi="Arial" w:cs="Arial"/>
              </w:rPr>
              <w:t>Organizar as não-conformi</w:t>
            </w:r>
            <w:r>
              <w:rPr>
                <w:rFonts w:ascii="Arial" w:eastAsia="Arial" w:hAnsi="Arial" w:cs="Arial"/>
              </w:rPr>
              <w:t xml:space="preserve">dades com a ordem de prioridade </w:t>
            </w:r>
            <w:r w:rsidRPr="000154D9">
              <w:rPr>
                <w:rFonts w:ascii="Arial" w:eastAsia="Arial" w:hAnsi="Arial" w:cs="Arial"/>
              </w:rPr>
              <w:t>definida.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Escrever resultados esperados para cada correção de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 xml:space="preserve">Colocar prazos para correção de </w:t>
            </w:r>
            <w:r>
              <w:rPr>
                <w:rFonts w:ascii="Arial" w:eastAsia="Arial" w:hAnsi="Arial" w:cs="Arial"/>
              </w:rPr>
              <w:t xml:space="preserve">não conformidades de acordo com </w:t>
            </w:r>
            <w:r w:rsidRPr="000154D9">
              <w:rPr>
                <w:rFonts w:ascii="Arial" w:eastAsia="Arial" w:hAnsi="Arial" w:cs="Arial"/>
              </w:rPr>
              <w:t>o planejado.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0154D9">
              <w:rPr>
                <w:rFonts w:ascii="Arial" w:eastAsia="Arial" w:hAnsi="Arial" w:cs="Arial"/>
              </w:rPr>
              <w:t>Definir Responsável pela correção da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0154D9">
              <w:rPr>
                <w:rFonts w:ascii="Arial" w:eastAsia="Arial" w:hAnsi="Arial" w:cs="Arial"/>
              </w:rPr>
              <w:t>Atualizar a docume</w:t>
            </w:r>
            <w:r>
              <w:rPr>
                <w:rFonts w:ascii="Arial" w:eastAsia="Arial" w:hAnsi="Arial" w:cs="Arial"/>
              </w:rPr>
              <w:t xml:space="preserve">ntação com base nas correções e andamento da </w:t>
            </w:r>
            <w:r w:rsidRPr="000154D9">
              <w:rPr>
                <w:rFonts w:ascii="Arial" w:eastAsia="Arial" w:hAnsi="Arial" w:cs="Arial"/>
              </w:rPr>
              <w:t>avaliação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na Avaliação da Qualidade.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Critérios de Saída</w:t>
            </w:r>
          </w:p>
        </w:tc>
        <w:tc>
          <w:tcPr>
            <w:tcW w:w="7377" w:type="dxa"/>
          </w:tcPr>
          <w:p w:rsidR="00F94408" w:rsidRPr="008B519B" w:rsidRDefault="008B519B" w:rsidP="008B519B">
            <w:pPr>
              <w:rPr>
                <w:rFonts w:ascii="Arial" w:eastAsia="Arial" w:hAnsi="Arial" w:cs="Arial"/>
              </w:rPr>
            </w:pPr>
            <w:r w:rsidRPr="008B519B">
              <w:rPr>
                <w:rFonts w:ascii="Arial" w:eastAsia="Arial" w:hAnsi="Arial" w:cs="Arial"/>
              </w:rPr>
              <w:t>Documentação definidas para acompanhar as</w:t>
            </w:r>
            <w:r>
              <w:rPr>
                <w:rFonts w:ascii="Arial" w:eastAsia="Arial" w:hAnsi="Arial" w:cs="Arial"/>
              </w:rPr>
              <w:t xml:space="preserve"> correções das não 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8B519B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de Não-Conformidades.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8B519B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obrigatória.</w:t>
            </w:r>
          </w:p>
        </w:tc>
      </w:tr>
    </w:tbl>
    <w:p w:rsidR="00F94408" w:rsidRDefault="00F94408">
      <w:pPr>
        <w:ind w:left="360"/>
      </w:pPr>
    </w:p>
    <w:tbl>
      <w:tblPr>
        <w:tblStyle w:val="ae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Comunicar aos Interessados (GQ05)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os interessados que devem ser comunicados a respeito da não-conformidade ou problema encontrado.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Realizar a comunicação.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o 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Todos os interessados terem recebido a informação passada.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E-mail ou algumas outras ferramentas necessárias para a comunicação.</w:t>
            </w:r>
          </w:p>
        </w:tc>
      </w:tr>
    </w:tbl>
    <w:p w:rsidR="00F94408" w:rsidRDefault="00F94408">
      <w:pPr>
        <w:ind w:left="360"/>
      </w:pPr>
    </w:p>
    <w:tbl>
      <w:tblPr>
        <w:tblStyle w:val="af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Planejar Ação Corretiva (GQ06)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Analisar o problema ou não-conformidade encontrada no artefato analisado.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Definir as ações a serem tomadas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Definir os responsáveis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Estabelecer um prazo para a conclusão da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Comunicação aos interessados e registro da não-conformidade ou problema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Planejamento completo da ação corretiva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criação da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Mudar estratégia (GQ07)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problemas encontrados na realização da ação corretiva.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Tomar uma nova estratégia para que os responsáveis concluam a ação corretiva no prazo estabelecido.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 xml:space="preserve"> Estabelecer um novo prazo para a conclusão da nova ação </w:t>
            </w:r>
            <w:r>
              <w:rPr>
                <w:rFonts w:ascii="Arial" w:eastAsia="Arial" w:hAnsi="Arial" w:cs="Arial"/>
              </w:rPr>
              <w:lastRenderedPageBreak/>
              <w:t>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Prazo da ação corretiva estabelecida ser estourado.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Nova estratégia e prazo aprovados pelo Gerente de Projeto.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estratégia e prazo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Testar efetividade da correção (GQ08)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problema ou não-conformidade que foi encontrado 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se o problema ou não-conformidade foi resolvido.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Analisar se o resultado produzido é o mesmo do esperado segundo os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resolvido pelos responsáveis.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no qual foi encontrado o problema ou não-conformidade e documentação de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Aprovação ou reprovação da ação corretiva tomada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f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Nova ação corretiva (GQ09)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motivo da falha da ação corretiva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Planejar uma nova ação corretiva, que não encontre os mesmos problemas que 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Estabelecer um novo prazo para a conclusão da nova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Falha na correção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 anteriormente.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ação corretiva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  <w:bookmarkStart w:id="1" w:name="_gjdgxs" w:colFirst="0" w:colLast="0"/>
      <w:bookmarkEnd w:id="1"/>
    </w:p>
    <w:tbl>
      <w:tblPr>
        <w:tblStyle w:val="af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a Não Conformidade resolvida (GQ10)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a não-conformidade ou problema encontrado 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Registrar todo o processo de correção, responsáveis, ações corretivas tomadas, etc.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devidamente resolvida, testada e aprovada pelo analista.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devidamente feito.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dos problema resolvidos.</w:t>
            </w:r>
          </w:p>
        </w:tc>
      </w:tr>
    </w:tbl>
    <w:p w:rsidR="00F94408" w:rsidRDefault="00F94408">
      <w:pPr>
        <w:ind w:left="360"/>
      </w:pPr>
    </w:p>
    <w:tbl>
      <w:tblPr>
        <w:tblStyle w:val="af4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Finalizar a Garantia da Qualidade do artefato (GQ11)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 w:rsidR="000154D9"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correções realizadas, se houver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documentações obtidas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Avaliar possíveis erros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>Finalizar processos de garantia de qualidade da atividade.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problema ou não-conformidade presente no artefato.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documentações de possíveis correções.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 w:rsidRPr="000154D9">
              <w:rPr>
                <w:rFonts w:ascii="Arial" w:eastAsia="Arial" w:hAnsi="Arial" w:cs="Arial"/>
              </w:rPr>
              <w:t>Não existência de outros artefatos e processos para serem</w:t>
            </w:r>
            <w:r>
              <w:rPr>
                <w:rFonts w:ascii="Arial" w:eastAsia="Arial" w:hAnsi="Arial" w:cs="Arial"/>
              </w:rPr>
              <w:t xml:space="preserve">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Processo de Garantida de qualidade do artefato finalizado.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</w:t>
            </w:r>
          </w:p>
        </w:tc>
      </w:tr>
    </w:tbl>
    <w:p w:rsidR="00F94408" w:rsidRDefault="00F94408">
      <w:pPr>
        <w:ind w:left="360"/>
      </w:pPr>
    </w:p>
    <w:sectPr w:rsidR="00F94408">
      <w:pgSz w:w="11900" w:h="16840"/>
      <w:pgMar w:top="1417" w:right="843" w:bottom="141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32A"/>
    <w:multiLevelType w:val="multilevel"/>
    <w:tmpl w:val="96F49B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3F241CF"/>
    <w:multiLevelType w:val="multilevel"/>
    <w:tmpl w:val="EB52523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E103057"/>
    <w:multiLevelType w:val="hybridMultilevel"/>
    <w:tmpl w:val="F112E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1289C"/>
    <w:multiLevelType w:val="multilevel"/>
    <w:tmpl w:val="3396766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6D7C04B5"/>
    <w:multiLevelType w:val="multilevel"/>
    <w:tmpl w:val="65BE8F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79A16997"/>
    <w:multiLevelType w:val="multilevel"/>
    <w:tmpl w:val="48FE84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DAB5071"/>
    <w:multiLevelType w:val="multilevel"/>
    <w:tmpl w:val="B06CC786"/>
    <w:lvl w:ilvl="0">
      <w:start w:val="1"/>
      <w:numFmt w:val="decimal"/>
      <w:lvlText w:val="%1."/>
      <w:lvlJc w:val="left"/>
      <w:pPr>
        <w:ind w:left="-1080" w:firstLine="0"/>
      </w:pPr>
      <w:rPr>
        <w:b/>
      </w:rPr>
    </w:lvl>
    <w:lvl w:ilvl="1">
      <w:start w:val="1"/>
      <w:numFmt w:val="lowerLetter"/>
      <w:lvlText w:val="%2."/>
      <w:lvlJc w:val="left"/>
      <w:pPr>
        <w:ind w:left="-360" w:firstLine="720"/>
      </w:pPr>
    </w:lvl>
    <w:lvl w:ilvl="2">
      <w:start w:val="1"/>
      <w:numFmt w:val="lowerRoman"/>
      <w:lvlText w:val="%3."/>
      <w:lvlJc w:val="right"/>
      <w:pPr>
        <w:ind w:left="360" w:firstLine="1620"/>
      </w:pPr>
    </w:lvl>
    <w:lvl w:ilvl="3">
      <w:start w:val="1"/>
      <w:numFmt w:val="decimal"/>
      <w:lvlText w:val="%4."/>
      <w:lvlJc w:val="left"/>
      <w:pPr>
        <w:ind w:left="1080" w:firstLine="2160"/>
      </w:pPr>
    </w:lvl>
    <w:lvl w:ilvl="4">
      <w:start w:val="1"/>
      <w:numFmt w:val="lowerLetter"/>
      <w:lvlText w:val="%5."/>
      <w:lvlJc w:val="left"/>
      <w:pPr>
        <w:ind w:left="1800" w:firstLine="2880"/>
      </w:pPr>
    </w:lvl>
    <w:lvl w:ilvl="5">
      <w:start w:val="1"/>
      <w:numFmt w:val="lowerRoman"/>
      <w:lvlText w:val="%6."/>
      <w:lvlJc w:val="right"/>
      <w:pPr>
        <w:ind w:left="2520" w:firstLine="3780"/>
      </w:pPr>
    </w:lvl>
    <w:lvl w:ilvl="6">
      <w:start w:val="1"/>
      <w:numFmt w:val="decimal"/>
      <w:lvlText w:val="%7."/>
      <w:lvlJc w:val="left"/>
      <w:pPr>
        <w:ind w:left="3240" w:firstLine="4320"/>
      </w:pPr>
    </w:lvl>
    <w:lvl w:ilvl="7">
      <w:start w:val="1"/>
      <w:numFmt w:val="lowerLetter"/>
      <w:lvlText w:val="%8."/>
      <w:lvlJc w:val="left"/>
      <w:pPr>
        <w:ind w:left="3960" w:firstLine="5040"/>
      </w:pPr>
    </w:lvl>
    <w:lvl w:ilvl="8">
      <w:start w:val="1"/>
      <w:numFmt w:val="lowerRoman"/>
      <w:lvlText w:val="%9."/>
      <w:lvlJc w:val="right"/>
      <w:pPr>
        <w:ind w:left="4680" w:firstLine="59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4408"/>
    <w:rsid w:val="000154D9"/>
    <w:rsid w:val="001725B4"/>
    <w:rsid w:val="002F2293"/>
    <w:rsid w:val="005F7CF7"/>
    <w:rsid w:val="008B519B"/>
    <w:rsid w:val="00F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320C1-859E-4E11-8FE5-AE8EC5E1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F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Jk6S3zNXooWGlZUE5rNGh2dkk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2469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3</cp:revision>
  <dcterms:created xsi:type="dcterms:W3CDTF">2016-10-04T02:32:00Z</dcterms:created>
  <dcterms:modified xsi:type="dcterms:W3CDTF">2016-10-04T03:43:00Z</dcterms:modified>
</cp:coreProperties>
</file>