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do Sistema</w:t>
      </w:r>
    </w:p>
    <w:p w:rsidR="00000000" w:rsidDel="00000000" w:rsidP="00000000" w:rsidRDefault="00000000" w:rsidRPr="00000000">
      <w:pPr>
        <w:ind w:left="405" w:firstLine="0"/>
        <w:contextualSpacing w:val="0"/>
      </w:pPr>
      <w:r w:rsidDel="00000000" w:rsidR="00000000" w:rsidRPr="00000000">
        <w:rPr>
          <w:rtl w:val="0"/>
        </w:rPr>
        <w:t xml:space="preserve">Esta seção contém uma descrição resumida de todos os requisitos do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N°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&lt;ajuda a categorizar os requisitos&gt;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Nome do requisito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&lt;representa o objetivo principal do requisito&gt;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&lt;funcional ou não-funcional&gt;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&lt;breve descrição do requisito&gt;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Razão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&lt;qual o motivo para a existência desse requisito?&gt;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&lt;quem solicitou esse requisito?&gt;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Dependências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&lt;quais requisitos e produtos de trabalho possuem uma relação direta com esse?&gt;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Conflitos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&lt;existe algum requisito que gera um conflito?&gt;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rastreabilidade entre os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 diagrama representa as relações entre os requisitos, permitindo que ocorra a rastreabilidade entre eles em caso de alterações. O preenchimento da tabela é simples: caso um requisito tenha relação com outro requisito, basta marcar “X” no espaço correspondente.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(...)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Requisito 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(...)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Requisito 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