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Relatório de Conclusão do Projeto SAC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Foi concluído com </w:t>
      </w:r>
      <w:r w:rsidDel="00000000" w:rsidR="00000000" w:rsidRPr="00000000">
        <w:rPr>
          <w:rFonts w:ascii="Arial" w:cs="Arial" w:eastAsia="Arial" w:hAnsi="Arial"/>
          <w:rtl w:val="0"/>
        </w:rPr>
        <w:t xml:space="preserve">sucesso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na data </w:t>
      </w:r>
      <w:r w:rsidDel="00000000" w:rsidR="00000000" w:rsidRPr="00000000">
        <w:rPr>
          <w:rFonts w:ascii="Arial" w:cs="Arial" w:eastAsia="Arial" w:hAnsi="Arial"/>
          <w:rtl w:val="0"/>
        </w:rPr>
        <w:t xml:space="preserve">07/11/2016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o projeto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de Atendimento ao Cidadão(SAC)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Ficando como lições </w:t>
      </w:r>
      <w:r w:rsidDel="00000000" w:rsidR="00000000" w:rsidRPr="00000000">
        <w:rPr>
          <w:rFonts w:ascii="Arial" w:cs="Arial" w:eastAsia="Arial" w:hAnsi="Arial"/>
          <w:rtl w:val="0"/>
        </w:rPr>
        <w:t xml:space="preserve">aprendidas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as dificuldades para se obter um nível de maturidade segundo o guia MPS.BR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Alex Melo Ferreira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Gerente de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Julian Gonçalves Cardoso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Diretor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Liberation Sans" w:cs="Liberation Sans" w:eastAsia="Liberation Sans" w:hAnsi="Liberation Sans"/>
      <w:b w:val="0"/>
      <w:i w:val="1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