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7-2 Project Two: Recommendations Report (Scenario One)</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 Roulstone</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CYB-240 Application Security</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Eric Eppley</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19, 2025</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concern for the development team in this project is Sensitive Data Exposure, a critical OWASP Top 10 vulnerability. The scenario indicates that data displayed on the web pages is transmitted using HTTP protocols and that transactions are sent unencrypted between the web server and the transaction server. This presents a significant risk because HTTP does not provide encryption, leaving confidential information such as patient records and user credentials vulnerable to interception through network sniffing or man-in-the-middle (MITM) attacks. In the healthcare industry, this type of exposure can result in violations of regulations such as HIPAA, loss of patient trust, and severe financial and legal consequences.</w:t>
      </w:r>
    </w:p>
    <w:p w:rsidR="00000000" w:rsidDel="00000000" w:rsidP="00000000" w:rsidRDefault="00000000" w:rsidRPr="00000000" w14:paraId="0000001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mitigate this vulnerability, the development team should apply the Fail-Safe Defaults and Complete Mediation security design principles. Implementing HTTPS with TLS encryption ensures that all data in transit is protected from unauthorized interception. Additionally, input validation and token-based authentication can safeguard user sessions from being hijacked. The relevance of the Fail-Safe Defaults principle lies in ensuring that access to sensitive data is denied unless explicitly granted, reducing the risk of accidental exposure. Meanwhile, Complete Mediation ensures every access request to sensitive data is verified and authorized, preventing attackers from bypassing authentication mechanisms. Together, these principles enforce strong data confidentiality and maintain the integrity of patient information throughout transmission.</w:t>
      </w:r>
    </w:p>
    <w:p w:rsidR="00000000" w:rsidDel="00000000" w:rsidP="00000000" w:rsidRDefault="00000000" w:rsidRPr="00000000" w14:paraId="0000001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serious vulnerability within the system architecture is Broken Authentication. According to the scenario, the web server’s log-on access relies on client-side scripting, which is a dangerous practice because client-side scripts can be easily modified or bypassed by attackers. If authentication logic is handled on the client side rather than securely on the server, it becomes possible for unauthorized users to gain access by manipulating the code or intercepting requests. Furthermore, the transaction server has administrative access to the MySQL database, meaning that a single compromised account could give an attacker complete control over critical backend systems.</w:t>
      </w:r>
    </w:p>
    <w:p w:rsidR="00000000" w:rsidDel="00000000" w:rsidP="00000000" w:rsidRDefault="00000000" w:rsidRPr="00000000" w14:paraId="0000001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issue, the team should apply the Least Privilege and Separation of Privilege principles. The Least Privilege principle dictates that each user and component should only have the minimum level of access required to perform its function. In this case, administrative access to the database should be restricted only to authorized administrators, while the transaction server should operate under limited permissions. Additionally, all authentication should occur on the server side, supported by multi-factor authentication (MFA) and secure password storage using strong hashing algorithms such as bcrypt. The Separation of Privilege principle ensures that no single mechanism or user can independently grant access; this can be achieved through layered verification methods and role-based access controls (RBAC). Implementing these measures helps prevent unauthorized access and ensures that even if one layer of security fails, additional safeguards are still in place.</w:t>
      </w:r>
    </w:p>
    <w:p w:rsidR="00000000" w:rsidDel="00000000" w:rsidP="00000000" w:rsidRDefault="00000000" w:rsidRPr="00000000" w14:paraId="0000001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security practitioner equipped with the fundamental security design principles is essential throughout the Software Development Life Cycle (SDLC). Their role ensures that security is integrated into every development phase—from design to deployment—rather than treated as an afterthought. By applying principles such as Least Privilege, Complete Mediation, and Fail-Safe Defaults, a practitioner can identify weak points early and guide developers toward secure coding practices. This proactive approach reduces the likelihood of vulnerabilities like sensitive data exposure or broken authentication making it into production. Moreover, a practitioner familiar with security design principles helps foster a culture of accountability and security awareness within the development team, ensuring the organization’s applications remain compliant, resilient, and trustworthy in handling sensitive information.</w:t>
      </w:r>
    </w:p>
    <w:p w:rsidR="00000000" w:rsidDel="00000000" w:rsidP="00000000" w:rsidRDefault="00000000" w:rsidRPr="00000000" w14:paraId="0000001D">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1E">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(2021). OWASP Top Ten: 2021 – The ten most critical web application security risks. </w:t>
      </w:r>
      <w:hyperlink r:id="rId6">
        <w:r w:rsidDel="00000000" w:rsidR="00000000" w:rsidRPr="00000000">
          <w:rPr>
            <w:rFonts w:ascii="Times New Roman" w:cs="Times New Roman" w:eastAsia="Times New Roman" w:hAnsi="Times New Roman"/>
            <w:color w:val="1155cc"/>
            <w:sz w:val="24"/>
            <w:szCs w:val="24"/>
            <w:u w:val="single"/>
            <w:rtl w:val="0"/>
          </w:rPr>
          <w:t xml:space="preserve">https://owasp.org/www-project-top-ten/</w:t>
        </w:r>
      </w:hyperlink>
      <w:r w:rsidDel="00000000" w:rsidR="00000000" w:rsidRPr="00000000">
        <w:rPr>
          <w:rtl w:val="0"/>
        </w:rPr>
      </w:r>
    </w:p>
    <w:p w:rsidR="00000000" w:rsidDel="00000000" w:rsidP="00000000" w:rsidRDefault="00000000" w:rsidRPr="00000000" w14:paraId="0000001F">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Saltzer, J. H., &amp; Schroeder, M. D. (1975). The protection of information in computer systems. Proceedings of the IEEE, 63(9), 1278–1308.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https://doi.org/10.1109/PROC.1975.9939</w:t>
        </w:r>
      </w:hyperlink>
      <w:r w:rsidDel="00000000" w:rsidR="00000000" w:rsidRPr="00000000">
        <w:rPr>
          <w:rtl w:val="0"/>
        </w:rPr>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wasp.org/www-project-top-ten/" TargetMode="External"/><Relationship Id="rId7" Type="http://schemas.openxmlformats.org/officeDocument/2006/relationships/hyperlink" Target="https://doi.org/10.1109/PROC.1975.99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