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7845" w:rsidRDefault="00E37845" w:rsidP="00E37845">
      <w:pPr>
        <w:pStyle w:val="Title"/>
      </w:pPr>
      <w:r>
        <w:t>Finite difference scheme</w:t>
      </w:r>
    </w:p>
    <w:p w:rsidR="00E37845" w:rsidRDefault="00354353" w:rsidP="00DE6C3E">
      <w:pPr>
        <w:pStyle w:val="Heading1"/>
      </w:pPr>
      <w:r>
        <w:t>Function approximation</w:t>
      </w:r>
    </w:p>
    <w:p w:rsidR="008C35FC" w:rsidRDefault="008C35FC" w:rsidP="00123844">
      <w:r>
        <w:t xml:space="preserve">We consider </w:t>
      </w:r>
      <m:oMath>
        <m:r>
          <w:rPr>
            <w:rFonts w:ascii="Cambria Math" w:hAnsi="Cambria Math"/>
          </w:rPr>
          <m:t>u</m:t>
        </m:r>
      </m:oMath>
      <w:r>
        <w:t xml:space="preserve"> being a function sufficiently smooth (i.e. a sufficiently high number of time derivable). </w:t>
      </w:r>
    </w:p>
    <w:p w:rsidR="008C35FC" w:rsidRDefault="008C35FC" w:rsidP="00123844">
      <w:pPr>
        <w:pStyle w:val="Beforeequation"/>
      </w:pPr>
      <w:r>
        <w:t>It is possible to define different approximation</w:t>
      </w:r>
      <w:r w:rsidR="00123844">
        <w:t>s</w:t>
      </w:r>
      <w:r>
        <w:t xml:space="preserve"> </w:t>
      </w:r>
      <w:r w:rsidR="00123844">
        <w:t>of</w:t>
      </w:r>
      <w:r>
        <w:t xml:space="preserve"> this function. Also we do not have the ef</w:t>
      </w:r>
      <w:r w:rsidR="00123844">
        <w:t>fective formulas for the moment we will write them the following</w:t>
      </w:r>
      <w:r w:rsidR="000949C0">
        <w:t xml:space="preserve"> </w:t>
      </w:r>
      <w:sdt>
        <w:sdtPr>
          <w:id w:val="780539848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123844">
        <w:t>.</w:t>
      </w:r>
    </w:p>
    <w:tbl>
      <w:tblPr>
        <w:tblStyle w:val="Helmholtz-Shading"/>
        <w:tblW w:w="0" w:type="auto"/>
        <w:tblLook w:val="04A0" w:firstRow="1" w:lastRow="0" w:firstColumn="1" w:lastColumn="0" w:noHBand="0" w:noVBand="1"/>
      </w:tblPr>
      <w:tblGrid>
        <w:gridCol w:w="3096"/>
        <w:gridCol w:w="3096"/>
        <w:gridCol w:w="3096"/>
      </w:tblGrid>
      <w:tr w:rsidR="00615B4A" w:rsidTr="00EA31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6" w:type="dxa"/>
          </w:tcPr>
          <w:p w:rsidR="00615B4A" w:rsidRDefault="00615B4A" w:rsidP="00615B4A">
            <w:pPr>
              <w:jc w:val="center"/>
            </w:pPr>
            <w:r>
              <w:t>Left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Centered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Right approximation</w:t>
            </w:r>
          </w:p>
        </w:tc>
      </w:tr>
      <w:tr w:rsidR="00615B4A" w:rsidTr="00EA31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6" w:type="dxa"/>
          </w:tcPr>
          <w:p w:rsidR="00615B4A" w:rsidRPr="00615B4A" w:rsidRDefault="00B91452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-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Default="00B91452" w:rsidP="00615B4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Pr="00615B4A" w:rsidRDefault="00B91452" w:rsidP="00615B4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+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</w:tr>
    </w:tbl>
    <w:p w:rsidR="00354353" w:rsidRDefault="000A5427" w:rsidP="00A57D1D">
      <w:pPr>
        <w:pStyle w:val="Afterequation"/>
      </w:pPr>
      <w:r>
        <w:t>The preceding notation is for an approximation of the first order. Second and higher approximat</w:t>
      </w:r>
      <w:r w:rsidR="003E02FA">
        <w:t xml:space="preserve">ion may be indicated by an exponent. For instance the 3 order approximation of </w:t>
      </w:r>
      <w:r w:rsidR="00944B82">
        <w:t xml:space="preserve">the function </w:t>
      </w:r>
      <m:oMath>
        <m:r>
          <w:rPr>
            <w:rFonts w:ascii="Cambria Math" w:hAnsi="Cambria Math"/>
          </w:rPr>
          <m:t>u</m:t>
        </m:r>
      </m:oMath>
      <w:r w:rsidR="003E02FA">
        <w:t xml:space="preserve"> </w:t>
      </w:r>
      <w:r w:rsidR="00944B82">
        <w:t>from</w:t>
      </w:r>
      <w:r w:rsidR="003E02FA">
        <w:t xml:space="preserve"> the right would be</w:t>
      </w:r>
      <w:r w:rsidR="00944B82">
        <w:t xml:space="preserve"> indicated by the following</w:t>
      </w:r>
      <w:r w:rsidR="000949C0">
        <w:t xml:space="preserve">: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+</m:t>
            </m:r>
          </m:sub>
          <m:sup>
            <m:r>
              <w:rPr>
                <w:rFonts w:ascii="Cambria Math" w:hAnsi="Cambria Math"/>
              </w:rPr>
              <m:t>3</m:t>
            </m:r>
          </m:sup>
        </m:sSubSup>
        <m:r>
          <w:rPr>
            <w:rFonts w:ascii="Cambria Math" w:hAnsi="Cambria Math"/>
          </w:rPr>
          <m:t>u</m:t>
        </m:r>
      </m:oMath>
      <w:r w:rsidR="000949C0">
        <w:t xml:space="preserve"> </w:t>
      </w:r>
      <w:sdt>
        <w:sdtPr>
          <w:id w:val="760569131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354353">
        <w:t>.</w:t>
      </w:r>
    </w:p>
    <w:p w:rsidR="003E02FA" w:rsidRDefault="00354353" w:rsidP="00354353">
      <w:pPr>
        <w:pStyle w:val="Heading1"/>
      </w:pPr>
      <w:r>
        <w:t>Taylor expansion</w:t>
      </w:r>
    </w:p>
    <w:p w:rsidR="0058195E" w:rsidRPr="00CE1713" w:rsidRDefault="0058195E" w:rsidP="0058195E">
      <w:pPr>
        <w:pStyle w:val="Heading2"/>
      </w:pPr>
      <w:r>
        <w:t>The basic Taylor formula</w:t>
      </w:r>
    </w:p>
    <w:p w:rsidR="0058195E" w:rsidRDefault="0058195E" w:rsidP="0058195E">
      <w:r>
        <w:t>We will now give the basic formula of a Taylor expansion and other more convenient forms of these formulas that once assemble allow producing schemes.</w:t>
      </w:r>
    </w:p>
    <w:p w:rsidR="0058195E" w:rsidRPr="00001673" w:rsidRDefault="0058195E" w:rsidP="0058195E">
      <w:pPr>
        <w:pStyle w:val="Beforeequation"/>
      </w:pPr>
      <w:r>
        <w:t xml:space="preserve">For our function </w:t>
      </w:r>
      <m:oMath>
        <m:r>
          <w:rPr>
            <w:rFonts w:ascii="Cambria Math" w:hAnsi="Cambria Math"/>
          </w:rPr>
          <m:t>u</m:t>
        </m:r>
      </m:oMath>
      <w:r>
        <w:t xml:space="preserve"> of a scale variable </w:t>
      </w:r>
      <m:oMath>
        <m:r>
          <w:rPr>
            <w:rStyle w:val="QuoteChar"/>
            <w:rFonts w:ascii="Cambria Math" w:hAnsi="Cambria Math"/>
          </w:rPr>
          <m:t>x</m:t>
        </m:r>
      </m:oMath>
      <w:r>
        <w:rPr>
          <w:rStyle w:val="QuoteChar"/>
          <w:b/>
          <w:i w:val="0"/>
        </w:rPr>
        <w:t xml:space="preserve"> </w:t>
      </w:r>
      <w:r>
        <w:rPr>
          <w:rStyle w:val="QuoteChar"/>
          <w:bCs/>
          <w:i w:val="0"/>
        </w:rPr>
        <w:t xml:space="preserve">the Taylor formula sufficiently near a point </w:t>
      </w:r>
      <m:oMath>
        <m:r>
          <w:rPr>
            <w:rStyle w:val="QuoteChar"/>
            <w:rFonts w:ascii="Cambria Math" w:hAnsi="Cambria Math"/>
          </w:rPr>
          <m:t>a</m:t>
        </m:r>
      </m:oMath>
      <w:r>
        <w:rPr>
          <w:rStyle w:val="QuoteChar"/>
          <w:bCs/>
          <w:i w:val="0"/>
        </w:rPr>
        <w:t xml:space="preserve"> may be written the following: 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x-a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1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Pr="000C2741" w:rsidRDefault="00FB0AEA" w:rsidP="0058195E">
      <w:pPr>
        <w:pStyle w:val="Betweenequation"/>
        <w:rPr>
          <w:sz w:val="20"/>
          <w:szCs w:val="20"/>
        </w:rPr>
      </w:pPr>
      <w:r w:rsidRPr="00FB0AEA">
        <w:t xml:space="preserve">This may be rewritten the following by </w:t>
      </w:r>
      <w:r>
        <w:t>letting</w:t>
      </w:r>
      <m:oMath>
        <m:r>
          <w:rPr>
            <w:rFonts w:ascii="Cambria Math" w:hAnsi="Cambria Math"/>
          </w:rPr>
          <m:t xml:space="preserve"> </m:t>
        </m:r>
        <m:d>
          <m:dPr>
            <m:ctrlPr>
              <w:rPr>
                <w:rFonts w:ascii="Cambria Math" w:hAnsi="Cambria Math"/>
                <w:i/>
                <w:sz w:val="20"/>
                <w:szCs w:val="20"/>
              </w:rPr>
            </m:ctrlPr>
          </m:dPr>
          <m:e>
            <m:r>
              <w:rPr>
                <w:rFonts w:ascii="Cambria Math" w:hAnsi="Cambria Math"/>
                <w:sz w:val="20"/>
                <w:szCs w:val="20"/>
              </w:rPr>
              <m:t>x-a</m:t>
            </m:r>
          </m:e>
        </m:d>
        <m:r>
          <w:rPr>
            <w:rFonts w:ascii="Cambria Math" w:hAnsi="Cambria Math"/>
            <w:sz w:val="20"/>
            <w:szCs w:val="20"/>
          </w:rPr>
          <m:t>=h</m:t>
        </m:r>
      </m:oMath>
      <w:r w:rsidRPr="00FB0AEA">
        <w:rPr>
          <w:sz w:val="20"/>
          <w:szCs w:val="20"/>
        </w:rPr>
        <w:t>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640C9F" w:rsidRDefault="0058195E" w:rsidP="00783FDF">
            <w:pPr>
              <w:jc w:val="center"/>
              <w:rPr>
                <w:rFonts w:ascii="Verdana" w:hAnsi="Verdana"/>
                <w:i/>
                <w:sz w:val="20"/>
              </w:rPr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a+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bookmarkStart w:id="0" w:name="_Ref404950952"/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2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  <w:bookmarkEnd w:id="0"/>
          </w:p>
        </w:tc>
      </w:tr>
    </w:tbl>
    <w:p w:rsidR="0058195E" w:rsidRDefault="0058195E" w:rsidP="0058195E">
      <w:pPr>
        <w:pStyle w:val="Heading2"/>
      </w:pPr>
      <w:r>
        <w:t>Different variation on the extension</w:t>
      </w:r>
    </w:p>
    <w:p w:rsidR="0058195E" w:rsidRDefault="0058195E" w:rsidP="007B3B32">
      <w:r>
        <w:t>It is possible to derive a wide range of Taylor expansion depending on the point we wish to calculate it. The only thing to care of is that the variable tends to a when h tends to 0.</w:t>
      </w:r>
    </w:p>
    <w:p w:rsidR="0058195E" w:rsidRDefault="0058195E" w:rsidP="0058195E">
      <w:pPr>
        <w:pStyle w:val="Beforeequation"/>
      </w:pPr>
      <w:r>
        <w:t xml:space="preserve">From </w:t>
      </w:r>
      <w:r>
        <w:fldChar w:fldCharType="begin"/>
      </w:r>
      <w:r>
        <w:instrText xml:space="preserve"> REF _Ref404950952 \h  \* MERGEFORMAT </w:instrText>
      </w:r>
      <w:r>
        <w:fldChar w:fldCharType="separate"/>
      </w:r>
      <w:r w:rsidRPr="00E67B71">
        <w:rPr>
          <w:rFonts w:ascii="Verdana" w:hAnsi="Verdana"/>
          <w:sz w:val="20"/>
          <w:szCs w:val="20"/>
        </w:rPr>
        <w:t>(</w:t>
      </w:r>
      <w:r>
        <w:rPr>
          <w:rFonts w:ascii="Verdana" w:hAnsi="Verdana"/>
          <w:noProof/>
          <w:sz w:val="20"/>
          <w:szCs w:val="20"/>
        </w:rPr>
        <w:t>2</w:t>
      </w:r>
      <w:r w:rsidRPr="00E67B71">
        <w:rPr>
          <w:rFonts w:ascii="Verdana" w:hAnsi="Verdana"/>
          <w:sz w:val="20"/>
          <w:szCs w:val="20"/>
        </w:rPr>
        <w:t>)</w:t>
      </w:r>
      <w:r>
        <w:fldChar w:fldCharType="end"/>
      </w:r>
      <w:r>
        <w:t xml:space="preserve"> we can derive: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3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+2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4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h+ 2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5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B93ECB" w:rsidRDefault="00B93ECB" w:rsidP="00B93ECB">
      <w:pPr>
        <w:pStyle w:val="Afterequation"/>
      </w:pPr>
      <w:r>
        <w:t>These expansion</w:t>
      </w:r>
      <w:r w:rsidR="00B80867">
        <w:t>s</w:t>
      </w:r>
      <w:r>
        <w:t xml:space="preserve"> will serve as basis bricks to build </w:t>
      </w:r>
      <w:r w:rsidR="00B80867">
        <w:t xml:space="preserve">computation </w:t>
      </w:r>
      <w:r>
        <w:t>schemes.</w:t>
      </w:r>
    </w:p>
    <w:p w:rsidR="00572D34" w:rsidRDefault="0058195E" w:rsidP="007B3B32">
      <w:pPr>
        <w:pStyle w:val="Heading2"/>
      </w:pPr>
      <w:r>
        <w:t>Remark</w:t>
      </w:r>
    </w:p>
    <w:p w:rsidR="00783FDF" w:rsidRDefault="00783FDF" w:rsidP="00B80867">
      <w:pPr>
        <w:pStyle w:val="ListParagraph"/>
        <w:numPr>
          <w:ilvl w:val="0"/>
          <w:numId w:val="2"/>
        </w:numPr>
      </w:pPr>
      <w:r>
        <w:t>These estimations depend on</w:t>
      </w:r>
    </w:p>
    <w:p w:rsidR="007B3B32" w:rsidRDefault="00B80867" w:rsidP="00B80867">
      <w:pPr>
        <w:pStyle w:val="ListParagraph"/>
        <w:numPr>
          <w:ilvl w:val="0"/>
          <w:numId w:val="2"/>
        </w:numPr>
      </w:pPr>
      <w:r>
        <w:t>These estimations are local. The more h is small the more they will be precise.</w:t>
      </w:r>
    </w:p>
    <w:p w:rsidR="00B80867" w:rsidRPr="007B3B32" w:rsidRDefault="00B80867" w:rsidP="00837F98">
      <w:pPr>
        <w:pStyle w:val="ListParagraph"/>
        <w:numPr>
          <w:ilvl w:val="0"/>
          <w:numId w:val="2"/>
        </w:numPr>
      </w:pPr>
      <w:r>
        <w:t xml:space="preserve">The function </w:t>
      </w:r>
      <m:oMath>
        <m:r>
          <m:rPr>
            <m:sty m:val="p"/>
          </m:rPr>
          <w:rPr>
            <w:rFonts w:ascii="Cambria Math" w:hAnsi="Cambria Math"/>
          </w:rPr>
          <m:t>O(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4</m:t>
            </m:r>
          </m:sup>
        </m:sSup>
        <m:r>
          <m:rPr>
            <m:sty m:val="p"/>
          </m:rPr>
          <w:rPr>
            <w:rFonts w:ascii="Cambria Math" w:hAnsi="Cambria Math"/>
          </w:rPr>
          <m:t>)</m:t>
        </m:r>
      </m:oMath>
      <w:r w:rsidRPr="00B80867">
        <w:t xml:space="preserve"> is the tru</w:t>
      </w:r>
      <w:r>
        <w:t xml:space="preserve">ncation error. It will give an idea of how much decimal are significant in the result. </w:t>
      </w:r>
      <w:r w:rsidR="00837F98">
        <w:t>Here also if h is sufficiently small, it will increase the degree of precision of the calculation (a trade-off exists between the size of h, the memory handled and the computation time).</w:t>
      </w:r>
    </w:p>
    <w:sdt>
      <w:sdtPr>
        <w:rPr>
          <w:rFonts w:asciiTheme="minorHAnsi" w:eastAsiaTheme="minorEastAsia" w:hAnsiTheme="minorHAnsi"/>
          <w:b w:val="0"/>
          <w:bCs w:val="0"/>
          <w:kern w:val="0"/>
          <w:sz w:val="24"/>
          <w:szCs w:val="24"/>
        </w:rPr>
        <w:id w:val="-743633214"/>
        <w:docPartObj>
          <w:docPartGallery w:val="Bibliographies"/>
          <w:docPartUnique/>
        </w:docPartObj>
      </w:sdtPr>
      <w:sdtEndPr/>
      <w:sdtContent>
        <w:p w:rsidR="000949C0" w:rsidRDefault="000949C0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EndPr/>
          <w:sdtContent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noProof/>
                  <w:vanish/>
                </w:rPr>
                <w:t>x</w:t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571"/>
                <w:gridCol w:w="8591"/>
              </w:tblGrid>
              <w:tr w:rsidR="000949C0" w:rsidTr="000949C0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jc w:val="right"/>
                      <w:rPr>
                        <w:noProof/>
                      </w:rPr>
                    </w:pPr>
                    <w:bookmarkStart w:id="1" w:name="LeV07"/>
                    <w:r>
                      <w:rPr>
                        <w:noProof/>
                      </w:rPr>
                      <w:t>[1]</w:t>
                    </w:r>
                    <w:bookmarkEnd w:id="1"/>
                  </w:p>
                </w:tc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LeVeque R J., </w:t>
                    </w:r>
                    <w:r>
                      <w:rPr>
                        <w:i/>
                        <w:iCs/>
                        <w:noProof/>
                      </w:rPr>
                      <w:t>Finite Difference Methods for Ordinary and Partial Differential Equations</w:t>
                    </w:r>
                    <w:r>
                      <w:rPr>
                        <w:noProof/>
                      </w:rPr>
                      <w:t>. Philadelphia: Society for Industrial and Applied Mathematics (SIAM), 2007.</w:t>
                    </w:r>
                  </w:p>
                </w:tc>
              </w:tr>
            </w:tbl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rPr>
                  <w:noProof/>
                  <w:vanish/>
                </w:rPr>
                <w:t>x</w:t>
              </w:r>
            </w:p>
            <w:p w:rsidR="000949C0" w:rsidRDefault="000949C0" w:rsidP="000949C0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684426" w:rsidRDefault="00B91452"/>
    <w:sectPr w:rsidR="0068442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3116EE"/>
    <w:multiLevelType w:val="hybridMultilevel"/>
    <w:tmpl w:val="2B246B46"/>
    <w:lvl w:ilvl="0" w:tplc="350467B0">
      <w:start w:val="5"/>
      <w:numFmt w:val="bullet"/>
      <w:lvlText w:val="-"/>
      <w:lvlJc w:val="left"/>
      <w:pPr>
        <w:ind w:left="720" w:hanging="360"/>
      </w:pPr>
      <w:rPr>
        <w:rFonts w:ascii="Calibri" w:eastAsiaTheme="minorEastAsia" w:hAnsi="Calibri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EB950FD"/>
    <w:multiLevelType w:val="hybridMultilevel"/>
    <w:tmpl w:val="5C6C3594"/>
    <w:lvl w:ilvl="0" w:tplc="040C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4CD0"/>
    <w:rsid w:val="00001673"/>
    <w:rsid w:val="000949C0"/>
    <w:rsid w:val="000A5427"/>
    <w:rsid w:val="000C2741"/>
    <w:rsid w:val="00123844"/>
    <w:rsid w:val="0022223B"/>
    <w:rsid w:val="002B6413"/>
    <w:rsid w:val="002F6DEA"/>
    <w:rsid w:val="003130B2"/>
    <w:rsid w:val="00354353"/>
    <w:rsid w:val="003E02FA"/>
    <w:rsid w:val="004711E2"/>
    <w:rsid w:val="00486516"/>
    <w:rsid w:val="0052505C"/>
    <w:rsid w:val="00572D34"/>
    <w:rsid w:val="0058195E"/>
    <w:rsid w:val="00583F9E"/>
    <w:rsid w:val="00593D66"/>
    <w:rsid w:val="005B1E0D"/>
    <w:rsid w:val="00615B4A"/>
    <w:rsid w:val="006C6E5E"/>
    <w:rsid w:val="00765D8A"/>
    <w:rsid w:val="00783FDF"/>
    <w:rsid w:val="007A3CCE"/>
    <w:rsid w:val="007B3B32"/>
    <w:rsid w:val="00837F98"/>
    <w:rsid w:val="008C18E1"/>
    <w:rsid w:val="008C35FC"/>
    <w:rsid w:val="00901B57"/>
    <w:rsid w:val="00944B82"/>
    <w:rsid w:val="009A0060"/>
    <w:rsid w:val="00A216E0"/>
    <w:rsid w:val="00A41798"/>
    <w:rsid w:val="00A57D1D"/>
    <w:rsid w:val="00A736BB"/>
    <w:rsid w:val="00A9359E"/>
    <w:rsid w:val="00B037A4"/>
    <w:rsid w:val="00B80867"/>
    <w:rsid w:val="00B91452"/>
    <w:rsid w:val="00B93ECB"/>
    <w:rsid w:val="00BA4CD0"/>
    <w:rsid w:val="00BD03C7"/>
    <w:rsid w:val="00D029AC"/>
    <w:rsid w:val="00D1263C"/>
    <w:rsid w:val="00D36538"/>
    <w:rsid w:val="00DE6C3E"/>
    <w:rsid w:val="00E33B49"/>
    <w:rsid w:val="00E37845"/>
    <w:rsid w:val="00E67B71"/>
    <w:rsid w:val="00EA311E"/>
    <w:rsid w:val="00F360D6"/>
    <w:rsid w:val="00FB0A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B91452"/>
    <w:pPr>
      <w:spacing w:before="120" w:after="120"/>
      <w:ind w:right="170"/>
    </w:pPr>
  </w:style>
  <w:style w:type="character" w:customStyle="1" w:styleId="BetweenequationChar">
    <w:name w:val="Between equation Char"/>
    <w:basedOn w:val="DefaultParagraphFont"/>
    <w:link w:val="Betweenequation"/>
    <w:rsid w:val="00B91452"/>
    <w:rPr>
      <w:sz w:val="24"/>
      <w:szCs w:val="24"/>
    </w:rPr>
  </w:style>
  <w:style w:type="table" w:styleId="LightShading">
    <w:name w:val="Light Shading"/>
    <w:basedOn w:val="TableNormal"/>
    <w:uiPriority w:val="60"/>
    <w:rsid w:val="00A216E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A216E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Helmholtz-Shading">
    <w:name w:val="Helmholtz - Shading"/>
    <w:basedOn w:val="LightShading"/>
    <w:uiPriority w:val="99"/>
    <w:rsid w:val="00EA311E"/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B91452"/>
    <w:pPr>
      <w:spacing w:before="120" w:after="120"/>
      <w:ind w:right="170"/>
    </w:pPr>
  </w:style>
  <w:style w:type="character" w:customStyle="1" w:styleId="BetweenequationChar">
    <w:name w:val="Between equation Char"/>
    <w:basedOn w:val="DefaultParagraphFont"/>
    <w:link w:val="Betweenequation"/>
    <w:rsid w:val="00B91452"/>
    <w:rPr>
      <w:sz w:val="24"/>
      <w:szCs w:val="24"/>
    </w:rPr>
  </w:style>
  <w:style w:type="table" w:styleId="LightShading">
    <w:name w:val="Light Shading"/>
    <w:basedOn w:val="TableNormal"/>
    <w:uiPriority w:val="60"/>
    <w:rsid w:val="00A216E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A216E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Helmholtz-Shading">
    <w:name w:val="Helmholtz - Shading"/>
    <w:basedOn w:val="LightShading"/>
    <w:uiPriority w:val="99"/>
    <w:rsid w:val="00EA311E"/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>
  <b:Source>
    <b:Tag>LeV07</b:Tag>
    <b:SourceType>Book</b:SourceType>
    <b:Guid>{51212E0E-5897-4242-9250-1A8900ACCC83}</b:Guid>
    <b:Author>
      <b:Author>
        <b:NameList>
          <b:Person>
            <b:Last>J.</b:Last>
            <b:First>LeVeque</b:First>
            <b:Middle>R</b:Middle>
          </b:Person>
        </b:NameList>
      </b:Author>
    </b:Author>
    <b:Title>Finite Difference Methods for Ordinary and Partial Differential Equations</b:Title>
    <b:Year>2007</b:Year>
    <b:City>Philadelphia</b:City>
    <b:Publisher> Society for Industrial and Applied Mathematics (SIAM)</b:Publisher>
    <b:RefOrder>1</b:RefOrder>
  </b:Source>
</b:Sources>
</file>

<file path=customXml/itemProps1.xml><?xml version="1.0" encoding="utf-8"?>
<ds:datastoreItem xmlns:ds="http://schemas.openxmlformats.org/officeDocument/2006/customXml" ds:itemID="{B148373D-08D0-409A-A306-BF68FF2CDC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template-document.dotx</Template>
  <TotalTime>8</TotalTime>
  <Pages>1</Pages>
  <Words>414</Words>
  <Characters>2360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26</cp:revision>
  <cp:lastPrinted>2014-11-28T12:20:00Z</cp:lastPrinted>
  <dcterms:created xsi:type="dcterms:W3CDTF">2014-12-01T07:39:00Z</dcterms:created>
  <dcterms:modified xsi:type="dcterms:W3CDTF">2014-12-10T11:03:00Z</dcterms:modified>
</cp:coreProperties>
</file>