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SAMUEL SEQUARIS</w:t>
      </w:r>
    </w:p>
    <w:p>
      <w:pPr>
        <w:spacing w:after="40"/>
        <w:jc w:val="center"/>
      </w:pPr>
      <w:r>
        <w:rPr>
          <w:rFonts w:ascii="Arial" w:cs="Arial" w:eastAsia="Arial" w:hAnsi="Arial"/>
          <w:color w:val="444444"/>
          <w:sz w:val="19"/>
          <w:szCs w:val="19"/>
        </w:rPr>
        <w:t xml:space="preserve">samuel.sequaris@gmail.com | +33 7 78 10 77 24 | Paris, France | Permis B</w:t>
      </w:r>
    </w:p>
    <w:p>
      <w:pPr>
        <w:spacing w:after="160" w:before="100"/>
        <w:jc w:val="both"/>
      </w:pPr>
      <w:r>
        <w:rPr>
          <w:rFonts w:ascii="Arial" w:cs="Arial" w:eastAsia="Arial" w:hAnsi="Arial"/>
          <w:i/>
          <w:iCs/>
          <w:sz w:val="20"/>
          <w:szCs w:val="20"/>
        </w:rPr>
        <w:t xml:space="preserve">Fort d’une expérience en gestion de projet, coordination événementielle et déploiement international au sein de maisons de luxe et d’agences premium, je souhaite mettre mes compétences en pilotage de projets, gestion de partenariats et animation de programmes au service d’un environnement innovant à forte dimension IA et data.</w:t>
      </w:r>
    </w:p>
    <w:p>
      <w:pPr>
        <w:pBdr>
          <w:bottom w:val="single" w:color="000000" w:sz="6" w:space="4"/>
        </w:pBdr>
        <w:spacing w:after="100" w:before="200"/>
      </w:pPr>
      <w:r>
        <w:rPr>
          <w:rFonts w:ascii="Arial" w:cs="Arial" w:eastAsia="Arial" w:hAnsi="Arial"/>
          <w:b/>
          <w:bCs/>
          <w:color w:val="000000"/>
          <w:sz w:val="22"/>
          <w:szCs w:val="22"/>
        </w:rPr>
        <w:t xml:space="preserve">EXPÉRIENCE PROFESSIONNELLE</w:t>
      </w:r>
    </w:p>
    <w:p>
      <w:pPr>
        <w:tabs>
          <w:tab w:val="right" w:pos="9026"/>
        </w:tabs>
        <w:spacing w:after="0" w:before="160"/>
      </w:pPr>
      <w:r>
        <w:rPr>
          <w:rFonts w:ascii="Arial" w:cs="Arial" w:eastAsia="Arial" w:hAnsi="Arial"/>
          <w:b/>
          <w:bCs/>
          <w:sz w:val="21"/>
          <w:szCs w:val="21"/>
        </w:rPr>
        <w:t xml:space="preserve">Hermès International</w:t>
      </w:r>
      <w:r>
        <w:rPr>
          <w:rFonts w:ascii="Arial" w:cs="Arial" w:eastAsia="Arial" w:hAnsi="Arial"/>
          <w:i/>
          <w:iCs/>
          <w:sz w:val="20"/>
          <w:szCs w:val="20"/>
        </w:rPr>
        <w:t xml:space="preserve">	Janvier 2025 – Janvier 2026</w:t>
      </w:r>
    </w:p>
    <w:p>
      <w:pPr>
        <w:spacing w:after="40" w:before="0"/>
      </w:pPr>
      <w:r>
        <w:rPr>
          <w:rFonts w:ascii="Arial" w:cs="Arial" w:eastAsia="Arial" w:hAnsi="Arial"/>
          <w:i/>
          <w:iCs/>
          <w:sz w:val="20"/>
          <w:szCs w:val="20"/>
        </w:rPr>
        <w:t xml:space="preserve">Chef de Projet – Expérience Client &amp; Outils Digitaux</w:t>
      </w:r>
      <w:r>
        <w:rPr>
          <w:rFonts w:ascii="Arial" w:cs="Arial" w:eastAsia="Arial" w:hAnsi="Arial"/>
          <w:color w:val="555555"/>
          <w:sz w:val="20"/>
          <w:szCs w:val="20"/>
        </w:rPr>
        <w:t xml:space="preserve">  |  Paris</w:t>
      </w:r>
    </w:p>
    <w:p>
      <w:pPr>
        <w:pStyle w:val="ListParagraph"/>
        <w:numPr>
          <w:ilvl w:val="0"/>
          <w:numId w:val="2"/>
        </w:numPr>
        <w:spacing w:after="30"/>
      </w:pPr>
      <w:r>
        <w:rPr>
          <w:rFonts w:ascii="Arial" w:cs="Arial" w:eastAsia="Arial" w:hAnsi="Arial"/>
          <w:sz w:val="20"/>
          <w:szCs w:val="20"/>
        </w:rPr>
        <w:t xml:space="preserve">Pilotage du déploiement international de plusieurs outils digitaux (clienteling, catalogues digitaux, solutions opérationnelles) en coordination avec le siège, les équipes terrain et les partenaires technologiques.</w:t>
      </w:r>
    </w:p>
    <w:p>
      <w:pPr>
        <w:pStyle w:val="ListParagraph"/>
        <w:numPr>
          <w:ilvl w:val="0"/>
          <w:numId w:val="2"/>
        </w:numPr>
        <w:spacing w:after="30"/>
      </w:pPr>
      <w:r>
        <w:rPr>
          <w:rFonts w:ascii="Arial" w:cs="Arial" w:eastAsia="Arial" w:hAnsi="Arial"/>
          <w:sz w:val="20"/>
          <w:szCs w:val="20"/>
        </w:rPr>
        <w:t xml:space="preserve">Gestion des parties prenantes cross-fonctionnelles sous gouvernance de direction : négociation des plannings, suivi des livrables et garantie de la qualité d’exécution.</w:t>
      </w:r>
    </w:p>
    <w:p>
      <w:pPr>
        <w:pStyle w:val="ListParagraph"/>
        <w:numPr>
          <w:ilvl w:val="0"/>
          <w:numId w:val="2"/>
        </w:numPr>
        <w:spacing w:after="30"/>
      </w:pPr>
      <w:r>
        <w:rPr>
          <w:rFonts w:ascii="Arial" w:cs="Arial" w:eastAsia="Arial" w:hAnsi="Arial"/>
          <w:sz w:val="20"/>
          <w:szCs w:val="20"/>
        </w:rPr>
        <w:t xml:space="preserve">Mise en place de frameworks de reporting, suivi de KPIs de performance et d’adoption, et itérations continues basées sur les retours terrain.</w:t>
      </w:r>
    </w:p>
    <w:p>
      <w:pPr>
        <w:pStyle w:val="ListParagraph"/>
        <w:numPr>
          <w:ilvl w:val="0"/>
          <w:numId w:val="2"/>
        </w:numPr>
        <w:spacing w:after="30"/>
      </w:pPr>
      <w:r>
        <w:rPr>
          <w:rFonts w:ascii="Arial" w:cs="Arial" w:eastAsia="Arial" w:hAnsi="Arial"/>
          <w:sz w:val="20"/>
          <w:szCs w:val="20"/>
        </w:rPr>
        <w:t xml:space="preserve">Animation de programmes de formation et accompagnement au changement auprès des équipes opérationnelles sur plusieurs marchés.</w:t>
      </w:r>
    </w:p>
    <w:p>
      <w:pPr>
        <w:pStyle w:val="ListParagraph"/>
        <w:numPr>
          <w:ilvl w:val="0"/>
          <w:numId w:val="2"/>
        </w:numPr>
        <w:spacing w:after="30"/>
      </w:pPr>
      <w:r>
        <w:rPr>
          <w:rFonts w:ascii="Arial" w:cs="Arial" w:eastAsia="Arial" w:hAnsi="Arial"/>
          <w:sz w:val="20"/>
          <w:szCs w:val="20"/>
        </w:rPr>
        <w:t xml:space="preserve">Conception UX/UI sur Figma (wireframes, maquettes) et rédaction de spécifications fonctionnelles pour les équipes de développement.</w:t>
      </w:r>
    </w:p>
    <w:p>
      <w:pPr>
        <w:tabs>
          <w:tab w:val="right" w:pos="9026"/>
        </w:tabs>
        <w:spacing w:after="0" w:before="160"/>
      </w:pPr>
      <w:r>
        <w:rPr>
          <w:rFonts w:ascii="Arial" w:cs="Arial" w:eastAsia="Arial" w:hAnsi="Arial"/>
          <w:b/>
          <w:bCs/>
          <w:sz w:val="21"/>
          <w:szCs w:val="21"/>
        </w:rPr>
        <w:t xml:space="preserve">Hermès Paris</w:t>
      </w:r>
      <w:r>
        <w:rPr>
          <w:rFonts w:ascii="Arial" w:cs="Arial" w:eastAsia="Arial" w:hAnsi="Arial"/>
          <w:i/>
          <w:iCs/>
          <w:sz w:val="20"/>
          <w:szCs w:val="20"/>
        </w:rPr>
        <w:t xml:space="preserve">	Novembre 2024 – Janvier 2025</w:t>
      </w:r>
    </w:p>
    <w:p>
      <w:pPr>
        <w:spacing w:after="40" w:before="0"/>
      </w:pPr>
      <w:r>
        <w:rPr>
          <w:rFonts w:ascii="Arial" w:cs="Arial" w:eastAsia="Arial" w:hAnsi="Arial"/>
          <w:i/>
          <w:iCs/>
          <w:sz w:val="20"/>
          <w:szCs w:val="20"/>
        </w:rPr>
        <w:t xml:space="preserve">Conseiller de Vente</w:t>
      </w:r>
      <w:r>
        <w:rPr>
          <w:rFonts w:ascii="Arial" w:cs="Arial" w:eastAsia="Arial" w:hAnsi="Arial"/>
          <w:color w:val="555555"/>
          <w:sz w:val="20"/>
          <w:szCs w:val="20"/>
        </w:rPr>
        <w:t xml:space="preserve">  |  Paris</w:t>
      </w:r>
    </w:p>
    <w:p>
      <w:pPr>
        <w:pStyle w:val="ListParagraph"/>
        <w:numPr>
          <w:ilvl w:val="0"/>
          <w:numId w:val="2"/>
        </w:numPr>
        <w:spacing w:after="30"/>
      </w:pPr>
      <w:r>
        <w:rPr>
          <w:rFonts w:ascii="Arial" w:cs="Arial" w:eastAsia="Arial" w:hAnsi="Arial"/>
          <w:sz w:val="20"/>
          <w:szCs w:val="20"/>
        </w:rPr>
        <w:t xml:space="preserve">Expérience terrain de la relation client dans un environnement de luxe exigeant, développant une compréhension approfondie des parcours utilisateurs.</w:t>
      </w:r>
    </w:p>
    <w:p>
      <w:pPr>
        <w:pStyle w:val="ListParagraph"/>
        <w:numPr>
          <w:ilvl w:val="0"/>
          <w:numId w:val="2"/>
        </w:numPr>
        <w:spacing w:after="30"/>
      </w:pPr>
      <w:r>
        <w:rPr>
          <w:rFonts w:ascii="Arial" w:cs="Arial" w:eastAsia="Arial" w:hAnsi="Arial"/>
          <w:sz w:val="20"/>
          <w:szCs w:val="20"/>
        </w:rPr>
        <w:t xml:space="preserve">Application des standards de marque et des procédures opérationnelles dans un contexte de haute performance.</w:t>
      </w:r>
    </w:p>
    <w:p>
      <w:pPr>
        <w:tabs>
          <w:tab w:val="right" w:pos="9026"/>
        </w:tabs>
        <w:spacing w:after="0" w:before="160"/>
      </w:pPr>
      <w:r>
        <w:rPr>
          <w:rFonts w:ascii="Arial" w:cs="Arial" w:eastAsia="Arial" w:hAnsi="Arial"/>
          <w:b/>
          <w:bCs/>
          <w:sz w:val="21"/>
          <w:szCs w:val="21"/>
        </w:rPr>
        <w:t xml:space="preserve">Hopscotch Luxe</w:t>
      </w:r>
      <w:r>
        <w:rPr>
          <w:rFonts w:ascii="Arial" w:cs="Arial" w:eastAsia="Arial" w:hAnsi="Arial"/>
          <w:i/>
          <w:iCs/>
          <w:sz w:val="20"/>
          <w:szCs w:val="20"/>
        </w:rPr>
        <w:t xml:space="preserve">	Juillet 2024 – Octobre 2024</w:t>
      </w:r>
    </w:p>
    <w:p>
      <w:pPr>
        <w:spacing w:after="40" w:before="0"/>
      </w:pPr>
      <w:r>
        <w:rPr>
          <w:rFonts w:ascii="Arial" w:cs="Arial" w:eastAsia="Arial" w:hAnsi="Arial"/>
          <w:i/>
          <w:iCs/>
          <w:sz w:val="20"/>
          <w:szCs w:val="20"/>
        </w:rPr>
        <w:t xml:space="preserve">Chef de Projet (Stage)</w:t>
      </w:r>
      <w:r>
        <w:rPr>
          <w:rFonts w:ascii="Arial" w:cs="Arial" w:eastAsia="Arial" w:hAnsi="Arial"/>
          <w:color w:val="555555"/>
          <w:sz w:val="20"/>
          <w:szCs w:val="20"/>
        </w:rPr>
        <w:t xml:space="preserve">  |  Paris</w:t>
      </w:r>
    </w:p>
    <w:p>
      <w:pPr>
        <w:pStyle w:val="ListParagraph"/>
        <w:numPr>
          <w:ilvl w:val="0"/>
          <w:numId w:val="2"/>
        </w:numPr>
        <w:spacing w:after="30"/>
      </w:pPr>
      <w:r>
        <w:rPr>
          <w:rFonts w:ascii="Arial" w:cs="Arial" w:eastAsia="Arial" w:hAnsi="Arial"/>
          <w:sz w:val="20"/>
          <w:szCs w:val="20"/>
        </w:rPr>
        <w:t xml:space="preserve">Gestion de bout en bout de projets événementiels haut de gamme : cadrage stratégique, planification, sélection et coordination des prestataires.</w:t>
      </w:r>
    </w:p>
    <w:p>
      <w:pPr>
        <w:pStyle w:val="ListParagraph"/>
        <w:numPr>
          <w:ilvl w:val="0"/>
          <w:numId w:val="2"/>
        </w:numPr>
        <w:spacing w:after="30"/>
      </w:pPr>
      <w:r>
        <w:rPr>
          <w:rFonts w:ascii="Arial" w:cs="Arial" w:eastAsia="Arial" w:hAnsi="Arial"/>
          <w:sz w:val="20"/>
          <w:szCs w:val="20"/>
        </w:rPr>
        <w:t xml:space="preserve">Pilotage de roadmaps projet, gestion des délais et coordination opérationnelle pour un portefeuille de clients luxe.</w:t>
      </w:r>
    </w:p>
    <w:p>
      <w:pPr>
        <w:pStyle w:val="ListParagraph"/>
        <w:numPr>
          <w:ilvl w:val="0"/>
          <w:numId w:val="2"/>
        </w:numPr>
        <w:spacing w:after="30"/>
      </w:pPr>
      <w:r>
        <w:rPr>
          <w:rFonts w:ascii="Arial" w:cs="Arial" w:eastAsia="Arial" w:hAnsi="Arial"/>
          <w:sz w:val="20"/>
          <w:szCs w:val="20"/>
        </w:rPr>
        <w:t xml:space="preserve">Construction de programmes événementiels en lien avec les équipes communication et les partenaires.</w:t>
      </w:r>
    </w:p>
    <w:p>
      <w:pPr>
        <w:tabs>
          <w:tab w:val="right" w:pos="9026"/>
        </w:tabs>
        <w:spacing w:after="0" w:before="160"/>
      </w:pPr>
      <w:r>
        <w:rPr>
          <w:rFonts w:ascii="Arial" w:cs="Arial" w:eastAsia="Arial" w:hAnsi="Arial"/>
          <w:b/>
          <w:bCs/>
          <w:sz w:val="21"/>
          <w:szCs w:val="21"/>
        </w:rPr>
        <w:t xml:space="preserve">L’Atelier des Artistes / La Galerie</w:t>
      </w:r>
      <w:r>
        <w:rPr>
          <w:rFonts w:ascii="Arial" w:cs="Arial" w:eastAsia="Arial" w:hAnsi="Arial"/>
          <w:i/>
          <w:iCs/>
          <w:sz w:val="20"/>
          <w:szCs w:val="20"/>
        </w:rPr>
        <w:t xml:space="preserve">	Octobre 2023 – Décembre 2023</w:t>
      </w:r>
    </w:p>
    <w:p>
      <w:pPr>
        <w:spacing w:after="40" w:before="0"/>
      </w:pPr>
      <w:r>
        <w:rPr>
          <w:rFonts w:ascii="Arial" w:cs="Arial" w:eastAsia="Arial" w:hAnsi="Arial"/>
          <w:i/>
          <w:iCs/>
          <w:sz w:val="20"/>
          <w:szCs w:val="20"/>
        </w:rPr>
        <w:t xml:space="preserve">Directeur de Projet</w:t>
      </w:r>
      <w:r>
        <w:rPr>
          <w:rFonts w:ascii="Arial" w:cs="Arial" w:eastAsia="Arial" w:hAnsi="Arial"/>
          <w:color w:val="555555"/>
          <w:sz w:val="20"/>
          <w:szCs w:val="20"/>
        </w:rPr>
        <w:t xml:space="preserve">  |  Lyon</w:t>
      </w:r>
    </w:p>
    <w:p>
      <w:pPr>
        <w:pStyle w:val="ListParagraph"/>
        <w:numPr>
          <w:ilvl w:val="0"/>
          <w:numId w:val="2"/>
        </w:numPr>
        <w:spacing w:after="30"/>
      </w:pPr>
      <w:r>
        <w:rPr>
          <w:rFonts w:ascii="Arial" w:cs="Arial" w:eastAsia="Arial" w:hAnsi="Arial"/>
          <w:sz w:val="20"/>
          <w:szCs w:val="20"/>
        </w:rPr>
        <w:t xml:space="preserve">Direction complète d’un événement de 9 jours pour 1 200 participants : programmation, logistique et exécution.</w:t>
      </w:r>
    </w:p>
    <w:p>
      <w:pPr>
        <w:pStyle w:val="ListParagraph"/>
        <w:numPr>
          <w:ilvl w:val="0"/>
          <w:numId w:val="2"/>
        </w:numPr>
        <w:spacing w:after="30"/>
      </w:pPr>
      <w:r>
        <w:rPr>
          <w:rFonts w:ascii="Arial" w:cs="Arial" w:eastAsia="Arial" w:hAnsi="Arial"/>
          <w:sz w:val="20"/>
          <w:szCs w:val="20"/>
        </w:rPr>
        <w:t xml:space="preserve">Supervision, formation et onboarding d’une équipe pluridisciplinaire de 120 collaborateurs.</w:t>
      </w:r>
    </w:p>
    <w:p>
      <w:pPr>
        <w:tabs>
          <w:tab w:val="right" w:pos="9026"/>
        </w:tabs>
        <w:spacing w:after="0" w:before="160"/>
      </w:pPr>
      <w:r>
        <w:rPr>
          <w:rFonts w:ascii="Arial" w:cs="Arial" w:eastAsia="Arial" w:hAnsi="Arial"/>
          <w:b/>
          <w:bCs/>
          <w:sz w:val="21"/>
          <w:szCs w:val="21"/>
        </w:rPr>
        <w:t xml:space="preserve">Potel &amp; Chabot</w:t>
      </w:r>
      <w:r>
        <w:rPr>
          <w:rFonts w:ascii="Arial" w:cs="Arial" w:eastAsia="Arial" w:hAnsi="Arial"/>
          <w:i/>
          <w:iCs/>
          <w:sz w:val="20"/>
          <w:szCs w:val="20"/>
        </w:rPr>
        <w:t xml:space="preserve">	Juillet 2022 – Décembre 2022</w:t>
      </w:r>
    </w:p>
    <w:p>
      <w:pPr>
        <w:spacing w:after="40" w:before="0"/>
      </w:pPr>
      <w:r>
        <w:rPr>
          <w:rFonts w:ascii="Arial" w:cs="Arial" w:eastAsia="Arial" w:hAnsi="Arial"/>
          <w:i/>
          <w:iCs/>
          <w:sz w:val="20"/>
          <w:szCs w:val="20"/>
        </w:rPr>
        <w:t xml:space="preserve">Chef de Projet International (Stage)</w:t>
      </w:r>
      <w:r>
        <w:rPr>
          <w:rFonts w:ascii="Arial" w:cs="Arial" w:eastAsia="Arial" w:hAnsi="Arial"/>
          <w:color w:val="555555"/>
          <w:sz w:val="20"/>
          <w:szCs w:val="20"/>
        </w:rPr>
        <w:t xml:space="preserve">  |  Paris</w:t>
      </w:r>
    </w:p>
    <w:p>
      <w:pPr>
        <w:pStyle w:val="ListParagraph"/>
        <w:numPr>
          <w:ilvl w:val="0"/>
          <w:numId w:val="2"/>
        </w:numPr>
        <w:spacing w:after="30"/>
      </w:pPr>
      <w:r>
        <w:rPr>
          <w:rFonts w:ascii="Arial" w:cs="Arial" w:eastAsia="Arial" w:hAnsi="Arial"/>
          <w:sz w:val="20"/>
          <w:szCs w:val="20"/>
        </w:rPr>
        <w:t xml:space="preserve">Développement de solutions sur-mesure et gestion de la relation avec des clients et partenaires internationaux du luxe.</w:t>
      </w:r>
    </w:p>
    <w:p>
      <w:pPr>
        <w:pStyle w:val="ListParagraph"/>
        <w:numPr>
          <w:ilvl w:val="0"/>
          <w:numId w:val="2"/>
        </w:numPr>
        <w:spacing w:after="30"/>
      </w:pPr>
      <w:r>
        <w:rPr>
          <w:rFonts w:ascii="Arial" w:cs="Arial" w:eastAsia="Arial" w:hAnsi="Arial"/>
          <w:sz w:val="20"/>
          <w:szCs w:val="20"/>
        </w:rPr>
        <w:t xml:space="preserve">Coordination des partenaires et formation des équipes opérationnelles pour des projets d’envergure internationale (FIFA World Cup).</w:t>
      </w:r>
    </w:p>
    <w:p>
      <w:pPr>
        <w:tabs>
          <w:tab w:val="right" w:pos="9026"/>
        </w:tabs>
        <w:spacing w:after="0" w:before="160"/>
      </w:pPr>
      <w:r>
        <w:rPr>
          <w:rFonts w:ascii="Arial" w:cs="Arial" w:eastAsia="Arial" w:hAnsi="Arial"/>
          <w:b/>
          <w:bCs/>
          <w:sz w:val="21"/>
          <w:szCs w:val="21"/>
        </w:rPr>
        <w:t xml:space="preserve">Septime (Restaurant étoilé Michelin)</w:t>
      </w:r>
      <w:r>
        <w:rPr>
          <w:rFonts w:ascii="Arial" w:cs="Arial" w:eastAsia="Arial" w:hAnsi="Arial"/>
          <w:i/>
          <w:iCs/>
          <w:sz w:val="20"/>
          <w:szCs w:val="20"/>
        </w:rPr>
        <w:t xml:space="preserve">	Avril 2021 – Août 2021</w:t>
      </w:r>
    </w:p>
    <w:p>
      <w:pPr>
        <w:spacing w:after="40" w:before="0"/>
      </w:pPr>
      <w:r>
        <w:rPr>
          <w:rFonts w:ascii="Arial" w:cs="Arial" w:eastAsia="Arial" w:hAnsi="Arial"/>
          <w:i/>
          <w:iCs/>
          <w:sz w:val="20"/>
          <w:szCs w:val="20"/>
        </w:rPr>
        <w:t xml:space="preserve">Commis de Cuisine</w:t>
      </w:r>
      <w:r>
        <w:rPr>
          <w:rFonts w:ascii="Arial" w:cs="Arial" w:eastAsia="Arial" w:hAnsi="Arial"/>
          <w:color w:val="555555"/>
          <w:sz w:val="20"/>
          <w:szCs w:val="20"/>
        </w:rPr>
        <w:t xml:space="preserve">  |  Paris</w:t>
      </w:r>
    </w:p>
    <w:p>
      <w:pPr>
        <w:pStyle w:val="ListParagraph"/>
        <w:numPr>
          <w:ilvl w:val="0"/>
          <w:numId w:val="2"/>
        </w:numPr>
        <w:spacing w:after="30"/>
      </w:pPr>
      <w:r>
        <w:rPr>
          <w:rFonts w:ascii="Arial" w:cs="Arial" w:eastAsia="Arial" w:hAnsi="Arial"/>
          <w:sz w:val="20"/>
          <w:szCs w:val="20"/>
        </w:rPr>
        <w:t xml:space="preserve">Support aux opérations de cuisine et au service dans un environnement de haute performance.</w:t>
      </w:r>
    </w:p>
    <w:p>
      <w:pPr>
        <w:pBdr>
          <w:bottom w:val="single" w:color="000000" w:sz="6" w:space="4"/>
        </w:pBdr>
        <w:spacing w:after="100" w:before="200"/>
      </w:pPr>
      <w:r>
        <w:rPr>
          <w:rFonts w:ascii="Arial" w:cs="Arial" w:eastAsia="Arial" w:hAnsi="Arial"/>
          <w:b/>
          <w:bCs/>
          <w:color w:val="000000"/>
          <w:sz w:val="22"/>
          <w:szCs w:val="22"/>
        </w:rPr>
        <w:t xml:space="preserve">COMPÉTENCES</w:t>
      </w:r>
    </w:p>
    <w:p>
      <w:pPr>
        <w:spacing w:after="40"/>
      </w:pPr>
      <w:r>
        <w:rPr>
          <w:rFonts w:ascii="Arial" w:cs="Arial" w:eastAsia="Arial" w:hAnsi="Arial"/>
          <w:b/>
          <w:bCs/>
          <w:sz w:val="20"/>
          <w:szCs w:val="20"/>
        </w:rPr>
        <w:t xml:space="preserve">Gestion de projet &amp; événementiel : </w:t>
      </w:r>
      <w:r>
        <w:rPr>
          <w:rFonts w:ascii="Arial" w:cs="Arial" w:eastAsia="Arial" w:hAnsi="Arial"/>
          <w:sz w:val="20"/>
          <w:szCs w:val="20"/>
        </w:rPr>
        <w:t xml:space="preserve">Pilotage de projets de bout en bout, gestion de partenariats, construction de programmes, coordination multi-parties prenantes, roadmaps, suivi budgétaire et KPIs.</w:t>
      </w:r>
    </w:p>
    <w:p>
      <w:pPr>
        <w:spacing w:after="40"/>
      </w:pPr>
      <w:r>
        <w:rPr>
          <w:rFonts w:ascii="Arial" w:cs="Arial" w:eastAsia="Arial" w:hAnsi="Arial"/>
          <w:b/>
          <w:bCs/>
          <w:sz w:val="20"/>
          <w:szCs w:val="20"/>
        </w:rPr>
        <w:t xml:space="preserve">Communication &amp; animation : </w:t>
      </w:r>
      <w:r>
        <w:rPr>
          <w:rFonts w:ascii="Arial" w:cs="Arial" w:eastAsia="Arial" w:hAnsi="Arial"/>
          <w:sz w:val="20"/>
          <w:szCs w:val="20"/>
        </w:rPr>
        <w:t xml:space="preserve">Prise de parole, présentation orale, animation de communautés, rédaction de contenus, relations partenaires et sponsors.</w:t>
      </w:r>
    </w:p>
    <w:p>
      <w:pPr>
        <w:spacing w:after="40"/>
      </w:pPr>
      <w:r>
        <w:rPr>
          <w:rFonts w:ascii="Arial" w:cs="Arial" w:eastAsia="Arial" w:hAnsi="Arial"/>
          <w:b/>
          <w:bCs/>
          <w:sz w:val="20"/>
          <w:szCs w:val="20"/>
        </w:rPr>
        <w:t xml:space="preserve">IA &amp; Data : </w:t>
      </w:r>
      <w:r>
        <w:rPr>
          <w:rFonts w:ascii="Arial" w:cs="Arial" w:eastAsia="Arial" w:hAnsi="Arial"/>
          <w:sz w:val="20"/>
          <w:szCs w:val="20"/>
        </w:rPr>
        <w:t xml:space="preserve">Connaissance des enjeux IA et data (use cases entreprise, conciergerie digitale IA), veille technologique, outils IA (Claude, ChatGPT), compréhension des architectures techniques (APIs, bases de données).</w:t>
      </w:r>
    </w:p>
    <w:p>
      <w:pPr>
        <w:spacing w:after="40"/>
      </w:pPr>
      <w:r>
        <w:rPr>
          <w:rFonts w:ascii="Arial" w:cs="Arial" w:eastAsia="Arial" w:hAnsi="Arial"/>
          <w:b/>
          <w:bCs/>
          <w:sz w:val="20"/>
          <w:szCs w:val="20"/>
        </w:rPr>
        <w:t xml:space="preserve">Outils digitaux : </w:t>
      </w:r>
      <w:r>
        <w:rPr>
          <w:rFonts w:ascii="Arial" w:cs="Arial" w:eastAsia="Arial" w:hAnsi="Arial"/>
          <w:sz w:val="20"/>
          <w:szCs w:val="20"/>
        </w:rPr>
        <w:t xml:space="preserve">Jira, Notion, Figma, Salesforce, Microsoft Office Suite, Canva, Adobe, outils de gestion de projet.</w:t>
      </w:r>
    </w:p>
    <w:p>
      <w:pPr>
        <w:spacing w:after="40"/>
      </w:pPr>
      <w:r>
        <w:rPr>
          <w:rFonts w:ascii="Arial" w:cs="Arial" w:eastAsia="Arial" w:hAnsi="Arial"/>
          <w:b/>
          <w:bCs/>
          <w:sz w:val="20"/>
          <w:szCs w:val="20"/>
        </w:rPr>
        <w:t xml:space="preserve">Langues : </w:t>
      </w:r>
      <w:r>
        <w:rPr>
          <w:rFonts w:ascii="Arial" w:cs="Arial" w:eastAsia="Arial" w:hAnsi="Arial"/>
          <w:sz w:val="20"/>
          <w:szCs w:val="20"/>
        </w:rPr>
        <w:t xml:space="preserve">Français (langue maternelle) | Anglais (TOEIC 950/990 – courant professionnel)</w:t>
      </w:r>
    </w:p>
    <w:p>
      <w:pPr>
        <w:pBdr>
          <w:bottom w:val="single" w:color="000000" w:sz="6" w:space="4"/>
        </w:pBdr>
        <w:spacing w:after="100" w:before="200"/>
      </w:pPr>
      <w:r>
        <w:rPr>
          <w:rFonts w:ascii="Arial" w:cs="Arial" w:eastAsia="Arial" w:hAnsi="Arial"/>
          <w:b/>
          <w:bCs/>
          <w:color w:val="000000"/>
          <w:sz w:val="22"/>
          <w:szCs w:val="22"/>
        </w:rPr>
        <w:t xml:space="preserve">FORMATION</w:t>
      </w:r>
    </w:p>
    <w:p>
      <w:pPr>
        <w:tabs>
          <w:tab w:val="right" w:pos="9026"/>
        </w:tabs>
        <w:spacing w:after="40" w:before="80"/>
      </w:pPr>
      <w:r>
        <w:rPr>
          <w:rFonts w:ascii="Arial" w:cs="Arial" w:eastAsia="Arial" w:hAnsi="Arial"/>
          <w:b/>
          <w:bCs/>
          <w:sz w:val="20"/>
          <w:szCs w:val="20"/>
        </w:rPr>
        <w:t xml:space="preserve">EM Lyon business school</w:t>
      </w:r>
      <w:r>
        <w:rPr>
          <w:rFonts w:ascii="Arial" w:cs="Arial" w:eastAsia="Arial" w:hAnsi="Arial"/>
          <w:sz w:val="20"/>
          <w:szCs w:val="20"/>
        </w:rPr>
        <w:t xml:space="preserve"> — MSc International Hospitality Management</w:t>
      </w:r>
      <w:r>
        <w:rPr>
          <w:rFonts w:ascii="Arial" w:cs="Arial" w:eastAsia="Arial" w:hAnsi="Arial"/>
          <w:i/>
          <w:iCs/>
          <w:sz w:val="20"/>
          <w:szCs w:val="20"/>
        </w:rPr>
        <w:t xml:space="preserve">	2023 – 2024</w:t>
      </w:r>
    </w:p>
    <w:p>
      <w:pPr>
        <w:tabs>
          <w:tab w:val="right" w:pos="9026"/>
        </w:tabs>
        <w:spacing w:after="40"/>
      </w:pPr>
      <w:r>
        <w:rPr>
          <w:rFonts w:ascii="Arial" w:cs="Arial" w:eastAsia="Arial" w:hAnsi="Arial"/>
          <w:b/>
          <w:bCs/>
          <w:sz w:val="20"/>
          <w:szCs w:val="20"/>
        </w:rPr>
        <w:t xml:space="preserve">UNLV</w:t>
      </w:r>
      <w:r>
        <w:rPr>
          <w:rFonts w:ascii="Arial" w:cs="Arial" w:eastAsia="Arial" w:hAnsi="Arial"/>
          <w:sz w:val="20"/>
          <w:szCs w:val="20"/>
        </w:rPr>
        <w:t xml:space="preserve"> — International Exchange Program (USA)</w:t>
      </w:r>
      <w:r>
        <w:rPr>
          <w:rFonts w:ascii="Arial" w:cs="Arial" w:eastAsia="Arial" w:hAnsi="Arial"/>
          <w:i/>
          <w:iCs/>
          <w:sz w:val="20"/>
          <w:szCs w:val="20"/>
        </w:rPr>
        <w:t xml:space="preserve">	2024</w:t>
      </w:r>
    </w:p>
    <w:p>
      <w:pPr>
        <w:tabs>
          <w:tab w:val="right" w:pos="9026"/>
        </w:tabs>
        <w:spacing w:after="20"/>
      </w:pPr>
      <w:r>
        <w:rPr>
          <w:rFonts w:ascii="Arial" w:cs="Arial" w:eastAsia="Arial" w:hAnsi="Arial"/>
          <w:b/>
          <w:bCs/>
          <w:sz w:val="20"/>
          <w:szCs w:val="20"/>
        </w:rPr>
        <w:t xml:space="preserve">Institut Lyfe (ex. Institut Paul Bocuse)</w:t>
      </w:r>
      <w:r>
        <w:rPr>
          <w:rFonts w:ascii="Arial" w:cs="Arial" w:eastAsia="Arial" w:hAnsi="Arial"/>
          <w:sz w:val="20"/>
          <w:szCs w:val="20"/>
        </w:rPr>
        <w:t xml:space="preserve"> — Bachelor (Hons.) International Hospitality &amp; Restaurant Management</w:t>
      </w:r>
      <w:r>
        <w:rPr>
          <w:rFonts w:ascii="Arial" w:cs="Arial" w:eastAsia="Arial" w:hAnsi="Arial"/>
          <w:i/>
          <w:iCs/>
          <w:sz w:val="20"/>
          <w:szCs w:val="20"/>
        </w:rPr>
        <w:t xml:space="preserve">	2019 – 2023</w:t>
      </w:r>
    </w:p>
    <w:p>
      <w:pPr>
        <w:spacing w:after="40"/>
      </w:pPr>
      <w:r>
        <w:rPr>
          <w:rFonts w:ascii="Arial" w:cs="Arial" w:eastAsia="Arial" w:hAnsi="Arial"/>
          <w:i/>
          <w:iCs/>
          <w:sz w:val="19"/>
          <w:szCs w:val="19"/>
        </w:rPr>
        <w:t xml:space="preserve">Spécialisation : Strategic Meetings &amp; Events Management</w:t>
      </w:r>
    </w:p>
    <w:p>
      <w:pPr>
        <w:pBdr>
          <w:bottom w:val="single" w:color="000000" w:sz="6" w:space="4"/>
        </w:pBdr>
        <w:spacing w:after="100" w:before="200"/>
      </w:pPr>
      <w:r>
        <w:rPr>
          <w:rFonts w:ascii="Arial" w:cs="Arial" w:eastAsia="Arial" w:hAnsi="Arial"/>
          <w:b/>
          <w:bCs/>
          <w:color w:val="000000"/>
          <w:sz w:val="22"/>
          <w:szCs w:val="22"/>
        </w:rPr>
        <w:t xml:space="preserve">PROJETS ACADÉMIQUES</w:t>
      </w:r>
    </w:p>
    <w:p>
      <w:pPr>
        <w:pStyle w:val="ListParagraph"/>
        <w:numPr>
          <w:ilvl w:val="0"/>
          <w:numId w:val="2"/>
        </w:numPr>
        <w:spacing w:after="30"/>
      </w:pPr>
      <w:r>
        <w:rPr>
          <w:rFonts w:ascii="Arial" w:cs="Arial" w:eastAsia="Arial" w:hAnsi="Arial"/>
          <w:sz w:val="20"/>
          <w:szCs w:val="20"/>
        </w:rPr>
        <w:t xml:space="preserve">ACCOR Hotel Brand Development – Développement du positionnement d’une marque de luxe hôtelière, stratégie technologique et framework d’expérience client.</w:t>
      </w:r>
    </w:p>
    <w:p>
      <w:pPr>
        <w:pStyle w:val="ListParagraph"/>
        <w:numPr>
          <w:ilvl w:val="0"/>
          <w:numId w:val="2"/>
        </w:numPr>
        <w:spacing w:after="30"/>
      </w:pPr>
      <w:r>
        <w:rPr>
          <w:rFonts w:ascii="Arial" w:cs="Arial" w:eastAsia="Arial" w:hAnsi="Arial"/>
          <w:sz w:val="20"/>
          <w:szCs w:val="20"/>
        </w:rPr>
        <w:t xml:space="preserve">MGM Resorts International – Recommandation stratégique pour un service de conciergerie digitale propulsé par l’IA (analyse de marché, proposition de valeur, modélisation du service).</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2026-03-29T19:41:43.859Z</dcterms:created>
  <dcterms:modified xsi:type="dcterms:W3CDTF">2026-03-29T19:41:43.859Z</dcterms:modified>
</cp:coreProperties>
</file>

<file path=docProps/custom.xml><?xml version="1.0" encoding="utf-8"?>
<Properties xmlns="http://schemas.openxmlformats.org/officeDocument/2006/custom-properties" xmlns:vt="http://schemas.openxmlformats.org/officeDocument/2006/docPropsVTypes"/>
</file>