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DRG Model Explainability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SHAP-Based Claim Category Framework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Confidence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● HIGH — Overpayment 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000"/>
                <w:sz w:val="20"/>
                <w:szCs w:val="20"/>
              </w:rPr>
              <w:t xml:space="preserve">● MEDIUM — Needs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● LOW — Clean Claim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🔴  High Overpayment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High Overpayment Risk — SHAP Driven Categories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Selection 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Influence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Drivers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1. Clinical Severity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● 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MCC/CC inflated vs DRG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2. Provider Behaviour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● 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Provider billing anomaly x DRG/MCC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3. DRG Upcoding Risk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● 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DRG weight ↑, CC/MCC count 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4. LOS Outlier – Low Acuity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● 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LOS GM ratio ↑, MCC count 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5. Acuity-Discharge Mismatch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● 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MCC all ↑, Discharge status 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6. Comorbidity Inflation Risk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● 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CC all ↑, Primary diag 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7. Procedure Unbundling Risk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● 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Proc code ↑, DRG 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8. Diagnosis-Procedure Mismatch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● 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Primary diag ↑, Proc code ↓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7000"/>
          <w:sz w:val="36"/>
          <w:szCs w:val="36"/>
        </w:rPr>
        <w:t xml:space="preserve">🟡  Ambiguous / Needs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Ambiguous — Competing SHAP Signal Categories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Selection 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Influence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Drivers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1. Clinical Severity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000"/>
                <w:sz w:val="18"/>
                <w:szCs w:val="18"/>
              </w:rPr>
              <w:t xml:space="preserve">● 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MCC/CC partially supports DRG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2. Provider Behaviour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000"/>
                <w:sz w:val="18"/>
                <w:szCs w:val="18"/>
              </w:rPr>
              <w:t xml:space="preserve">● 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Provider elevated, diag complex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3. Mixed Acuity Signal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000"/>
                <w:sz w:val="18"/>
                <w:szCs w:val="18"/>
              </w:rPr>
              <w:t xml:space="preserve">● 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MCC all ↑, CC all ↑ roughly equal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4. LOS Borderline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000"/>
                <w:sz w:val="18"/>
                <w:szCs w:val="18"/>
              </w:rPr>
              <w:t xml:space="preserve">● 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LOS GM ratio neutral, DRG moderate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5. DRG-Diagnosis Tension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000"/>
                <w:sz w:val="18"/>
                <w:szCs w:val="18"/>
              </w:rPr>
              <w:t xml:space="preserve">● 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DRG ↑, Primary diag pulling opposite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6. Provider-Diagnosis Conflict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000"/>
                <w:sz w:val="18"/>
                <w:szCs w:val="18"/>
              </w:rPr>
              <w:t xml:space="preserve">● 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Provider tax ID ↑, Primary diag competing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7. Discharge Status Unclear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000"/>
                <w:sz w:val="18"/>
                <w:szCs w:val="18"/>
              </w:rPr>
              <w:t xml:space="preserve">● 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Discharge status ↑, other features flat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8. Complexity Borderline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000"/>
                <w:sz w:val="18"/>
                <w:szCs w:val="18"/>
              </w:rPr>
              <w:t xml:space="preserve">● 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MCC all &amp; CC all both weak signals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9. Partial Comorbidity Support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000"/>
                <w:sz w:val="18"/>
                <w:szCs w:val="18"/>
              </w:rPr>
              <w:t xml:space="preserve">● 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CC count moderate, MCC count 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10. Procedure Intensity Uncertain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000"/>
                <w:sz w:val="18"/>
                <w:szCs w:val="18"/>
              </w:rPr>
              <w:t xml:space="preserve">● 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Proc code moderate, no strong offset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75623"/>
          <w:sz w:val="36"/>
          <w:szCs w:val="36"/>
        </w:rPr>
        <w:t xml:space="preserve">🟢  No Overpayment / Clean 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Clean Claim — Aligned SHAP Signal Categories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Selection 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Influence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Drivers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1. Clinical Severity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●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MCC/CC fully aligned with DRG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2. Provider Behaviour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●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Provider pattern normal x DRG/MCC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3. Acuity-Justified LOS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●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MCC count ↑ offsetting LOS GM ratio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4. DRG-Diagnosis Aligned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●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Primary diag ↑ supporting DRG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5. Comorbidity Well Supported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●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CC all &amp; MCC all both grounded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6. Efficient High Complexity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●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High acuity, LOS &amp; discharge appropriate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7. Procedure-Diagnosis Matched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●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Proc code &amp; Primary diag aligned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8. Appropriate Discharge Pattern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●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Discharge status normal, provider typical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📂  Categories Grouped by Theme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 Group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Drivers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🏥 Clinical / Acuity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Clinical Severity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Comorbidity Burden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MCC Justification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CC Justification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High Acuity Validation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Diagnosis Specificity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MCC/CC x DRG x Primary Diag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🏦 Provider / Billing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Provider Behaviour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Provider-DRG Pattern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Provider Outlier Pattern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Coding-Billing Consistency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Procedure-Provider Alignment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Provider Tax ID x DRG x MCC x Proc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📊 Utilization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Utilization Pattern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Acuity-LOS Alignment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LOS Efficiency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Discharge Appropriateness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Discharge-Complexity Fit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LOS GM Ratio x Discharge x DRG x MCC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🔢 Coding / Procedure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Coding Logic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DRG Complexity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Procedure Intensity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Comorbidity-Procedure Fit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Proc/Diag x DRG x Provider x MCC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Categories derived from SHAP value analysis across: drgcode | Providertaxid | Primary_diag | Procedure_code | Losgm_ratio | Discharge_status | Mcc_all | Mcc_count | Cc_all | Cc_count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2E4A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2026-06-11T13:06:29.900Z</dcterms:created>
  <dcterms:modified xsi:type="dcterms:W3CDTF">2026-06-11T13:06:29.900Z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