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12"/>
              <w:left w:val="single" w:color="1F3864" w:sz="12"/>
              <w:bottom w:val="single" w:color="1F3864" w:sz="12"/>
              <w:right w:val="single" w:color="1F3864" w:sz="12"/>
            </w:tcBorders>
            <w:shd w:fill="1F3864" w:val="clear"/>
            <w:tcMar>
              <w:top w:type="dxa" w:w="400"/>
              <w:left w:type="dxa" w:w="500"/>
              <w:bottom w:type="dxa" w:w="400"/>
              <w:right w:type="dxa" w:w="500"/>
            </w:tcMar>
          </w:tcPr>
          <w:p>
            <w:pPr>
              <w:spacing w:after="120"/>
            </w:pPr>
            <w:r>
              <w:rPr>
                <w:rFonts w:ascii="Arial" w:cs="Arial" w:eastAsia="Arial" w:hAnsi="Arial"/>
                <w:b/>
                <w:bCs/>
                <w:color w:val="A9C4E8"/>
                <w:spacing w:val="200"/>
                <w:sz w:val="28"/>
                <w:szCs w:val="28"/>
              </w:rPr>
              <w:t xml:space="preserve">PROPOSAL</w:t>
            </w:r>
          </w:p>
          <w:p>
            <w:pPr>
              <w:spacing w:after="80"/>
            </w:pPr>
            <w:r>
              <w:rPr>
                <w:rFonts w:ascii="Arial" w:cs="Arial" w:eastAsia="Arial" w:hAnsi="Arial"/>
                <w:b/>
                <w:bCs/>
                <w:color w:val="FFFFFF"/>
                <w:sz w:val="48"/>
                <w:szCs w:val="48"/>
              </w:rPr>
              <w:t xml:space="preserve">RETAIN-Based Preventable Readmission</w:t>
            </w:r>
          </w:p>
          <w:p>
            <w:pPr>
              <w:spacing w:after="280"/>
            </w:pPr>
            <w:r>
              <w:rPr>
                <w:rFonts w:ascii="Arial" w:cs="Arial" w:eastAsia="Arial" w:hAnsi="Arial"/>
                <w:b/>
                <w:bCs/>
                <w:color w:val="A9C4E8"/>
                <w:sz w:val="48"/>
                <w:szCs w:val="48"/>
              </w:rPr>
              <w:t xml:space="preserve">Overpayment Detection System</w:t>
            </w:r>
          </w:p>
          <w:p>
            <w:pPr>
              <w:spacing w:after="80"/>
            </w:pPr>
            <w:r>
              <w:rPr>
                <w:rFonts w:ascii="Arial" w:cs="Arial" w:eastAsia="Arial" w:hAnsi="Arial"/>
                <w:color w:val="D9D9D9"/>
                <w:sz w:val="24"/>
                <w:szCs w:val="24"/>
              </w:rPr>
              <w:t xml:space="preserve">Submitted to: Data Science Director</w:t>
            </w:r>
          </w:p>
          <w:p>
            <w:pPr>
              <w:spacing w:after="80"/>
            </w:pPr>
            <w:r>
              <w:rPr>
                <w:rFonts w:ascii="Arial" w:cs="Arial" w:eastAsia="Arial" w:hAnsi="Arial"/>
                <w:color w:val="7EB3D9"/>
                <w:sz w:val="22"/>
                <w:szCs w:val="22"/>
              </w:rPr>
              <w:t xml:space="preserve">Healthcare Analytics  |  Claims &amp; Overpayment Intelligence</w:t>
            </w:r>
          </w:p>
          <w:p>
            <w:pPr>
              <w:spacing w:after="0"/>
            </w:pPr>
            <w:r>
              <w:rPr>
                <w:rFonts w:ascii="Arial" w:cs="Arial" w:eastAsia="Arial" w:hAnsi="Arial"/>
                <w:color w:val="D9D9D9"/>
                <w:sz w:val="20"/>
                <w:szCs w:val="20"/>
              </w:rPr>
              <w:t xml:space="preserve">June 2025  |  CONFIDENTIAL</w:t>
            </w:r>
          </w:p>
        </w:tc>
      </w:tr>
    </w:tbl>
    <w:p>
      <w:pPr>
        <w:pStyle w:val="Heading1"/>
        <w:spacing w:after="200" w:before="360"/>
      </w:pPr>
      <w:r>
        <w:rPr>
          <w:rFonts w:ascii="Arial" w:cs="Arial" w:eastAsia="Arial" w:hAnsi="Arial"/>
          <w:b/>
          <w:bCs/>
          <w:color w:val="1F3864"/>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D6E4F7" w:val="clear"/>
            <w:tcMar>
              <w:top w:type="dxa" w:w="120"/>
              <w:left w:type="dxa" w:w="200"/>
              <w:bottom w:type="dxa" w:w="120"/>
              <w:right w:type="dxa" w:w="200"/>
            </w:tcMar>
          </w:tcPr>
          <w:p>
            <w:pPr>
              <w:spacing w:after="60"/>
            </w:pPr>
            <w:r>
              <w:rPr>
                <w:rFonts w:ascii="Arial" w:cs="Arial" w:eastAsia="Arial" w:hAnsi="Arial"/>
                <w:b/>
                <w:bCs/>
                <w:color w:val="1F3864"/>
                <w:sz w:val="20"/>
                <w:szCs w:val="20"/>
              </w:rPr>
              <w:t xml:space="preserve">The Business Problem</w:t>
            </w:r>
          </w:p>
          <w:p>
            <w:pPr>
              <w:spacing w:after="120"/>
            </w:pPr>
            <w:r>
              <w:rPr>
                <w:rFonts w:ascii="Arial" w:cs="Arial" w:eastAsia="Arial" w:hAnsi="Arial"/>
                <w:sz w:val="22"/>
                <w:szCs w:val="22"/>
              </w:rPr>
              <w:t xml:space="preserve">Medicare and commercial payers spend an estimated </w:t>
            </w:r>
            <w:r>
              <w:rPr>
                <w:rFonts w:ascii="Arial" w:cs="Arial" w:eastAsia="Arial" w:hAnsi="Arial"/>
                <w:b/>
                <w:bCs/>
                <w:sz w:val="22"/>
                <w:szCs w:val="22"/>
              </w:rPr>
              <w:t xml:space="preserve">$26 billion annually</w:t>
            </w:r>
            <w:r>
              <w:rPr>
                <w:rFonts w:ascii="Arial" w:cs="Arial" w:eastAsia="Arial" w:hAnsi="Arial"/>
                <w:sz w:val="22"/>
                <w:szCs w:val="22"/>
              </w:rPr>
              <w:t xml:space="preserve"> on hospital readmissions. A significant portion of these are </w:t>
            </w:r>
            <w:r>
              <w:rPr>
                <w:rFonts w:ascii="Arial" w:cs="Arial" w:eastAsia="Arial" w:hAnsi="Arial"/>
                <w:b/>
                <w:bCs/>
                <w:sz w:val="22"/>
                <w:szCs w:val="22"/>
              </w:rPr>
              <w:t xml:space="preserve">preventable</w:t>
            </w:r>
            <w:r>
              <w:rPr>
                <w:rFonts w:ascii="Arial" w:cs="Arial" w:eastAsia="Arial" w:hAnsi="Arial"/>
                <w:sz w:val="22"/>
                <w:szCs w:val="22"/>
              </w:rPr>
              <w:t xml:space="preserve"> — patients discharged prematurely or with inadequate care who return within 30 days for the same or related condition. Under the Hospital Readmissions Reduction Program (HRRP), CMS penalises hospitals for excess readmissions. Yet </w:t>
            </w:r>
            <w:r>
              <w:rPr>
                <w:rFonts w:ascii="Arial" w:cs="Arial" w:eastAsia="Arial" w:hAnsi="Arial"/>
                <w:b/>
                <w:bCs/>
                <w:sz w:val="22"/>
                <w:szCs w:val="22"/>
              </w:rPr>
              <w:t xml:space="preserve">providers continue to bill for both the index admission and the preventable readmission</w:t>
            </w:r>
            <w:r>
              <w:rPr>
                <w:rFonts w:ascii="Arial" w:cs="Arial" w:eastAsia="Arial" w:hAnsi="Arial"/>
                <w:sz w:val="22"/>
                <w:szCs w:val="22"/>
              </w:rPr>
              <w:t xml:space="preserve">, creating an overpayment scenario that current rule-based audit tools routinely miss.</w:t>
            </w:r>
          </w:p>
        </w:tc>
      </w:tr>
    </w:tbl>
    <w:p>
      <w:pPr>
        <w:spacing w:after="80"/>
      </w:pPr>
      <w:r>
        <w:t xml:space="preserve"/>
      </w:r>
    </w:p>
    <w:p>
      <w:pPr>
        <w:spacing w:after="120"/>
      </w:pPr>
      <w:r>
        <w:rPr>
          <w:rFonts w:ascii="Arial" w:cs="Arial" w:eastAsia="Arial" w:hAnsi="Arial"/>
          <w:sz w:val="22"/>
          <w:szCs w:val="22"/>
        </w:rPr>
        <w:t xml:space="preserve">This proposal outlines a purpose-built machine learning system using the </w:t>
      </w:r>
      <w:r>
        <w:rPr>
          <w:rFonts w:ascii="Arial" w:cs="Arial" w:eastAsia="Arial" w:hAnsi="Arial"/>
          <w:b/>
          <w:bCs/>
          <w:sz w:val="22"/>
          <w:szCs w:val="22"/>
        </w:rPr>
        <w:t xml:space="preserve">RETAIN model (Reverse Time Attention Model)</w:t>
      </w:r>
      <w:r>
        <w:rPr>
          <w:rFonts w:ascii="Arial" w:cs="Arial" w:eastAsia="Arial" w:hAnsi="Arial"/>
          <w:sz w:val="22"/>
          <w:szCs w:val="22"/>
        </w:rPr>
        <w:t xml:space="preserve"> to classify readmission claim pairs as preventable or not preventable, produce interpretable evidence at the ICD code level, and rank providers by estimated overpayment exposure — all from standard claims data with no additional data sources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We Build</w:t>
            </w:r>
          </w:p>
        </w:tc>
        <w:tc>
          <w:tcPr>
            <w:tcW w:type="dxa" w:w="3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Produces</w:t>
            </w:r>
          </w:p>
        </w:tc>
        <w:tc>
          <w:tcPr>
            <w:tcW w:type="dxa" w:w="3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Business Value</w:t>
            </w:r>
          </w:p>
        </w:tc>
      </w:tr>
      <w:tr>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22"/>
                <w:szCs w:val="22"/>
              </w:rPr>
              <w:t xml:space="preserve">RETAIN deep learning model trained on labeled claim pairs</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22"/>
                <w:szCs w:val="22"/>
              </w:rPr>
              <w:t xml:space="preserve">Preventability probability score (0–1) per claim pair</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22"/>
                <w:szCs w:val="22"/>
              </w:rPr>
              <w:t xml:space="preserve">Prioritised audit queue with dollar exposure per provider</w:t>
            </w:r>
          </w:p>
        </w:tc>
      </w:tr>
      <w:tr>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22"/>
                <w:szCs w:val="22"/>
              </w:rPr>
              <w:t xml:space="preserve">Medical code graph capturing ICD code relationships</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22"/>
                <w:szCs w:val="22"/>
              </w:rPr>
              <w:t xml:space="preserve">Code-level attention showing which ICD codes drove the score</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22"/>
                <w:szCs w:val="22"/>
              </w:rPr>
              <w:t xml:space="preserve">Interpretable clinical narratives ready for investigators</w:t>
            </w:r>
          </w:p>
        </w:tc>
      </w:tr>
      <w:tr>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22"/>
                <w:szCs w:val="22"/>
              </w:rPr>
              <w:t xml:space="preserve">Automated scoring pipeline on new monthly claims</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22"/>
                <w:szCs w:val="22"/>
              </w:rPr>
              <w:t xml:space="preserve">Provider-level anomaly ranking with statistical benchmarking</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22"/>
                <w:szCs w:val="22"/>
              </w:rPr>
              <w:t xml:space="preserve">Reduced manual review cost and faster case closure</w:t>
            </w:r>
          </w:p>
        </w:tc>
      </w:tr>
    </w:tbl>
    <w:p>
      <w:pPr>
        <w:spacing w:after="0"/>
      </w:pPr>
      <w:r>
        <w:br w:type="page"/>
      </w:r>
    </w:p>
    <w:p>
      <w:pPr>
        <w:pStyle w:val="Heading1"/>
        <w:spacing w:after="200" w:before="360"/>
      </w:pPr>
      <w:r>
        <w:rPr>
          <w:rFonts w:ascii="Arial" w:cs="Arial" w:eastAsia="Arial" w:hAnsi="Arial"/>
          <w:b/>
          <w:bCs/>
          <w:color w:val="1F3864"/>
          <w:sz w:val="32"/>
          <w:szCs w:val="32"/>
        </w:rPr>
        <w:t xml:space="preserve">1.  The Problem — What We Are Trying to Detect</w:t>
      </w:r>
    </w:p>
    <w:p>
      <w:pPr>
        <w:pStyle w:val="Heading2"/>
        <w:pBdr>
          <w:bottom w:val="single" w:color="2E74B5" w:sz="6" w:space="4"/>
        </w:pBdr>
        <w:spacing w:after="160" w:before="280"/>
      </w:pPr>
      <w:r>
        <w:rPr>
          <w:rFonts w:ascii="Arial" w:cs="Arial" w:eastAsia="Arial" w:hAnsi="Arial"/>
          <w:b/>
          <w:bCs/>
          <w:color w:val="2E74B5"/>
          <w:sz w:val="26"/>
          <w:szCs w:val="26"/>
        </w:rPr>
        <w:t xml:space="preserve">1.1  How Preventable Readmission Overpayment Happens</w:t>
      </w:r>
    </w:p>
    <w:p>
      <w:pPr>
        <w:spacing w:after="120"/>
      </w:pPr>
      <w:r>
        <w:rPr>
          <w:rFonts w:ascii="Arial" w:cs="Arial" w:eastAsia="Arial" w:hAnsi="Arial"/>
          <w:sz w:val="22"/>
          <w:szCs w:val="22"/>
        </w:rPr>
        <w:t xml:space="preserve">A hospital admits a patient with acute heart failure (Claim A). The patient is discharged home after </w:t>
      </w:r>
      <w:r>
        <w:rPr>
          <w:rFonts w:ascii="Arial" w:cs="Arial" w:eastAsia="Arial" w:hAnsi="Arial"/>
          <w:b/>
          <w:bCs/>
          <w:sz w:val="22"/>
          <w:szCs w:val="22"/>
        </w:rPr>
        <w:t xml:space="preserve">1 day</w:t>
      </w:r>
      <w:r>
        <w:rPr>
          <w:rFonts w:ascii="Arial" w:cs="Arial" w:eastAsia="Arial" w:hAnsi="Arial"/>
          <w:sz w:val="22"/>
          <w:szCs w:val="22"/>
        </w:rPr>
        <w:t xml:space="preserve"> — too quickly for the severity of their condition. Six days later the same patient returns with the </w:t>
      </w:r>
      <w:r>
        <w:rPr>
          <w:rFonts w:ascii="Arial" w:cs="Arial" w:eastAsia="Arial" w:hAnsi="Arial"/>
          <w:b/>
          <w:bCs/>
          <w:sz w:val="22"/>
          <w:szCs w:val="22"/>
        </w:rPr>
        <w:t xml:space="preserve">same heart failure diagnosis</w:t>
      </w:r>
      <w:r>
        <w:rPr>
          <w:rFonts w:ascii="Arial" w:cs="Arial" w:eastAsia="Arial" w:hAnsi="Arial"/>
          <w:sz w:val="22"/>
          <w:szCs w:val="22"/>
        </w:rPr>
        <w:t xml:space="preserve"> plus new kidney involvement (Claim B). The hospital bills for both admissions. The readmission was preventable. Both claims are paid. This is the overpayment pattern we are targeting.</w:t>
      </w:r>
    </w:p>
    <w:p>
      <w:pPr>
        <w:spacing w:after="80"/>
      </w:pPr>
      <w:r>
        <w:t xml:space="preserve"/>
      </w:r>
    </w:p>
    <w:p>
      <w:pPr>
        <w:spacing w:after="100" w:before="200"/>
      </w:pPr>
      <w:r>
        <w:rPr>
          <w:rFonts w:ascii="Arial" w:cs="Arial" w:eastAsia="Arial" w:hAnsi="Arial"/>
          <w:b/>
          <w:bCs/>
          <w:color w:val="17617A"/>
          <w:sz w:val="22"/>
          <w:szCs w:val="22"/>
        </w:rPr>
        <w:t xml:space="preserve">Worked Example — A Single Overpayment Pair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17617A" w:sz="6"/>
              <w:left w:val="single" w:color="17617A" w:sz="6"/>
              <w:bottom w:val="single" w:color="17617A" w:sz="6"/>
              <w:right w:val="single" w:color="17617A" w:sz="6"/>
            </w:tcBorders>
            <w:shd w:fill="17617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3790"/>
            <w:tcBorders>
              <w:top w:val="single" w:color="17617A" w:sz="6"/>
              <w:left w:val="single" w:color="17617A" w:sz="6"/>
              <w:bottom w:val="single" w:color="17617A" w:sz="6"/>
              <w:right w:val="single" w:color="17617A" w:sz="6"/>
            </w:tcBorders>
            <w:shd w:fill="17617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Claim A — Index Admission</w:t>
            </w:r>
          </w:p>
        </w:tc>
        <w:tc>
          <w:tcPr>
            <w:tcW w:type="dxa" w:w="3790"/>
            <w:tcBorders>
              <w:top w:val="single" w:color="17617A" w:sz="6"/>
              <w:left w:val="single" w:color="17617A" w:sz="6"/>
              <w:bottom w:val="single" w:color="17617A" w:sz="6"/>
              <w:right w:val="single" w:color="17617A" w:sz="6"/>
            </w:tcBorders>
            <w:shd w:fill="17617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Claim B — Readmission (6 days later)</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Primary Diagnosis</w:t>
            </w:r>
          </w:p>
        </w:tc>
        <w:tc>
          <w:tcPr>
            <w:tcW w:type="dxa" w:w="379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I50.43 — Acute-on-chronic systolic heart failure</w:t>
            </w:r>
          </w:p>
        </w:tc>
        <w:tc>
          <w:tcPr>
            <w:tcW w:type="dxa" w:w="379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I50.43 — Same heart failure (returned for same condition)</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Other Diagnoses</w:t>
            </w:r>
          </w:p>
        </w:tc>
        <w:tc>
          <w:tcPr>
            <w:tcW w:type="dxa" w:w="379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E11.65 — Diabetes  |  I10 — Hypertension</w:t>
            </w:r>
          </w:p>
        </w:tc>
        <w:tc>
          <w:tcPr>
            <w:tcW w:type="dxa" w:w="379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N18.3 — Chronic kidney disease stage 3 (NEW — condition worsened)</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DRG Billed</w:t>
            </w:r>
          </w:p>
        </w:tc>
        <w:tc>
          <w:tcPr>
            <w:tcW w:type="dxa" w:w="379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291 — Heart Failure with MCC</w:t>
            </w:r>
          </w:p>
        </w:tc>
        <w:tc>
          <w:tcPr>
            <w:tcW w:type="dxa" w:w="379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291 — Same DRG (same severity)</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Length of Stay</w:t>
            </w:r>
          </w:p>
        </w:tc>
        <w:tc>
          <w:tcPr>
            <w:tcW w:type="dxa" w:w="379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1 day</w:t>
            </w:r>
            <w:r>
              <w:rPr>
                <w:rFonts w:ascii="Arial" w:cs="Arial" w:eastAsia="Arial" w:hAnsi="Arial"/>
                <w:b/>
                <w:bCs/>
                <w:color w:val="C00000"/>
                <w:sz w:val="18"/>
                <w:szCs w:val="18"/>
              </w:rPr>
              <w:t xml:space="preserve"> ← very short for DRG 291 severity</w:t>
            </w:r>
          </w:p>
        </w:tc>
        <w:tc>
          <w:tcPr>
            <w:tcW w:type="dxa" w:w="379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5 days — needed proper care this time</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Discharge Disposition</w:t>
            </w:r>
          </w:p>
        </w:tc>
        <w:tc>
          <w:tcPr>
            <w:tcW w:type="dxa" w:w="379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01 — Home, no services arranged</w:t>
            </w:r>
            <w:r>
              <w:rPr>
                <w:rFonts w:ascii="Arial" w:cs="Arial" w:eastAsia="Arial" w:hAnsi="Arial"/>
                <w:b/>
                <w:bCs/>
                <w:color w:val="C00000"/>
                <w:sz w:val="18"/>
                <w:szCs w:val="18"/>
              </w:rPr>
              <w:t xml:space="preserve"> ← inappropriate</w:t>
            </w:r>
          </w:p>
        </w:tc>
        <w:tc>
          <w:tcPr>
            <w:tcW w:type="dxa" w:w="379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03 — Skilled Nursing Facility (appropriate this time)</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Overpayment Signal</w:t>
            </w:r>
          </w:p>
        </w:tc>
        <w:tc>
          <w:tcPr>
            <w:tcW w:type="dxa" w:w="379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Premature discharge — index claim should not have been billed at this DRG with 1-day LOS</w:t>
            </w:r>
          </w:p>
        </w:tc>
        <w:tc>
          <w:tcPr>
            <w:tcW w:type="dxa" w:w="379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Preventable readmission — both claims are audit candidates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FFF2CC" w:val="clear"/>
            <w:tcMar>
              <w:top w:type="dxa" w:w="120"/>
              <w:left w:type="dxa" w:w="200"/>
              <w:bottom w:type="dxa" w:w="120"/>
              <w:right w:type="dxa" w:w="200"/>
            </w:tcMar>
          </w:tcPr>
          <w:p>
            <w:pPr>
              <w:spacing w:after="60"/>
            </w:pPr>
            <w:r>
              <w:rPr>
                <w:rFonts w:ascii="Arial" w:cs="Arial" w:eastAsia="Arial" w:hAnsi="Arial"/>
                <w:b/>
                <w:bCs/>
                <w:color w:val="7F6000"/>
                <w:sz w:val="20"/>
                <w:szCs w:val="20"/>
              </w:rPr>
              <w:t xml:space="preserve">Why Rule-Based Systems Miss This</w:t>
            </w:r>
          </w:p>
          <w:p>
            <w:pPr>
              <w:pStyle w:val="ListParagraph"/>
              <w:numPr>
                <w:ilvl w:val="0"/>
                <w:numId w:val="2"/>
              </w:numPr>
              <w:spacing w:after="80"/>
            </w:pPr>
            <w:r>
              <w:rPr>
                <w:rFonts w:ascii="Arial" w:cs="Arial" w:eastAsia="Arial" w:hAnsi="Arial"/>
                <w:sz w:val="22"/>
                <w:szCs w:val="22"/>
              </w:rPr>
              <w:t xml:space="preserve">A rules engine checks: 'Is the readmission within 30 days?' — YES — and flags it.</w:t>
            </w:r>
          </w:p>
          <w:p>
            <w:pPr>
              <w:pStyle w:val="ListParagraph"/>
              <w:numPr>
                <w:ilvl w:val="0"/>
                <w:numId w:val="2"/>
              </w:numPr>
              <w:spacing w:after="80"/>
            </w:pPr>
            <w:r>
              <w:rPr>
                <w:rFonts w:ascii="Arial" w:cs="Arial" w:eastAsia="Arial" w:hAnsi="Arial"/>
                <w:sz w:val="22"/>
                <w:szCs w:val="22"/>
              </w:rPr>
              <w:t xml:space="preserve">It cannot ask: 'Given how sick this patient was, was a 1-day stay clinically appropriate?' — because that requires understanding the relationship between diagnosis codes, DRG severity, LOS, and discharge disposition together.</w:t>
            </w:r>
          </w:p>
          <w:p>
            <w:pPr>
              <w:pStyle w:val="ListParagraph"/>
              <w:numPr>
                <w:ilvl w:val="0"/>
                <w:numId w:val="2"/>
              </w:numPr>
              <w:spacing w:after="80"/>
            </w:pPr>
            <w:r>
              <w:rPr>
                <w:rFonts w:ascii="Arial" w:cs="Arial" w:eastAsia="Arial" w:hAnsi="Arial"/>
                <w:sz w:val="22"/>
                <w:szCs w:val="22"/>
              </w:rPr>
              <w:t xml:space="preserve">RETAIN learns these multi-variable combinations from thousands of labeled examples and applies that learned pattern to every new claim pair.</w:t>
            </w:r>
          </w:p>
        </w:tc>
      </w:tr>
    </w:tbl>
    <w:p>
      <w:pPr>
        <w:spacing w:after="0"/>
      </w:pPr>
      <w:r>
        <w:br w:type="page"/>
      </w:r>
    </w:p>
    <w:p>
      <w:pPr>
        <w:pStyle w:val="Heading1"/>
        <w:spacing w:after="200" w:before="360"/>
      </w:pPr>
      <w:r>
        <w:rPr>
          <w:rFonts w:ascii="Arial" w:cs="Arial" w:eastAsia="Arial" w:hAnsi="Arial"/>
          <w:b/>
          <w:bCs/>
          <w:color w:val="1F3864"/>
          <w:sz w:val="32"/>
          <w:szCs w:val="32"/>
        </w:rPr>
        <w:t xml:space="preserve">2.  The Solution — RETAIN Model</w:t>
      </w:r>
    </w:p>
    <w:p>
      <w:pPr>
        <w:pStyle w:val="Heading2"/>
        <w:pBdr>
          <w:bottom w:val="single" w:color="2E74B5" w:sz="6" w:space="4"/>
        </w:pBdr>
        <w:spacing w:after="160" w:before="280"/>
      </w:pPr>
      <w:r>
        <w:rPr>
          <w:rFonts w:ascii="Arial" w:cs="Arial" w:eastAsia="Arial" w:hAnsi="Arial"/>
          <w:b/>
          <w:bCs/>
          <w:color w:val="2E74B5"/>
          <w:sz w:val="26"/>
          <w:szCs w:val="26"/>
        </w:rPr>
        <w:t xml:space="preserve">2.1  What RETAIN Is</w:t>
      </w:r>
    </w:p>
    <w:p>
      <w:pPr>
        <w:spacing w:after="120"/>
      </w:pPr>
      <w:r>
        <w:rPr>
          <w:rFonts w:ascii="Arial" w:cs="Arial" w:eastAsia="Arial" w:hAnsi="Arial"/>
          <w:sz w:val="22"/>
          <w:szCs w:val="22"/>
        </w:rPr>
        <w:t xml:space="preserve">RETAIN (Reverse Time Attention Model) is a deep learning architecture designed specifically for sequential medical record data. Unlike standard ML models that see a patient as a flat row of features, RETAIN </w:t>
      </w:r>
      <w:r>
        <w:rPr>
          <w:rFonts w:ascii="Arial" w:cs="Arial" w:eastAsia="Arial" w:hAnsi="Arial"/>
          <w:b/>
          <w:bCs/>
          <w:sz w:val="22"/>
          <w:szCs w:val="22"/>
        </w:rPr>
        <w:t xml:space="preserve">reads each claim in order</w:t>
      </w:r>
      <w:r>
        <w:rPr>
          <w:rFonts w:ascii="Arial" w:cs="Arial" w:eastAsia="Arial" w:hAnsi="Arial"/>
          <w:sz w:val="22"/>
          <w:szCs w:val="22"/>
        </w:rPr>
        <w:t xml:space="preserve"> — Claim A first, then Claim B — and learns which specific codes and which specific claim drove the preventability decision.</w:t>
      </w:r>
    </w:p>
    <w:p>
      <w:pPr>
        <w:spacing w:after="80"/>
      </w:pPr>
      <w:r>
        <w:t xml:space="preserve"/>
      </w:r>
    </w:p>
    <w:p>
      <w:pPr>
        <w:spacing w:after="120"/>
      </w:pPr>
      <w:r>
        <w:rPr>
          <w:rFonts w:ascii="Arial" w:cs="Arial" w:eastAsia="Arial" w:hAnsi="Arial"/>
          <w:sz w:val="22"/>
          <w:szCs w:val="22"/>
        </w:rPr>
        <w:t xml:space="preserve">The key innovation is its </w:t>
      </w:r>
      <w:r>
        <w:rPr>
          <w:rFonts w:ascii="Arial" w:cs="Arial" w:eastAsia="Arial" w:hAnsi="Arial"/>
          <w:b/>
          <w:bCs/>
          <w:sz w:val="22"/>
          <w:szCs w:val="22"/>
        </w:rPr>
        <w:t xml:space="preserve">dual attention mechanism</w:t>
      </w:r>
      <w:r>
        <w:rPr>
          <w:rFonts w:ascii="Arial" w:cs="Arial" w:eastAsia="Arial" w:hAnsi="Arial"/>
          <w:sz w:val="22"/>
          <w:szCs w:val="22"/>
        </w:rPr>
        <w:t xml:space="preserve">. RETAIN produces two types of explanation alongside every score:</w:t>
      </w:r>
    </w:p>
    <w:p>
      <w:pPr>
        <w:pStyle w:val="ListParagraph"/>
        <w:numPr>
          <w:ilvl w:val="0"/>
          <w:numId w:val="2"/>
        </w:numPr>
        <w:spacing w:after="80"/>
      </w:pPr>
      <w:r>
        <w:rPr>
          <w:rFonts w:ascii="Arial" w:cs="Arial" w:eastAsia="Arial" w:hAnsi="Arial"/>
          <w:b/>
          <w:bCs/>
          <w:sz w:val="22"/>
          <w:szCs w:val="22"/>
        </w:rPr>
        <w:t xml:space="preserve">Visit-level attention (Alpha): </w:t>
      </w:r>
      <w:r>
        <w:rPr>
          <w:rFonts w:ascii="Arial" w:cs="Arial" w:eastAsia="Arial" w:hAnsi="Arial"/>
          <w:sz w:val="22"/>
          <w:szCs w:val="22"/>
        </w:rPr>
        <w:t xml:space="preserve">Which claim — the index admission or the readmission — was the primary driver of the preventability decision? High attention on Claim A means the provider's discharge behavior is directly implicated.</w:t>
      </w:r>
    </w:p>
    <w:p>
      <w:pPr>
        <w:pStyle w:val="ListParagraph"/>
        <w:numPr>
          <w:ilvl w:val="0"/>
          <w:numId w:val="2"/>
        </w:numPr>
        <w:spacing w:after="80"/>
      </w:pPr>
      <w:r>
        <w:rPr>
          <w:rFonts w:ascii="Arial" w:cs="Arial" w:eastAsia="Arial" w:hAnsi="Arial"/>
          <w:b/>
          <w:bCs/>
          <w:sz w:val="22"/>
          <w:szCs w:val="22"/>
        </w:rPr>
        <w:t xml:space="preserve">Code-level attention (Beta): </w:t>
      </w:r>
      <w:r>
        <w:rPr>
          <w:rFonts w:ascii="Arial" w:cs="Arial" w:eastAsia="Arial" w:hAnsi="Arial"/>
          <w:sz w:val="22"/>
          <w:szCs w:val="22"/>
        </w:rPr>
        <w:t xml:space="preserve">Within each claim, which specific ICD codes, DRG, LOS category, or discharge disposition tokens received the most weight? These become the audit evidence.</w:t>
      </w:r>
    </w:p>
    <w:p>
      <w:pPr>
        <w:spacing w:after="80"/>
      </w:pPr>
      <w:r>
        <w:t xml:space="preserve"/>
      </w:r>
    </w:p>
    <w:p>
      <w:pPr>
        <w:pStyle w:val="Heading2"/>
        <w:pBdr>
          <w:bottom w:val="single" w:color="2E74B5" w:sz="6" w:space="4"/>
        </w:pBdr>
        <w:spacing w:after="160" w:before="280"/>
      </w:pPr>
      <w:r>
        <w:rPr>
          <w:rFonts w:ascii="Arial" w:cs="Arial" w:eastAsia="Arial" w:hAnsi="Arial"/>
          <w:b/>
          <w:bCs/>
          <w:color w:val="2E74B5"/>
          <w:sz w:val="26"/>
          <w:szCs w:val="26"/>
        </w:rPr>
        <w:t xml:space="preserve">2.2  How RETAIN Reads Your Example</w:t>
      </w:r>
    </w:p>
    <w:p>
      <w:pPr>
        <w:spacing w:after="100" w:before="200"/>
      </w:pPr>
      <w:r>
        <w:rPr>
          <w:rFonts w:ascii="Arial" w:cs="Arial" w:eastAsia="Arial" w:hAnsi="Arial"/>
          <w:b/>
          <w:bCs/>
          <w:color w:val="17617A"/>
          <w:sz w:val="22"/>
          <w:szCs w:val="22"/>
        </w:rPr>
        <w:t xml:space="preserve">Step 1 — Codes Converted to Vectors</w:t>
      </w:r>
    </w:p>
    <w:p>
      <w:pPr>
        <w:spacing w:after="120"/>
      </w:pPr>
      <w:r>
        <w:rPr>
          <w:rFonts w:ascii="Arial" w:cs="Arial" w:eastAsia="Arial" w:hAnsi="Arial"/>
          <w:sz w:val="22"/>
          <w:szCs w:val="22"/>
        </w:rPr>
        <w:t xml:space="preserve">Every ICD code is first converted into a 64-number vector through a medical code graph we build from your own claims data. Codes that appear together frequently on the same claims, and codes that share the same ICD category prefix, end up with similar vectors. This means RETAIN already understands that N17.9 (acute kidney failure) and N18.3 (chronic kidney disease) are related before training even begins.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00"/>
              <w:left w:type="dxa" w:w="200"/>
              <w:bottom w:type="dxa" w:w="100"/>
              <w:right w:type="dxa" w:w="200"/>
            </w:tcMar>
          </w:tcPr>
          <w:p>
            <w:pPr>
              <w:spacing w:after="40"/>
            </w:pPr>
            <w:r>
              <w:rPr>
                <w:rFonts w:ascii="Courier New" w:cs="Courier New" w:eastAsia="Courier New" w:hAnsi="Courier New"/>
                <w:color w:val="2F2F2F"/>
                <w:sz w:val="18"/>
                <w:szCs w:val="18"/>
              </w:rPr>
              <w:t xml:space="preserve">I50.43  →  [0.82, 0.71, 0.09, 0.88 ...]   heart failure — high severity vector</w:t>
            </w:r>
          </w:p>
          <w:p>
            <w:pPr>
              <w:spacing w:after="40"/>
            </w:pPr>
            <w:r>
              <w:rPr>
                <w:rFonts w:ascii="Courier New" w:cs="Courier New" w:eastAsia="Courier New" w:hAnsi="Courier New"/>
                <w:color w:val="2F2F2F"/>
                <w:sz w:val="18"/>
                <w:szCs w:val="18"/>
              </w:rPr>
              <w:t xml:space="preserve">N18.3   →  [0.79, 0.68, 0.11, 0.85 ...]   kidney disease — similar neighborhood</w:t>
            </w:r>
          </w:p>
          <w:p>
            <w:pPr>
              <w:spacing w:after="40"/>
            </w:pPr>
            <w:r>
              <w:rPr>
                <w:rFonts w:ascii="Courier New" w:cs="Courier New" w:eastAsia="Courier New" w:hAnsi="Courier New"/>
                <w:color w:val="2F2F2F"/>
                <w:sz w:val="18"/>
                <w:szCs w:val="18"/>
              </w:rPr>
              <w:t xml:space="preserve">LOS_1D  →  [0.91, 0.12, 0.88, 0.76 ...]   very short stay — different pattern</w:t>
            </w:r>
          </w:p>
          <w:p>
            <w:pPr>
              <w:spacing w:after="40"/>
            </w:pPr>
            <w:r>
              <w:rPr>
                <w:rFonts w:ascii="Courier New" w:cs="Courier New" w:eastAsia="Courier New" w:hAnsi="Courier New"/>
                <w:color w:val="2F2F2F"/>
                <w:sz w:val="18"/>
                <w:szCs w:val="18"/>
              </w:rPr>
              <w:t xml:space="preserve">DRG_291 →  [0.74, 0.55, 0.21, 0.69 ...]   high severity DRG</w:t>
            </w:r>
          </w:p>
        </w:tc>
      </w:tr>
    </w:tbl>
    <w:p>
      <w:pPr>
        <w:spacing w:after="100" w:before="200"/>
      </w:pPr>
      <w:r>
        <w:rPr>
          <w:rFonts w:ascii="Arial" w:cs="Arial" w:eastAsia="Arial" w:hAnsi="Arial"/>
          <w:b/>
          <w:bCs/>
          <w:color w:val="17617A"/>
          <w:sz w:val="22"/>
          <w:szCs w:val="22"/>
        </w:rPr>
        <w:t xml:space="preserve">Step 2 — RETAIN Reads Claim A (GRU Memory)</w:t>
      </w:r>
    </w:p>
    <w:p>
      <w:pPr>
        <w:spacing w:after="120"/>
      </w:pPr>
      <w:r>
        <w:rPr>
          <w:rFonts w:ascii="Arial" w:cs="Arial" w:eastAsia="Arial" w:hAnsi="Arial"/>
          <w:sz w:val="22"/>
          <w:szCs w:val="22"/>
        </w:rPr>
        <w:t xml:space="preserve">A Gated Recurrent Unit (GRU) processes the Claim A token sequence and builds a memory vector: </w:t>
      </w:r>
      <w:r>
        <w:rPr>
          <w:rFonts w:ascii="Arial" w:cs="Arial" w:eastAsia="Arial" w:hAnsi="Arial"/>
          <w:b/>
          <w:bCs/>
          <w:sz w:val="22"/>
          <w:szCs w:val="22"/>
        </w:rPr>
        <w:t xml:space="preserve">"Heart failure patient, high-severity DRG, sent home in 1 day."</w:t>
      </w:r>
      <w:r>
        <w:rPr>
          <w:rFonts w:ascii="Arial" w:cs="Arial" w:eastAsia="Arial" w:hAnsi="Arial"/>
          <w:sz w:val="22"/>
          <w:szCs w:val="22"/>
        </w:rPr>
        <w:t xml:space="preserve"> This memory is carried forward.</w:t>
      </w:r>
    </w:p>
    <w:p>
      <w:pPr>
        <w:spacing w:after="100" w:before="200"/>
      </w:pPr>
      <w:r>
        <w:rPr>
          <w:rFonts w:ascii="Arial" w:cs="Arial" w:eastAsia="Arial" w:hAnsi="Arial"/>
          <w:b/>
          <w:bCs/>
          <w:color w:val="17617A"/>
          <w:sz w:val="22"/>
          <w:szCs w:val="22"/>
        </w:rPr>
        <w:t xml:space="preserve">Step 3 — RETAIN Reads Claim B (Updates Memory)</w:t>
      </w:r>
    </w:p>
    <w:p>
      <w:pPr>
        <w:spacing w:after="120"/>
      </w:pPr>
      <w:r>
        <w:rPr>
          <w:rFonts w:ascii="Arial" w:cs="Arial" w:eastAsia="Arial" w:hAnsi="Arial"/>
          <w:sz w:val="22"/>
          <w:szCs w:val="22"/>
        </w:rPr>
        <w:t xml:space="preserve">The GRU then reads Claim B: same heart failure, new kidney failure, longer stay, sent to SNF. The memory is updated: </w:t>
      </w:r>
      <w:r>
        <w:rPr>
          <w:rFonts w:ascii="Arial" w:cs="Arial" w:eastAsia="Arial" w:hAnsi="Arial"/>
          <w:b/>
          <w:bCs/>
          <w:sz w:val="22"/>
          <w:szCs w:val="22"/>
        </w:rPr>
        <w:t xml:space="preserve">"The same condition returned and worsened — consistent with undertreated index admission."</w:t>
      </w:r>
    </w:p>
    <w:p>
      <w:pPr>
        <w:spacing w:after="100" w:before="200"/>
      </w:pPr>
      <w:r>
        <w:rPr>
          <w:rFonts w:ascii="Arial" w:cs="Arial" w:eastAsia="Arial" w:hAnsi="Arial"/>
          <w:b/>
          <w:bCs/>
          <w:color w:val="17617A"/>
          <w:sz w:val="22"/>
          <w:szCs w:val="22"/>
        </w:rPr>
        <w:t xml:space="preserve">Step 4 — Alpha Attention Assigns Claim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00"/>
              <w:left w:type="dxa" w:w="200"/>
              <w:bottom w:type="dxa" w:w="100"/>
              <w:right w:type="dxa" w:w="200"/>
            </w:tcMar>
          </w:tcPr>
          <w:p>
            <w:pPr>
              <w:spacing w:after="40"/>
            </w:pPr>
            <w:r>
              <w:rPr>
                <w:rFonts w:ascii="Courier New" w:cs="Courier New" w:eastAsia="Courier New" w:hAnsi="Courier New"/>
                <w:color w:val="2F2F2F"/>
                <w:sz w:val="18"/>
                <w:szCs w:val="18"/>
              </w:rPr>
              <w:t xml:space="preserve">Alpha Claim A = 0.73   ←  index admission drove this decision</w:t>
            </w:r>
          </w:p>
          <w:p>
            <w:pPr>
              <w:spacing w:after="40"/>
            </w:pPr>
            <w:r>
              <w:rPr>
                <w:rFonts w:ascii="Courier New" w:cs="Courier New" w:eastAsia="Courier New" w:hAnsi="Courier New"/>
                <w:color w:val="2F2F2F"/>
                <w:sz w:val="18"/>
                <w:szCs w:val="18"/>
              </w:rPr>
              <w:t xml:space="preserve">Alpha Claim B = 0.27</w:t>
            </w:r>
          </w:p>
          <w:p>
            <w:pPr>
              <w:spacing w:after="40"/>
            </w:pPr>
            <w:r>
              <w:rPr>
                <w:rFonts w:ascii="Courier New" w:cs="Courier New" w:eastAsia="Courier New" w:hAnsi="Courier New"/>
                <w:color w:val="2F2F2F"/>
                <w:sz w:val="18"/>
                <w:szCs w:val="18"/>
              </w:rPr>
              <w:t xml:space="preserve"/>
            </w:r>
          </w:p>
          <w:p>
            <w:pPr>
              <w:spacing w:after="40"/>
            </w:pPr>
            <w:r>
              <w:rPr>
                <w:rFonts w:ascii="Courier New" w:cs="Courier New" w:eastAsia="Courier New" w:hAnsi="Courier New"/>
                <w:color w:val="2F2F2F"/>
                <w:sz w:val="18"/>
                <w:szCs w:val="18"/>
              </w:rPr>
              <w:t xml:space="preserve">Interpretation: Provider discharge behavior on Claim A is primarily implicated.</w:t>
            </w:r>
          </w:p>
          <w:p>
            <w:pPr>
              <w:spacing w:after="40"/>
            </w:pPr>
            <w:r>
              <w:rPr>
                <w:rFonts w:ascii="Courier New" w:cs="Courier New" w:eastAsia="Courier New" w:hAnsi="Courier New"/>
                <w:color w:val="2F2F2F"/>
                <w:sz w:val="18"/>
                <w:szCs w:val="18"/>
              </w:rPr>
              <w:t xml:space="preserve">This means the index claim — not just the readmission — is an audit target.</w:t>
            </w:r>
          </w:p>
        </w:tc>
      </w:tr>
    </w:tbl>
    <w:p>
      <w:pPr>
        <w:spacing w:after="100" w:before="200"/>
      </w:pPr>
      <w:r>
        <w:rPr>
          <w:rFonts w:ascii="Arial" w:cs="Arial" w:eastAsia="Arial" w:hAnsi="Arial"/>
          <w:b/>
          <w:bCs/>
          <w:color w:val="17617A"/>
          <w:sz w:val="22"/>
          <w:szCs w:val="22"/>
        </w:rPr>
        <w:t xml:space="preserve">Step 5 — Beta Attention Highlights Specific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00"/>
              <w:left w:type="dxa" w:w="200"/>
              <w:bottom w:type="dxa" w:w="100"/>
              <w:right w:type="dxa" w:w="200"/>
            </w:tcMar>
          </w:tcPr>
          <w:p>
            <w:pPr>
              <w:spacing w:after="40"/>
            </w:pPr>
            <w:r>
              <w:rPr>
                <w:rFonts w:ascii="Courier New" w:cs="Courier New" w:eastAsia="Courier New" w:hAnsi="Courier New"/>
                <w:color w:val="2F2F2F"/>
                <w:sz w:val="18"/>
                <w:szCs w:val="18"/>
              </w:rPr>
              <w:t xml:space="preserve">CLAIM A — Top attended codes:</w:t>
            </w:r>
          </w:p>
          <w:p>
            <w:pPr>
              <w:spacing w:after="40"/>
            </w:pPr>
            <w:r>
              <w:rPr>
                <w:rFonts w:ascii="Courier New" w:cs="Courier New" w:eastAsia="Courier New" w:hAnsi="Courier New"/>
                <w:color w:val="2F2F2F"/>
                <w:sz w:val="18"/>
                <w:szCs w:val="18"/>
              </w:rPr>
              <w:t xml:space="preserve">  I50     (heart failure category)    attention = 0.38   ← most suspicious</w:t>
            </w:r>
          </w:p>
          <w:p>
            <w:pPr>
              <w:spacing w:after="40"/>
            </w:pPr>
            <w:r>
              <w:rPr>
                <w:rFonts w:ascii="Courier New" w:cs="Courier New" w:eastAsia="Courier New" w:hAnsi="Courier New"/>
                <w:color w:val="2F2F2F"/>
                <w:sz w:val="18"/>
                <w:szCs w:val="18"/>
              </w:rPr>
              <w:t xml:space="preserve">  LOS_1D  (1-day stay)                attention = 0.31   ← premature discharge signal</w:t>
            </w:r>
          </w:p>
          <w:p>
            <w:pPr>
              <w:spacing w:after="40"/>
            </w:pPr>
            <w:r>
              <w:rPr>
                <w:rFonts w:ascii="Courier New" w:cs="Courier New" w:eastAsia="Courier New" w:hAnsi="Courier New"/>
                <w:color w:val="2F2F2F"/>
                <w:sz w:val="18"/>
                <w:szCs w:val="18"/>
              </w:rPr>
              <w:t xml:space="preserve">  DISCH_HOME (sent home no services)  attention = 0.21   ← inappropriate disposition</w:t>
            </w:r>
          </w:p>
          <w:p>
            <w:pPr>
              <w:spacing w:after="40"/>
            </w:pPr>
            <w:r>
              <w:rPr>
                <w:rFonts w:ascii="Courier New" w:cs="Courier New" w:eastAsia="Courier New" w:hAnsi="Courier New"/>
                <w:color w:val="2F2F2F"/>
                <w:sz w:val="18"/>
                <w:szCs w:val="18"/>
              </w:rPr>
              <w:t xml:space="preserve"/>
            </w:r>
          </w:p>
          <w:p>
            <w:pPr>
              <w:spacing w:after="40"/>
            </w:pPr>
            <w:r>
              <w:rPr>
                <w:rFonts w:ascii="Courier New" w:cs="Courier New" w:eastAsia="Courier New" w:hAnsi="Courier New"/>
                <w:color w:val="2F2F2F"/>
                <w:sz w:val="18"/>
                <w:szCs w:val="18"/>
              </w:rPr>
              <w:t xml:space="preserve">CLAIM B — Top attended codes:</w:t>
            </w:r>
          </w:p>
          <w:p>
            <w:pPr>
              <w:spacing w:after="40"/>
            </w:pPr>
            <w:r>
              <w:rPr>
                <w:rFonts w:ascii="Courier New" w:cs="Courier New" w:eastAsia="Courier New" w:hAnsi="Courier New"/>
                <w:color w:val="2F2F2F"/>
                <w:sz w:val="18"/>
                <w:szCs w:val="18"/>
              </w:rPr>
              <w:t xml:space="preserve">  I50     (same heart failure)        attention = 0.51   ← treatment failure confirmed</w:t>
            </w:r>
          </w:p>
          <w:p>
            <w:pPr>
              <w:spacing w:after="40"/>
            </w:pPr>
            <w:r>
              <w:rPr>
                <w:rFonts w:ascii="Courier New" w:cs="Courier New" w:eastAsia="Courier New" w:hAnsi="Courier New"/>
                <w:color w:val="2F2F2F"/>
                <w:sz w:val="18"/>
                <w:szCs w:val="18"/>
              </w:rPr>
              <w:t xml:space="preserve">  N18     (new kidney failure)        attention = 0.29   ← condition worsened</w:t>
            </w:r>
          </w:p>
          <w:p>
            <w:pPr>
              <w:spacing w:after="40"/>
            </w:pPr>
            <w:r>
              <w:rPr>
                <w:rFonts w:ascii="Courier New" w:cs="Courier New" w:eastAsia="Courier New" w:hAnsi="Courier New"/>
                <w:color w:val="2F2F2F"/>
                <w:sz w:val="18"/>
                <w:szCs w:val="18"/>
              </w:rPr>
              <w:t xml:space="preserve">  GAP_4_7D (returned in 6 days)       attention = 0.14   ← rapid return</w:t>
            </w:r>
          </w:p>
        </w:tc>
      </w:tr>
    </w:tbl>
    <w:p>
      <w:pPr>
        <w:spacing w:after="100" w:before="200"/>
      </w:pPr>
      <w:r>
        <w:rPr>
          <w:rFonts w:ascii="Arial" w:cs="Arial" w:eastAsia="Arial" w:hAnsi="Arial"/>
          <w:b/>
          <w:bCs/>
          <w:color w:val="17617A"/>
          <w:sz w:val="22"/>
          <w:szCs w:val="22"/>
        </w:rPr>
        <w:t xml:space="preserve">Step 6 — Final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00"/>
              <w:left w:type="dxa" w:w="200"/>
              <w:bottom w:type="dxa" w:w="100"/>
              <w:right w:type="dxa" w:w="200"/>
            </w:tcMar>
          </w:tcPr>
          <w:p>
            <w:pPr>
              <w:spacing w:after="40"/>
            </w:pPr>
            <w:r>
              <w:rPr>
                <w:rFonts w:ascii="Courier New" w:cs="Courier New" w:eastAsia="Courier New" w:hAnsi="Courier New"/>
                <w:color w:val="2F2F2F"/>
                <w:sz w:val="18"/>
                <w:szCs w:val="18"/>
              </w:rPr>
              <w:t xml:space="preserve">Preventable probability = 0.87</w:t>
            </w:r>
          </w:p>
          <w:p>
            <w:pPr>
              <w:spacing w:after="40"/>
            </w:pPr>
            <w:r>
              <w:rPr>
                <w:rFonts w:ascii="Courier New" w:cs="Courier New" w:eastAsia="Courier New" w:hAnsi="Courier New"/>
                <w:color w:val="2F2F2F"/>
                <w:sz w:val="18"/>
                <w:szCs w:val="18"/>
              </w:rPr>
              <w:t xml:space="preserve">Predicted:               PREVENTABLE</w:t>
            </w:r>
          </w:p>
          <w:p>
            <w:pPr>
              <w:spacing w:after="40"/>
            </w:pPr>
            <w:r>
              <w:rPr>
                <w:rFonts w:ascii="Courier New" w:cs="Courier New" w:eastAsia="Courier New" w:hAnsi="Courier New"/>
                <w:color w:val="2F2F2F"/>
                <w:sz w:val="18"/>
                <w:szCs w:val="18"/>
              </w:rPr>
              <w:t xml:space="preserve">Overpayment priority:    HIGH</w:t>
            </w:r>
          </w:p>
          <w:p>
            <w:pPr>
              <w:spacing w:after="40"/>
            </w:pPr>
            <w:r>
              <w:rPr>
                <w:rFonts w:ascii="Courier New" w:cs="Courier New" w:eastAsia="Courier New" w:hAnsi="Courier New"/>
                <w:color w:val="2F2F2F"/>
                <w:sz w:val="18"/>
                <w:szCs w:val="18"/>
              </w:rPr>
              <w:t xml:space="preserve">Estimated exposure:      $12,000</w:t>
            </w:r>
          </w:p>
          <w:p>
            <w:pPr>
              <w:spacing w:after="40"/>
            </w:pPr>
            <w:r>
              <w:rPr>
                <w:rFonts w:ascii="Courier New" w:cs="Courier New" w:eastAsia="Courier New" w:hAnsi="Courier New"/>
                <w:color w:val="2F2F2F"/>
                <w:sz w:val="18"/>
                <w:szCs w:val="18"/>
              </w:rPr>
              <w:t xml:space="preserve"/>
            </w:r>
          </w:p>
          <w:p>
            <w:pPr>
              <w:spacing w:after="40"/>
            </w:pPr>
            <w:r>
              <w:rPr>
                <w:rFonts w:ascii="Courier New" w:cs="Courier New" w:eastAsia="Courier New" w:hAnsi="Courier New"/>
                <w:color w:val="2F2F2F"/>
                <w:sz w:val="18"/>
                <w:szCs w:val="18"/>
              </w:rPr>
              <w:t xml:space="preserve">Audit narrative: RETAIN verdict PREVENTABLE (prob=0.87, High confidence).</w:t>
            </w:r>
          </w:p>
          <w:p>
            <w:pPr>
              <w:spacing w:after="40"/>
            </w:pPr>
            <w:r>
              <w:rPr>
                <w:rFonts w:ascii="Courier New" w:cs="Courier New" w:eastAsia="Courier New" w:hAnsi="Courier New"/>
                <w:color w:val="2F2F2F"/>
                <w:sz w:val="18"/>
                <w:szCs w:val="18"/>
              </w:rPr>
              <w:t xml:space="preserve">Decision driven by INDEX CLAIM A. Provider discharge behavior implicated.</w:t>
            </w:r>
          </w:p>
          <w:p>
            <w:pPr>
              <w:spacing w:after="40"/>
            </w:pPr>
            <w:r>
              <w:rPr>
                <w:rFonts w:ascii="Courier New" w:cs="Courier New" w:eastAsia="Courier New" w:hAnsi="Courier New"/>
                <w:color w:val="2F2F2F"/>
                <w:sz w:val="18"/>
                <w:szCs w:val="18"/>
              </w:rPr>
              <w:t xml:space="preserve">Top signal on index: [I50: heart failure, LOS 1 day, home discharge].</w:t>
            </w:r>
          </w:p>
          <w:p>
            <w:pPr>
              <w:spacing w:after="40"/>
            </w:pPr>
            <w:r>
              <w:rPr>
                <w:rFonts w:ascii="Courier New" w:cs="Courier New" w:eastAsia="Courier New" w:hAnsi="Courier New"/>
                <w:color w:val="2F2F2F"/>
                <w:sz w:val="18"/>
                <w:szCs w:val="18"/>
              </w:rPr>
              <w:t xml:space="preserve">Top signal on readmission: [I50: same heart failure, N18: kidney failure].</w:t>
            </w:r>
          </w:p>
          <w:p>
            <w:pPr>
              <w:spacing w:after="40"/>
            </w:pPr>
            <w:r>
              <w:rPr>
                <w:rFonts w:ascii="Courier New" w:cs="Courier New" w:eastAsia="Courier New" w:hAnsi="Courier New"/>
                <w:color w:val="2F2F2F"/>
                <w:sz w:val="18"/>
                <w:szCs w:val="18"/>
              </w:rPr>
              <w:t xml:space="preserve">Clinical flags: rapid readmit 6 days | same primary dx category | very short stay.</w:t>
            </w:r>
          </w:p>
        </w:tc>
      </w:tr>
    </w:tbl>
    <w:p>
      <w:pPr>
        <w:spacing w:after="0"/>
      </w:pPr>
      <w:r>
        <w:br w:type="page"/>
      </w:r>
    </w:p>
    <w:p>
      <w:pPr>
        <w:pStyle w:val="Heading1"/>
        <w:spacing w:after="200" w:before="360"/>
      </w:pPr>
      <w:r>
        <w:rPr>
          <w:rFonts w:ascii="Arial" w:cs="Arial" w:eastAsia="Arial" w:hAnsi="Arial"/>
          <w:b/>
          <w:bCs/>
          <w:color w:val="1F3864"/>
          <w:sz w:val="32"/>
          <w:szCs w:val="32"/>
        </w:rPr>
        <w:t xml:space="preserve">3.  Why RETAIN vs. Alternative Approaches</w:t>
      </w:r>
    </w:p>
    <w:p>
      <w:pPr>
        <w:pStyle w:val="Heading2"/>
        <w:pBdr>
          <w:bottom w:val="single" w:color="2E74B5" w:sz="6" w:space="4"/>
        </w:pBdr>
        <w:spacing w:after="160" w:before="280"/>
      </w:pPr>
      <w:r>
        <w:rPr>
          <w:rFonts w:ascii="Arial" w:cs="Arial" w:eastAsia="Arial" w:hAnsi="Arial"/>
          <w:b/>
          <w:bCs/>
          <w:color w:val="2E74B5"/>
          <w:sz w:val="26"/>
          <w:szCs w:val="26"/>
        </w:rPr>
        <w:t xml:space="preserve">3.1  RETAIN vs. CatBoost (Gradient Boosted Trees)</w:t>
      </w:r>
    </w:p>
    <w:p>
      <w:pPr>
        <w:spacing w:after="120"/>
      </w:pPr>
      <w:r>
        <w:rPr>
          <w:rFonts w:ascii="Arial" w:cs="Arial" w:eastAsia="Arial" w:hAnsi="Arial"/>
          <w:sz w:val="22"/>
          <w:szCs w:val="22"/>
        </w:rPr>
        <w:t xml:space="preserve">CatBoost is a strong baseline for tabular classification. The table below compares both approaches on dimensions that matter for this specific overpayment use case.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c>
          <w:tcPr>
            <w:tcW w:type="dxa" w:w="288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w:t>
            </w:r>
          </w:p>
        </w:tc>
        <w:tc>
          <w:tcPr>
            <w:tcW w:type="dxa" w:w="3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CatBoost</w:t>
            </w:r>
          </w:p>
        </w:tc>
        <w:tc>
          <w:tcPr>
            <w:tcW w:type="dxa" w:w="3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RETAIN</w:t>
            </w:r>
          </w:p>
        </w:tc>
      </w:tr>
      <w:tr>
        <w:tc>
          <w:tcPr>
            <w:tcW w:type="dxa" w:w="28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Input data</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Flat row of features you engineer (has_chf, days_between, same_dx)</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Raw ICD codes and DRG from both claims — no feature engineering</w:t>
            </w:r>
          </w:p>
        </w:tc>
      </w:tr>
      <w:tr>
        <w:tc>
          <w:tcPr>
            <w:tcW w:type="dxa" w:w="28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Reads claim sequence</w:t>
            </w:r>
          </w:p>
        </w:tc>
        <w:tc>
          <w:tcPr>
            <w:tcW w:type="dxa" w:w="36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No — all features seen simultaneously, no concept of order</w:t>
            </w:r>
          </w:p>
        </w:tc>
        <w:tc>
          <w:tcPr>
            <w:tcW w:type="dxa" w:w="3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Yes — Claim A then Claim B, GRU carries memory forward</w:t>
            </w:r>
          </w:p>
        </w:tc>
      </w:tr>
      <w:tr>
        <w:tc>
          <w:tcPr>
            <w:tcW w:type="dxa" w:w="28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Explanation</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SHAP values on engineered features — e.g. 'short LOS contributed +0.18'</w:t>
            </w:r>
          </w:p>
        </w:tc>
        <w:tc>
          <w:tcPr>
            <w:tcW w:type="dxa" w:w="3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Attention on actual ICD codes — 'I50.43 attn=0.38, LOS_1D attn=0.31'</w:t>
            </w:r>
          </w:p>
        </w:tc>
      </w:tr>
      <w:tr>
        <w:tc>
          <w:tcPr>
            <w:tcW w:type="dxa" w:w="28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Audit usability</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Medium — reviewer must look up codes behind engineered features</w:t>
            </w:r>
          </w:p>
        </w:tc>
        <w:tc>
          <w:tcPr>
            <w:tcW w:type="dxa" w:w="3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High — explanation names the exact code on the exact claim</w:t>
            </w:r>
          </w:p>
        </w:tc>
      </w:tr>
      <w:tr>
        <w:tc>
          <w:tcPr>
            <w:tcW w:type="dxa" w:w="28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Handles code variation</w:t>
            </w:r>
          </w:p>
        </w:tc>
        <w:tc>
          <w:tcPr>
            <w:tcW w:type="dxa" w:w="36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No — N17.9 and N18.3 are different unless you engineer a 'renal' flag</w:t>
            </w:r>
          </w:p>
        </w:tc>
        <w:tc>
          <w:tcPr>
            <w:tcW w:type="dxa" w:w="3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Yes — graph embeddings teach it N17 and N18 are the same family</w:t>
            </w:r>
          </w:p>
        </w:tc>
      </w:tr>
      <w:tr>
        <w:tc>
          <w:tcPr>
            <w:tcW w:type="dxa" w:w="28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Provider implicated?</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Must infer from SHAP — no direct claim-level attribution</w:t>
            </w:r>
          </w:p>
        </w:tc>
        <w:tc>
          <w:tcPr>
            <w:tcW w:type="dxa" w:w="3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Alpha attention directly shows if Claim A (provider behavior) drove decision</w:t>
            </w:r>
          </w:p>
        </w:tc>
      </w:tr>
      <w:tr>
        <w:tc>
          <w:tcPr>
            <w:tcW w:type="dxa" w:w="28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spacing w:after="120"/>
            </w:pPr>
            <w:r>
              <w:rPr>
                <w:rFonts w:ascii="Arial" w:cs="Arial" w:eastAsia="Arial" w:hAnsi="Arial"/>
                <w:b/>
                <w:bCs/>
                <w:sz w:val="18"/>
                <w:szCs w:val="18"/>
              </w:rPr>
              <w:t xml:space="preserve">Best use in pipeline</w:t>
            </w:r>
          </w:p>
        </w:tc>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Fast provider screening across all claims — wide net pass</w:t>
            </w:r>
          </w:p>
        </w:tc>
        <w:tc>
          <w:tcPr>
            <w:tcW w:type="dxa" w:w="3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Deep clinical investigation with code-level audit evidence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E2EFDA" w:val="clear"/>
            <w:tcMar>
              <w:top w:type="dxa" w:w="120"/>
              <w:left w:type="dxa" w:w="200"/>
              <w:bottom w:type="dxa" w:w="120"/>
              <w:right w:type="dxa" w:w="200"/>
            </w:tcMar>
          </w:tcPr>
          <w:p>
            <w:pPr>
              <w:spacing w:after="60"/>
            </w:pPr>
            <w:r>
              <w:rPr>
                <w:rFonts w:ascii="Arial" w:cs="Arial" w:eastAsia="Arial" w:hAnsi="Arial"/>
                <w:b/>
                <w:bCs/>
                <w:color w:val="1E6B3C"/>
                <w:sz w:val="20"/>
                <w:szCs w:val="20"/>
              </w:rPr>
              <w:t xml:space="preserve">Recommended Approach — Use Both in Sequence</w:t>
            </w:r>
          </w:p>
          <w:p>
            <w:pPr>
              <w:pStyle w:val="ListParagraph"/>
              <w:numPr>
                <w:ilvl w:val="0"/>
                <w:numId w:val="2"/>
              </w:numPr>
              <w:spacing w:after="80"/>
            </w:pPr>
            <w:r>
              <w:rPr>
                <w:rFonts w:ascii="Arial" w:cs="Arial" w:eastAsia="Arial" w:hAnsi="Arial"/>
                <w:sz w:val="22"/>
                <w:szCs w:val="22"/>
              </w:rPr>
              <w:t xml:space="preserve">CatBoost runs first across all providers to rank anomalies quickly using engineered features. This takes minutes.</w:t>
            </w:r>
          </w:p>
          <w:p>
            <w:pPr>
              <w:pStyle w:val="ListParagraph"/>
              <w:numPr>
                <w:ilvl w:val="0"/>
                <w:numId w:val="2"/>
              </w:numPr>
              <w:spacing w:after="80"/>
            </w:pPr>
            <w:r>
              <w:rPr>
                <w:rFonts w:ascii="Arial" w:cs="Arial" w:eastAsia="Arial" w:hAnsi="Arial"/>
                <w:sz w:val="22"/>
                <w:szCs w:val="22"/>
              </w:rPr>
              <w:t xml:space="preserve">RETAIN runs on the top-ranked providers to generate the clinical narrative and code-level attention that makes each case actionable for investigators.</w:t>
            </w:r>
          </w:p>
          <w:p>
            <w:pPr>
              <w:pStyle w:val="ListParagraph"/>
              <w:numPr>
                <w:ilvl w:val="0"/>
                <w:numId w:val="2"/>
              </w:numPr>
              <w:spacing w:after="80"/>
            </w:pPr>
            <w:r>
              <w:rPr>
                <w:rFonts w:ascii="Arial" w:cs="Arial" w:eastAsia="Arial" w:hAnsi="Arial"/>
                <w:sz w:val="22"/>
                <w:szCs w:val="22"/>
              </w:rPr>
              <w:t xml:space="preserve">CatBoost finds the cases. RETAIN explains them in language an auditor can take to a review panel.</w:t>
            </w:r>
          </w:p>
        </w:tc>
      </w:tr>
    </w:tbl>
    <w:p>
      <w:pPr>
        <w:spacing w:after="0"/>
      </w:pPr>
      <w:r>
        <w:br w:type="page"/>
      </w:r>
    </w:p>
    <w:p>
      <w:pPr>
        <w:pStyle w:val="Heading1"/>
        <w:spacing w:after="200" w:before="360"/>
      </w:pPr>
      <w:r>
        <w:rPr>
          <w:rFonts w:ascii="Arial" w:cs="Arial" w:eastAsia="Arial" w:hAnsi="Arial"/>
          <w:b/>
          <w:bCs/>
          <w:color w:val="1F3864"/>
          <w:sz w:val="32"/>
          <w:szCs w:val="32"/>
        </w:rPr>
        <w:t xml:space="preserve">4.  Data Requirements</w:t>
      </w:r>
    </w:p>
    <w:p>
      <w:pPr>
        <w:pStyle w:val="Heading2"/>
        <w:pBdr>
          <w:bottom w:val="single" w:color="2E74B5" w:sz="6" w:space="4"/>
        </w:pBdr>
        <w:spacing w:after="160" w:before="280"/>
      </w:pPr>
      <w:r>
        <w:rPr>
          <w:rFonts w:ascii="Arial" w:cs="Arial" w:eastAsia="Arial" w:hAnsi="Arial"/>
          <w:b/>
          <w:bCs/>
          <w:color w:val="2E74B5"/>
          <w:sz w:val="26"/>
          <w:szCs w:val="26"/>
        </w:rPr>
        <w:t xml:space="preserve">4.1  What We Need</w:t>
      </w:r>
    </w:p>
    <w:p>
      <w:pPr>
        <w:spacing w:after="120"/>
      </w:pPr>
      <w:r>
        <w:rPr>
          <w:rFonts w:ascii="Arial" w:cs="Arial" w:eastAsia="Arial" w:hAnsi="Arial"/>
          <w:sz w:val="22"/>
          <w:szCs w:val="22"/>
        </w:rPr>
        <w:t xml:space="preserve">The pipeline requires two CSV files containing standard claims fields — no additional data sources, no PHI beyond what already exists in claims systems.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c>
          <w:tcPr>
            <w:tcW w:type="dxa" w:w="2500"/>
            <w:tcBorders>
              <w:top w:val="single" w:color="17617A" w:sz="6"/>
              <w:left w:val="single" w:color="17617A" w:sz="6"/>
              <w:bottom w:val="single" w:color="17617A" w:sz="6"/>
              <w:right w:val="single" w:color="17617A" w:sz="6"/>
            </w:tcBorders>
            <w:shd w:fill="17617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3000"/>
            <w:tcBorders>
              <w:top w:val="single" w:color="17617A" w:sz="6"/>
              <w:left w:val="single" w:color="17617A" w:sz="6"/>
              <w:bottom w:val="single" w:color="17617A" w:sz="6"/>
              <w:right w:val="single" w:color="17617A" w:sz="6"/>
            </w:tcBorders>
            <w:shd w:fill="17617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 Value</w:t>
            </w:r>
          </w:p>
        </w:tc>
        <w:tc>
          <w:tcPr>
            <w:tcW w:type="dxa" w:w="4580"/>
            <w:tcBorders>
              <w:top w:val="single" w:color="17617A" w:sz="6"/>
              <w:left w:val="single" w:color="17617A" w:sz="6"/>
              <w:bottom w:val="single" w:color="17617A" w:sz="6"/>
              <w:right w:val="single" w:color="17617A" w:sz="6"/>
            </w:tcBorders>
            <w:shd w:fill="17617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We Need It</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pair_id</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PAIR000001</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Links index claim to readmission claim</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member_id</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MBR24592</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Patient identity — ensures train/test split by patient</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provider_tax_id</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TAX000000001</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Shared by both claims — provider overpayment aggregation</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claimA_diag_codes</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I50.43|E11.65|I10</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ICD codes on index — first 3 chars used (I50|E11|I10)</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claimB_diag_codes</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I50.43|N18.3</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ICD codes on readmission — relatedness to Claim A is key signal</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claimA/B_drg_code</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291</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DRG severity — escalation between visits is overpayment signal</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claimA/B_los</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1</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Length of stay — short LOS on high-severity DRG = premature discharge</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claimA/B_discharge_status</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01 (home)</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Disposition — home discharge on complex patient is risk flag</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claimA/B_admit_date</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2024-03-15</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Used to compute days gap — key categorical feature</w:t>
            </w:r>
          </w:p>
        </w:tc>
      </w:tr>
      <w:tr>
        <w:tc>
          <w:tcPr>
            <w:tcW w:type="dxa" w:w="25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preventable</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1 or 0</w:t>
            </w:r>
          </w:p>
        </w:tc>
        <w:tc>
          <w:tcPr>
            <w:tcW w:type="dxa" w:w="45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Training data only — label for supervised learning</w:t>
            </w:r>
          </w:p>
        </w:tc>
      </w:tr>
    </w:tbl>
    <w:p>
      <w:pPr>
        <w:spacing w:after="80"/>
      </w:pPr>
      <w:r>
        <w:t xml:space="preserve"/>
      </w:r>
    </w:p>
    <w:p>
      <w:pPr>
        <w:pStyle w:val="Heading2"/>
        <w:pBdr>
          <w:bottom w:val="single" w:color="2E74B5" w:sz="6" w:space="4"/>
        </w:pBdr>
        <w:spacing w:after="160" w:before="280"/>
      </w:pPr>
      <w:r>
        <w:rPr>
          <w:rFonts w:ascii="Arial" w:cs="Arial" w:eastAsia="Arial" w:hAnsi="Arial"/>
          <w:b/>
          <w:bCs/>
          <w:color w:val="2E74B5"/>
          <w:sz w:val="26"/>
          <w:szCs w:val="26"/>
        </w:rPr>
        <w:t xml:space="preserve">4.2  What Is NOT Required</w:t>
      </w:r>
    </w:p>
    <w:p>
      <w:pPr>
        <w:pStyle w:val="ListParagraph"/>
        <w:numPr>
          <w:ilvl w:val="0"/>
          <w:numId w:val="2"/>
        </w:numPr>
        <w:spacing w:after="80"/>
      </w:pPr>
      <w:r>
        <w:rPr>
          <w:rFonts w:ascii="Arial" w:cs="Arial" w:eastAsia="Arial" w:hAnsi="Arial"/>
          <w:sz w:val="22"/>
          <w:szCs w:val="22"/>
        </w:rPr>
        <w:t xml:space="preserve">Clinical notes or unstructured text</w:t>
      </w:r>
    </w:p>
    <w:p>
      <w:pPr>
        <w:pStyle w:val="ListParagraph"/>
        <w:numPr>
          <w:ilvl w:val="0"/>
          <w:numId w:val="2"/>
        </w:numPr>
        <w:spacing w:after="80"/>
      </w:pPr>
      <w:r>
        <w:rPr>
          <w:rFonts w:ascii="Arial" w:cs="Arial" w:eastAsia="Arial" w:hAnsi="Arial"/>
          <w:sz w:val="22"/>
          <w:szCs w:val="22"/>
        </w:rPr>
        <w:t xml:space="preserve">Lab results or vital signs</w:t>
      </w:r>
    </w:p>
    <w:p>
      <w:pPr>
        <w:pStyle w:val="ListParagraph"/>
        <w:numPr>
          <w:ilvl w:val="0"/>
          <w:numId w:val="2"/>
        </w:numPr>
        <w:spacing w:after="80"/>
      </w:pPr>
      <w:r>
        <w:rPr>
          <w:rFonts w:ascii="Arial" w:cs="Arial" w:eastAsia="Arial" w:hAnsi="Arial"/>
          <w:sz w:val="22"/>
          <w:szCs w:val="22"/>
        </w:rPr>
        <w:t xml:space="preserve">Pharmacy / medication data</w:t>
      </w:r>
    </w:p>
    <w:p>
      <w:pPr>
        <w:pStyle w:val="ListParagraph"/>
        <w:numPr>
          <w:ilvl w:val="0"/>
          <w:numId w:val="2"/>
        </w:numPr>
        <w:spacing w:after="80"/>
      </w:pPr>
      <w:r>
        <w:rPr>
          <w:rFonts w:ascii="Arial" w:cs="Arial" w:eastAsia="Arial" w:hAnsi="Arial"/>
          <w:sz w:val="22"/>
          <w:szCs w:val="22"/>
        </w:rPr>
        <w:t xml:space="preserve">Patient demographics beyond member ID</w:t>
      </w:r>
    </w:p>
    <w:p>
      <w:pPr>
        <w:pStyle w:val="ListParagraph"/>
        <w:numPr>
          <w:ilvl w:val="0"/>
          <w:numId w:val="2"/>
        </w:numPr>
        <w:spacing w:after="80"/>
      </w:pPr>
      <w:r>
        <w:rPr>
          <w:rFonts w:ascii="Arial" w:cs="Arial" w:eastAsia="Arial" w:hAnsi="Arial"/>
          <w:sz w:val="22"/>
          <w:szCs w:val="22"/>
        </w:rPr>
        <w:t xml:space="preserve">External benchmark databases</w:t>
      </w:r>
    </w:p>
    <w:p>
      <w:pPr>
        <w:spacing w:after="80"/>
      </w:pPr>
      <w:r>
        <w:t xml:space="preserve"/>
      </w:r>
    </w:p>
    <w:p>
      <w:pPr>
        <w:pStyle w:val="Heading2"/>
        <w:pBdr>
          <w:bottom w:val="single" w:color="2E74B5" w:sz="6" w:space="4"/>
        </w:pBdr>
        <w:spacing w:after="160" w:before="280"/>
      </w:pPr>
      <w:r>
        <w:rPr>
          <w:rFonts w:ascii="Arial" w:cs="Arial" w:eastAsia="Arial" w:hAnsi="Arial"/>
          <w:b/>
          <w:bCs/>
          <w:color w:val="2E74B5"/>
          <w:sz w:val="26"/>
          <w:szCs w:val="26"/>
        </w:rPr>
        <w:t xml:space="preserve">4.3  Labeling Strategy for Training Data</w:t>
      </w:r>
    </w:p>
    <w:p>
      <w:pPr>
        <w:spacing w:after="120"/>
      </w:pPr>
      <w:r>
        <w:rPr>
          <w:rFonts w:ascii="Arial" w:cs="Arial" w:eastAsia="Arial" w:hAnsi="Arial"/>
          <w:sz w:val="22"/>
          <w:szCs w:val="22"/>
        </w:rPr>
        <w:t xml:space="preserve">If labeled training data does not yet exist, the pipeline auto-generates labels using CMS-aligned rules:</w:t>
      </w:r>
    </w:p>
    <w:p>
      <w:pPr>
        <w:pStyle w:val="ListParagraph"/>
        <w:numPr>
          <w:ilvl w:val="0"/>
          <w:numId w:val="2"/>
        </w:numPr>
        <w:spacing w:after="80"/>
      </w:pPr>
      <w:r>
        <w:rPr>
          <w:rFonts w:ascii="Arial" w:cs="Arial" w:eastAsia="Arial" w:hAnsi="Arial"/>
          <w:b/>
          <w:bCs/>
          <w:sz w:val="22"/>
          <w:szCs w:val="22"/>
        </w:rPr>
        <w:t xml:space="preserve">Same CCS category: </w:t>
      </w:r>
      <w:r>
        <w:rPr>
          <w:rFonts w:ascii="Arial" w:cs="Arial" w:eastAsia="Arial" w:hAnsi="Arial"/>
          <w:sz w:val="22"/>
          <w:szCs w:val="22"/>
        </w:rPr>
        <w:t xml:space="preserve">Readmission primary diagnosis maps to same Clinical Classification Software category as index — clinically related return.</w:t>
      </w:r>
    </w:p>
    <w:p>
      <w:pPr>
        <w:pStyle w:val="ListParagraph"/>
        <w:numPr>
          <w:ilvl w:val="0"/>
          <w:numId w:val="2"/>
        </w:numPr>
        <w:spacing w:after="80"/>
      </w:pPr>
      <w:r>
        <w:rPr>
          <w:rFonts w:ascii="Arial" w:cs="Arial" w:eastAsia="Arial" w:hAnsi="Arial"/>
          <w:b/>
          <w:bCs/>
          <w:sz w:val="22"/>
          <w:szCs w:val="22"/>
        </w:rPr>
        <w:t xml:space="preserve">Rapid readmission: </w:t>
      </w:r>
      <w:r>
        <w:rPr>
          <w:rFonts w:ascii="Arial" w:cs="Arial" w:eastAsia="Arial" w:hAnsi="Arial"/>
          <w:sz w:val="22"/>
          <w:szCs w:val="22"/>
        </w:rPr>
        <w:t xml:space="preserve">Return within 7 days — almost always preventable regardless of diagnosis.</w:t>
      </w:r>
    </w:p>
    <w:p>
      <w:pPr>
        <w:pStyle w:val="ListParagraph"/>
        <w:numPr>
          <w:ilvl w:val="0"/>
          <w:numId w:val="2"/>
        </w:numPr>
        <w:spacing w:after="80"/>
      </w:pPr>
      <w:r>
        <w:rPr>
          <w:rFonts w:ascii="Arial" w:cs="Arial" w:eastAsia="Arial" w:hAnsi="Arial"/>
          <w:b/>
          <w:bCs/>
          <w:sz w:val="22"/>
          <w:szCs w:val="22"/>
        </w:rPr>
        <w:t xml:space="preserve">Ambulatory care sensitive: </w:t>
      </w:r>
      <w:r>
        <w:rPr>
          <w:rFonts w:ascii="Arial" w:cs="Arial" w:eastAsia="Arial" w:hAnsi="Arial"/>
          <w:sz w:val="22"/>
          <w:szCs w:val="22"/>
        </w:rPr>
        <w:t xml:space="preserve">Readmission diagnosis falls in HRRP-tracked categories (CHF, pneumonia, COPD, diabetes, renal failure).</w:t>
      </w:r>
    </w:p>
    <w:p>
      <w:pPr>
        <w:pStyle w:val="ListParagraph"/>
        <w:numPr>
          <w:ilvl w:val="0"/>
          <w:numId w:val="2"/>
        </w:numPr>
        <w:spacing w:after="80"/>
      </w:pPr>
      <w:r>
        <w:rPr>
          <w:rFonts w:ascii="Arial" w:cs="Arial" w:eastAsia="Arial" w:hAnsi="Arial"/>
          <w:b/>
          <w:bCs/>
          <w:sz w:val="22"/>
          <w:szCs w:val="22"/>
        </w:rPr>
        <w:t xml:space="preserve">DRG severity escalation: </w:t>
      </w:r>
      <w:r>
        <w:rPr>
          <w:rFonts w:ascii="Arial" w:cs="Arial" w:eastAsia="Arial" w:hAnsi="Arial"/>
          <w:sz w:val="22"/>
          <w:szCs w:val="22"/>
        </w:rPr>
        <w:t xml:space="preserve">Readmission billed at higher acuity DRG within same MDC — condition worsened after discharge.</w:t>
      </w:r>
    </w:p>
    <w:p>
      <w:pPr>
        <w:spacing w:after="80"/>
      </w:pPr>
      <w:r>
        <w:t xml:space="preserve"/>
      </w:r>
    </w:p>
    <w:p>
      <w:pPr>
        <w:spacing w:after="120"/>
      </w:pPr>
      <w:r>
        <w:rPr>
          <w:rFonts w:ascii="Arial" w:cs="Arial" w:eastAsia="Arial" w:hAnsi="Arial"/>
          <w:sz w:val="22"/>
          <w:szCs w:val="22"/>
        </w:rPr>
        <w:t xml:space="preserve">These rules provide a strong starting signal. Model performance improves significantly when a panel of clinicians reviews and corrects a sample of 500–1,000 pairs. This is a one-time investment in label quality.</w:t>
      </w:r>
    </w:p>
    <w:p>
      <w:pPr>
        <w:spacing w:after="0"/>
      </w:pPr>
      <w:r>
        <w:br w:type="page"/>
      </w:r>
    </w:p>
    <w:p>
      <w:pPr>
        <w:pStyle w:val="Heading1"/>
        <w:spacing w:after="200" w:before="360"/>
      </w:pPr>
      <w:r>
        <w:rPr>
          <w:rFonts w:ascii="Arial" w:cs="Arial" w:eastAsia="Arial" w:hAnsi="Arial"/>
          <w:b/>
          <w:bCs/>
          <w:color w:val="1F3864"/>
          <w:sz w:val="32"/>
          <w:szCs w:val="32"/>
        </w:rPr>
        <w:t xml:space="preserve">5.  What the System Produces</w:t>
      </w:r>
    </w:p>
    <w:p>
      <w:pPr>
        <w:pStyle w:val="Heading2"/>
        <w:pBdr>
          <w:bottom w:val="single" w:color="2E74B5" w:sz="6" w:space="4"/>
        </w:pBdr>
        <w:spacing w:after="160" w:before="280"/>
      </w:pPr>
      <w:r>
        <w:rPr>
          <w:rFonts w:ascii="Arial" w:cs="Arial" w:eastAsia="Arial" w:hAnsi="Arial"/>
          <w:b/>
          <w:bCs/>
          <w:color w:val="2E74B5"/>
          <w:sz w:val="26"/>
          <w:szCs w:val="26"/>
        </w:rPr>
        <w:t xml:space="preserve">5.1  Pair-Level Scoring CSV</w:t>
      </w:r>
    </w:p>
    <w:p>
      <w:pPr>
        <w:spacing w:after="120"/>
      </w:pPr>
      <w:r>
        <w:rPr>
          <w:rFonts w:ascii="Arial" w:cs="Arial" w:eastAsia="Arial" w:hAnsi="Arial"/>
          <w:sz w:val="22"/>
          <w:szCs w:val="22"/>
        </w:rPr>
        <w:t xml:space="preserve">Every readmission pair in the scoring dataset receives a row in the output with 47 columns. The key columns an investigator uses are: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708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Tells the Investigator</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preventable_probability</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Model score 0.0–1.0. Above 0.75 = high confidence preventable.</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overpayment_priority</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HIGH / MEDIUM / LOW — composite of model score + audit flags + alpha attention.</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estimated_exposure_usd</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Dollar amount at risk for this pair, based on average readmission payment.</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provider_behavior_implicated</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YES when alpha attention on Claim A &gt; Claim B — discharge decision is the problem.</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top_attended_codes_claimA</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'I50: heart failure [attn=0.38] | LOS_1D: 1 day stay [attn=0.31] | DISCH_HOME [attn=0.21]'</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top_attended_codes_claimB</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'I50: same heart failure [attn=0.51] | N18: kidney failure [attn=0.29]'</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audit_flags</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RAPID_READMIT_7D | SAME_PRIMARY_DX_CATEGORY | VERY_SHORT_STAY_HOME | AMA_DISCHARGE | DRG_SEVERITY_ESCALATION</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audit_narrative</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One plain English sentence: 'RETAIN verdict PREVENTABLE (0.87, High). Driven by INDEX CLAIM A. Provider discharge implicated. Top signal: [I50: acute heart failure, 1-day stay, home discharge]. Clinical flags: returned 6 days, same dx category.'</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days_gap_category</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Categorical bucket: GAP_0_3D | GAP_4_7D | GAP_8_14D | GAP_15_21D | GAP_22_30D — present on both visits.</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same_ccs_category</w:t>
            </w:r>
          </w:p>
        </w:tc>
        <w:tc>
          <w:tcPr>
            <w:tcW w:type="dxa" w:w="70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YES/NO — did the patient return for the same clinical condition? Strongest single preventability signal.</w:t>
            </w:r>
          </w:p>
        </w:tc>
      </w:tr>
    </w:tbl>
    <w:p>
      <w:pPr>
        <w:spacing w:after="80"/>
      </w:pPr>
      <w:r>
        <w:t xml:space="preserve"/>
      </w:r>
    </w:p>
    <w:p>
      <w:pPr>
        <w:pStyle w:val="Heading2"/>
        <w:pBdr>
          <w:bottom w:val="single" w:color="2E74B5" w:sz="6" w:space="4"/>
        </w:pBdr>
        <w:spacing w:after="160" w:before="280"/>
      </w:pPr>
      <w:r>
        <w:rPr>
          <w:rFonts w:ascii="Arial" w:cs="Arial" w:eastAsia="Arial" w:hAnsi="Arial"/>
          <w:b/>
          <w:bCs/>
          <w:color w:val="2E74B5"/>
          <w:sz w:val="26"/>
          <w:szCs w:val="26"/>
        </w:rPr>
        <w:t xml:space="preserve">5.2  Provider Audit Queue</w:t>
      </w:r>
    </w:p>
    <w:p>
      <w:pPr>
        <w:spacing w:after="120"/>
      </w:pPr>
      <w:r>
        <w:rPr>
          <w:rFonts w:ascii="Arial" w:cs="Arial" w:eastAsia="Arial" w:hAnsi="Arial"/>
          <w:sz w:val="22"/>
          <w:szCs w:val="22"/>
        </w:rPr>
        <w:t xml:space="preserve">All scored pairs are aggregated by provider tax ID to produce a ranked audit queue. Providers are ranked by a priority score that accounts for volume, case-mix adjusted preventable rate, and dollar exposure.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1600"/>
        <w:gridCol w:w="1800"/>
        <w:gridCol w:w="1600"/>
        <w:gridCol w:w="1440"/>
      </w:tblGrid>
      <w:tr>
        <w:tc>
          <w:tcPr>
            <w:tcW w:type="dxa" w:w="144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Rank</w:t>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Provider Tax ID</w:t>
            </w:r>
          </w:p>
        </w:tc>
        <w:tc>
          <w:tcPr>
            <w:tcW w:type="dxa" w:w="1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Pairs</w:t>
            </w:r>
          </w:p>
        </w:tc>
        <w:tc>
          <w:tcPr>
            <w:tcW w:type="dxa" w:w="1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Preventable Rate</w:t>
            </w:r>
          </w:p>
        </w:tc>
        <w:tc>
          <w:tcPr>
            <w:tcW w:type="dxa" w:w="1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 Priority</w:t>
            </w:r>
          </w:p>
        </w:tc>
        <w:tc>
          <w:tcPr>
            <w:tcW w:type="dxa" w:w="144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Exposure $</w:t>
            </w:r>
          </w:p>
        </w:tc>
      </w:tr>
      <w:tr>
        <w:tc>
          <w:tcPr>
            <w:tcW w:type="dxa" w:w="144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b/>
                <w:bCs/>
                <w:sz w:val="18"/>
                <w:szCs w:val="18"/>
              </w:rPr>
              <w:t xml:space="preserve">1</w:t>
            </w:r>
          </w:p>
        </w:tc>
        <w:tc>
          <w:tcPr>
            <w:tcW w:type="dxa" w:w="22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TAX000000001</w:t>
            </w:r>
          </w:p>
        </w:tc>
        <w:tc>
          <w:tcPr>
            <w:tcW w:type="dxa" w:w="16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75</w:t>
            </w:r>
          </w:p>
        </w:tc>
        <w:tc>
          <w:tcPr>
            <w:tcW w:type="dxa" w:w="18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91%</w:t>
            </w:r>
          </w:p>
        </w:tc>
        <w:tc>
          <w:tcPr>
            <w:tcW w:type="dxa" w:w="16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47</w:t>
            </w:r>
          </w:p>
        </w:tc>
        <w:tc>
          <w:tcPr>
            <w:tcW w:type="dxa" w:w="144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spacing w:after="120"/>
            </w:pPr>
            <w:r>
              <w:rPr>
                <w:rFonts w:ascii="Arial" w:cs="Arial" w:eastAsia="Arial" w:hAnsi="Arial"/>
                <w:sz w:val="18"/>
                <w:szCs w:val="18"/>
              </w:rPr>
              <w:t xml:space="preserve">$564,000</w:t>
            </w:r>
          </w:p>
        </w:tc>
      </w:tr>
      <w:tr>
        <w:tc>
          <w:tcPr>
            <w:tcW w:type="dxa" w:w="144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spacing w:after="120"/>
            </w:pPr>
            <w:r>
              <w:rPr>
                <w:rFonts w:ascii="Arial" w:cs="Arial" w:eastAsia="Arial" w:hAnsi="Arial"/>
                <w:sz w:val="18"/>
                <w:szCs w:val="18"/>
              </w:rPr>
              <w:t xml:space="preserve">2</w:t>
            </w:r>
          </w:p>
        </w:tc>
        <w:tc>
          <w:tcPr>
            <w:tcW w:type="dxa" w:w="22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spacing w:after="120"/>
            </w:pPr>
            <w:r>
              <w:rPr>
                <w:rFonts w:ascii="Arial" w:cs="Arial" w:eastAsia="Arial" w:hAnsi="Arial"/>
                <w:sz w:val="18"/>
                <w:szCs w:val="18"/>
              </w:rPr>
              <w:t xml:space="preserve">TAX000000002</w:t>
            </w:r>
          </w:p>
        </w:tc>
        <w:tc>
          <w:tcPr>
            <w:tcW w:type="dxa" w:w="16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spacing w:after="120"/>
            </w:pPr>
            <w:r>
              <w:rPr>
                <w:rFonts w:ascii="Arial" w:cs="Arial" w:eastAsia="Arial" w:hAnsi="Arial"/>
                <w:sz w:val="18"/>
                <w:szCs w:val="18"/>
              </w:rPr>
              <w:t xml:space="preserve">68</w:t>
            </w:r>
          </w:p>
        </w:tc>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spacing w:after="120"/>
            </w:pPr>
            <w:r>
              <w:rPr>
                <w:rFonts w:ascii="Arial" w:cs="Arial" w:eastAsia="Arial" w:hAnsi="Arial"/>
                <w:sz w:val="18"/>
                <w:szCs w:val="18"/>
              </w:rPr>
              <w:t xml:space="preserve">85%</w:t>
            </w:r>
          </w:p>
        </w:tc>
        <w:tc>
          <w:tcPr>
            <w:tcW w:type="dxa" w:w="16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spacing w:after="120"/>
            </w:pPr>
            <w:r>
              <w:rPr>
                <w:rFonts w:ascii="Arial" w:cs="Arial" w:eastAsia="Arial" w:hAnsi="Arial"/>
                <w:sz w:val="18"/>
                <w:szCs w:val="18"/>
              </w:rPr>
              <w:t xml:space="preserve">38</w:t>
            </w:r>
          </w:p>
        </w:tc>
        <w:tc>
          <w:tcPr>
            <w:tcW w:type="dxa" w:w="144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spacing w:after="120"/>
            </w:pPr>
            <w:r>
              <w:rPr>
                <w:rFonts w:ascii="Arial" w:cs="Arial" w:eastAsia="Arial" w:hAnsi="Arial"/>
                <w:sz w:val="18"/>
                <w:szCs w:val="18"/>
              </w:rPr>
              <w:t xml:space="preserve">$456,000</w:t>
            </w:r>
          </w:p>
        </w:tc>
      </w:tr>
      <w:tr>
        <w:tc>
          <w:tcPr>
            <w:tcW w:type="dxa" w:w="1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3</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TAX000000003</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71</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79%</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31</w:t>
            </w:r>
          </w:p>
        </w:tc>
        <w:tc>
          <w:tcPr>
            <w:tcW w:type="dxa" w:w="1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spacing w:after="120"/>
            </w:pPr>
            <w:r>
              <w:rPr>
                <w:rFonts w:ascii="Arial" w:cs="Arial" w:eastAsia="Arial" w:hAnsi="Arial"/>
                <w:sz w:val="18"/>
                <w:szCs w:val="18"/>
              </w:rPr>
              <w:t xml:space="preserve">$372,000</w:t>
            </w:r>
          </w:p>
        </w:tc>
      </w:tr>
    </w:tbl>
    <w:p>
      <w:pPr>
        <w:spacing w:after="0"/>
      </w:pPr>
      <w:r>
        <w:br w:type="page"/>
      </w:r>
    </w:p>
    <w:p>
      <w:pPr>
        <w:pStyle w:val="Heading1"/>
        <w:spacing w:after="200" w:before="360"/>
      </w:pPr>
      <w:r>
        <w:rPr>
          <w:rFonts w:ascii="Arial" w:cs="Arial" w:eastAsia="Arial" w:hAnsi="Arial"/>
          <w:b/>
          <w:bCs/>
          <w:color w:val="1F3864"/>
          <w:sz w:val="32"/>
          <w:szCs w:val="32"/>
        </w:rPr>
        <w:t xml:space="preserve">6.  Technical Pipeline Overview</w:t>
      </w:r>
    </w:p>
    <w:p>
      <w:pPr>
        <w:pStyle w:val="Heading2"/>
        <w:pBdr>
          <w:bottom w:val="single" w:color="2E74B5" w:sz="6" w:space="4"/>
        </w:pBdr>
        <w:spacing w:after="160" w:before="280"/>
      </w:pPr>
      <w:r>
        <w:rPr>
          <w:rFonts w:ascii="Arial" w:cs="Arial" w:eastAsia="Arial" w:hAnsi="Arial"/>
          <w:b/>
          <w:bCs/>
          <w:color w:val="2E74B5"/>
          <w:sz w:val="26"/>
          <w:szCs w:val="26"/>
        </w:rPr>
        <w:t xml:space="preserve">6.1  End-to-End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6480"/>
      </w:tblGrid>
      <w:tr>
        <w:tc>
          <w:tcPr>
            <w:tcW w:type="dxa" w:w="72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88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w:t>
            </w:r>
          </w:p>
        </w:tc>
        <w:tc>
          <w:tcPr>
            <w:tcW w:type="dxa" w:w="648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Happens</w:t>
            </w:r>
          </w:p>
        </w:tc>
      </w:tr>
      <w:tr>
        <w:tc>
          <w:tcPr>
            <w:tcW w:type="dxa" w:w="72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1</w:t>
            </w:r>
          </w:p>
        </w:tc>
        <w:tc>
          <w:tcPr>
            <w:tcW w:type="dxa" w:w="28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Data Ingestion</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Training CSV and scoring CSV loaded. Preventable labels applied or auto-generated from CCS rules.</w:t>
            </w:r>
          </w:p>
        </w:tc>
      </w:tr>
      <w:tr>
        <w:tc>
          <w:tcPr>
            <w:tcW w:type="dxa" w:w="72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2</w:t>
            </w:r>
          </w:p>
        </w:tc>
        <w:tc>
          <w:tcPr>
            <w:tcW w:type="dxa" w:w="28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Feature Engineering</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ICD codes truncated to 3-char category level (I50.43→I50). LOS, discharge status, days gap encoded as categorical tokens. No procedure codes required.</w:t>
            </w:r>
          </w:p>
        </w:tc>
      </w:tr>
      <w:tr>
        <w:tc>
          <w:tcPr>
            <w:tcW w:type="dxa" w:w="72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3</w:t>
            </w:r>
          </w:p>
        </w:tc>
        <w:tc>
          <w:tcPr>
            <w:tcW w:type="dxa" w:w="28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Graph Embedding</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Medical code graph built from co-occurrence + ICD hierarchy. Node2Vec random walks generate 64-dim vectors per code. N17 and N18 emerge as neighbours.</w:t>
            </w:r>
          </w:p>
        </w:tc>
      </w:tr>
      <w:tr>
        <w:tc>
          <w:tcPr>
            <w:tcW w:type="dxa" w:w="72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4</w:t>
            </w:r>
          </w:p>
        </w:tc>
        <w:tc>
          <w:tcPr>
            <w:tcW w:type="dxa" w:w="28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RETAIN Training</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Phase 1: 10 epochs with frozen embeddings — attention layers learn first. Phase 2: 60 epochs full fine-tuning. Best model saved by validation AUPRC.</w:t>
            </w:r>
          </w:p>
        </w:tc>
      </w:tr>
      <w:tr>
        <w:tc>
          <w:tcPr>
            <w:tcW w:type="dxa" w:w="72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5</w:t>
            </w:r>
          </w:p>
        </w:tc>
        <w:tc>
          <w:tcPr>
            <w:tcW w:type="dxa" w:w="28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Scoring</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All scoring pairs run through trained model. Per-pair: probability, alpha weights, beta weights, audit flags, narrative, exposure estimate.</w:t>
            </w:r>
          </w:p>
        </w:tc>
      </w:tr>
      <w:tr>
        <w:tc>
          <w:tcPr>
            <w:tcW w:type="dxa" w:w="72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6</w:t>
            </w:r>
          </w:p>
        </w:tc>
        <w:tc>
          <w:tcPr>
            <w:tcW w:type="dxa" w:w="28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Provider Aggregation</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Scores aggregated by provider_tax_id. Z-scored preventable rate. Priority score = z-score × log(volume) × mean_prob. Ranked audit queue output.</w:t>
            </w:r>
          </w:p>
        </w:tc>
      </w:tr>
    </w:tbl>
    <w:p>
      <w:pPr>
        <w:spacing w:after="80"/>
      </w:pPr>
      <w:r>
        <w:t xml:space="preserve"/>
      </w:r>
    </w:p>
    <w:p>
      <w:pPr>
        <w:pStyle w:val="Heading2"/>
        <w:pBdr>
          <w:bottom w:val="single" w:color="2E74B5" w:sz="6" w:space="4"/>
        </w:pBdr>
        <w:spacing w:after="160" w:before="280"/>
      </w:pPr>
      <w:r>
        <w:rPr>
          <w:rFonts w:ascii="Arial" w:cs="Arial" w:eastAsia="Arial" w:hAnsi="Arial"/>
          <w:b/>
          <w:bCs/>
          <w:color w:val="2E74B5"/>
          <w:sz w:val="26"/>
          <w:szCs w:val="26"/>
        </w:rPr>
        <w:t xml:space="preserve">6.2  Technology Stack</w:t>
      </w:r>
    </w:p>
    <w:p>
      <w:pPr>
        <w:pStyle w:val="ListParagraph"/>
        <w:numPr>
          <w:ilvl w:val="0"/>
          <w:numId w:val="2"/>
        </w:numPr>
        <w:spacing w:after="80"/>
      </w:pPr>
      <w:r>
        <w:rPr>
          <w:rFonts w:ascii="Arial" w:cs="Arial" w:eastAsia="Arial" w:hAnsi="Arial"/>
          <w:b/>
          <w:bCs/>
          <w:sz w:val="22"/>
          <w:szCs w:val="22"/>
        </w:rPr>
        <w:t xml:space="preserve">Language: </w:t>
      </w:r>
      <w:r>
        <w:rPr>
          <w:rFonts w:ascii="Arial" w:cs="Arial" w:eastAsia="Arial" w:hAnsi="Arial"/>
          <w:sz w:val="22"/>
          <w:szCs w:val="22"/>
        </w:rPr>
        <w:t xml:space="preserve">Python 3.8+ — no proprietary dependencies</w:t>
      </w:r>
    </w:p>
    <w:p>
      <w:pPr>
        <w:pStyle w:val="ListParagraph"/>
        <w:numPr>
          <w:ilvl w:val="0"/>
          <w:numId w:val="2"/>
        </w:numPr>
        <w:spacing w:after="80"/>
      </w:pPr>
      <w:r>
        <w:rPr>
          <w:rFonts w:ascii="Arial" w:cs="Arial" w:eastAsia="Arial" w:hAnsi="Arial"/>
          <w:b/>
          <w:bCs/>
          <w:sz w:val="22"/>
          <w:szCs w:val="22"/>
        </w:rPr>
        <w:t xml:space="preserve">ML framework: </w:t>
      </w:r>
      <w:r>
        <w:rPr>
          <w:rFonts w:ascii="Arial" w:cs="Arial" w:eastAsia="Arial" w:hAnsi="Arial"/>
          <w:sz w:val="22"/>
          <w:szCs w:val="22"/>
        </w:rPr>
        <w:t xml:space="preserve">Pure NumPy — runs on any standard laptop or server without GPU</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pandas, numpy, scipy, scikit-learn, networkx — all open source, auto-installed</w:t>
      </w:r>
    </w:p>
    <w:p>
      <w:pPr>
        <w:pStyle w:val="ListParagraph"/>
        <w:numPr>
          <w:ilvl w:val="0"/>
          <w:numId w:val="2"/>
        </w:numPr>
        <w:spacing w:after="80"/>
      </w:pPr>
      <w:r>
        <w:rPr>
          <w:rFonts w:ascii="Arial" w:cs="Arial" w:eastAsia="Arial" w:hAnsi="Arial"/>
          <w:b/>
          <w:bCs/>
          <w:sz w:val="22"/>
          <w:szCs w:val="22"/>
        </w:rPr>
        <w:t xml:space="preserve">Model persistence: </w:t>
      </w:r>
      <w:r>
        <w:rPr>
          <w:rFonts w:ascii="Arial" w:cs="Arial" w:eastAsia="Arial" w:hAnsi="Arial"/>
          <w:sz w:val="22"/>
          <w:szCs w:val="22"/>
        </w:rPr>
        <w:t xml:space="preserve">Trained model saved as .pkl — scoring can run without retraining monthly</w:t>
      </w:r>
    </w:p>
    <w:p>
      <w:pPr>
        <w:pStyle w:val="ListParagraph"/>
        <w:numPr>
          <w:ilvl w:val="0"/>
          <w:numId w:val="2"/>
        </w:numPr>
        <w:spacing w:after="80"/>
      </w:pPr>
      <w:r>
        <w:rPr>
          <w:rFonts w:ascii="Arial" w:cs="Arial" w:eastAsia="Arial" w:hAnsi="Arial"/>
          <w:b/>
          <w:bCs/>
          <w:sz w:val="22"/>
          <w:szCs w:val="22"/>
        </w:rPr>
        <w:t xml:space="preserve">Runtime estimate: </w:t>
      </w:r>
      <w:r>
        <w:rPr>
          <w:rFonts w:ascii="Arial" w:cs="Arial" w:eastAsia="Arial" w:hAnsi="Arial"/>
          <w:sz w:val="22"/>
          <w:szCs w:val="22"/>
        </w:rPr>
        <w:t xml:space="preserve">Training ~8 minutes on 600 labeled pairs (standard laptop). Scoring ~2 minutes for 250 new pairs.</w:t>
      </w:r>
    </w:p>
    <w:p>
      <w:pPr>
        <w:spacing w:after="80"/>
      </w:pPr>
      <w:r>
        <w:t xml:space="preserve"/>
      </w:r>
    </w:p>
    <w:p>
      <w:pPr>
        <w:pStyle w:val="Heading1"/>
        <w:spacing w:after="200" w:before="360"/>
      </w:pPr>
      <w:r>
        <w:rPr>
          <w:rFonts w:ascii="Arial" w:cs="Arial" w:eastAsia="Arial" w:hAnsi="Arial"/>
          <w:b/>
          <w:bCs/>
          <w:color w:val="1F3864"/>
          <w:sz w:val="32"/>
          <w:szCs w:val="32"/>
        </w:rPr>
        <w:t xml:space="preserve">7.  Implementation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6480"/>
      </w:tblGrid>
      <w:tr>
        <w:tc>
          <w:tcPr>
            <w:tcW w:type="dxa" w:w="144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21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W w:type="dxa" w:w="648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Deliverables</w:t>
            </w:r>
          </w:p>
        </w:tc>
      </w:tr>
      <w:tr>
        <w:tc>
          <w:tcPr>
            <w:tcW w:type="dxa" w:w="144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Phase 1</w:t>
            </w:r>
            <w:r>
              <w:rPr>
                <w:rFonts w:ascii="Arial" w:cs="Arial" w:eastAsia="Arial" w:hAnsi="Arial"/>
                <w:sz w:val="18"/>
                <w:szCs w:val="18"/>
              </w:rPr>
              <w:t xml:space="preserve"> — Data</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Weeks 1–2</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Identify and extract historical claim pairs (2 years). Apply CCS-based auto-labeling. Clinical review of 500-pair sample for label quality.</w:t>
            </w:r>
          </w:p>
        </w:tc>
      </w:tr>
      <w:tr>
        <w:tc>
          <w:tcPr>
            <w:tcW w:type="dxa" w:w="144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Phase 2</w:t>
            </w:r>
            <w:r>
              <w:rPr>
                <w:rFonts w:ascii="Arial" w:cs="Arial" w:eastAsia="Arial" w:hAnsi="Arial"/>
                <w:sz w:val="18"/>
                <w:szCs w:val="18"/>
              </w:rPr>
              <w:t xml:space="preserve"> — Baseline</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Weeks 3–4</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CatBoost baseline trained and evaluated. Provider screening run. AUROC and AUPRC benchmarks established.</w:t>
            </w:r>
          </w:p>
        </w:tc>
      </w:tr>
      <w:tr>
        <w:tc>
          <w:tcPr>
            <w:tcW w:type="dxa" w:w="144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Phase 3</w:t>
            </w:r>
            <w:r>
              <w:rPr>
                <w:rFonts w:ascii="Arial" w:cs="Arial" w:eastAsia="Arial" w:hAnsi="Arial"/>
                <w:sz w:val="18"/>
                <w:szCs w:val="18"/>
              </w:rPr>
              <w:t xml:space="preserve"> — RETAIN</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Weeks 5–7</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RETAIN model trained. Graph embeddings built. Full scoring run on historical data. Side-by-side comparison with baseline.</w:t>
            </w:r>
          </w:p>
        </w:tc>
      </w:tr>
      <w:tr>
        <w:tc>
          <w:tcPr>
            <w:tcW w:type="dxa" w:w="144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Phase 4</w:t>
            </w:r>
            <w:r>
              <w:rPr>
                <w:rFonts w:ascii="Arial" w:cs="Arial" w:eastAsia="Arial" w:hAnsi="Arial"/>
                <w:sz w:val="18"/>
                <w:szCs w:val="18"/>
              </w:rPr>
              <w:t xml:space="preserve"> — Validation</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Weeks 8–9</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Top 20 flagged providers reviewed by clinical audit team. Precision validated against known overpayment cases. Model tuned based on feedback.</w:t>
            </w:r>
          </w:p>
        </w:tc>
      </w:tr>
      <w:tr>
        <w:tc>
          <w:tcPr>
            <w:tcW w:type="dxa" w:w="144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b/>
                <w:bCs/>
                <w:sz w:val="18"/>
                <w:szCs w:val="18"/>
              </w:rPr>
              <w:t xml:space="preserve">Phase 5</w:t>
            </w:r>
            <w:r>
              <w:rPr>
                <w:rFonts w:ascii="Arial" w:cs="Arial" w:eastAsia="Arial" w:hAnsi="Arial"/>
                <w:sz w:val="18"/>
                <w:szCs w:val="18"/>
              </w:rPr>
              <w:t xml:space="preserve"> — Production</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Week 10</w:t>
            </w:r>
          </w:p>
        </w:tc>
        <w:tc>
          <w:tcPr>
            <w:tcW w:type="dxa" w:w="64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Monthly scoring pipeline deployed. Automated output of scored_with_explainability.csv and provider_audit_queue.csv. Investigator training completed.</w:t>
            </w:r>
          </w:p>
        </w:tc>
      </w:tr>
    </w:tbl>
    <w:p>
      <w:pPr>
        <w:spacing w:after="0"/>
      </w:pPr>
      <w:r>
        <w:br w:type="page"/>
      </w:r>
    </w:p>
    <w:p>
      <w:pPr>
        <w:pStyle w:val="Heading1"/>
        <w:spacing w:after="200" w:before="360"/>
      </w:pPr>
      <w:r>
        <w:rPr>
          <w:rFonts w:ascii="Arial" w:cs="Arial" w:eastAsia="Arial" w:hAnsi="Arial"/>
          <w:b/>
          <w:bCs/>
          <w:color w:val="1F3864"/>
          <w:sz w:val="32"/>
          <w:szCs w:val="32"/>
        </w:rPr>
        <w:t xml:space="preserve">8.  Expected Outcomes and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c>
          <w:tcPr>
            <w:tcW w:type="dxa" w:w="4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528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Target</w:t>
            </w:r>
          </w:p>
        </w:tc>
      </w:tr>
      <w:tr>
        <w:tc>
          <w:tcPr>
            <w:tcW w:type="dxa" w:w="48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Model AUROC on held-out test set</w:t>
            </w:r>
          </w:p>
        </w:tc>
        <w:tc>
          <w:tcPr>
            <w:tcW w:type="dxa" w:w="52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0.80 or above (depending on label quality)</w:t>
            </w:r>
          </w:p>
        </w:tc>
      </w:tr>
      <w:tr>
        <w:tc>
          <w:tcPr>
            <w:tcW w:type="dxa" w:w="48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Model AUPRC on held-out test set</w:t>
            </w:r>
          </w:p>
        </w:tc>
        <w:tc>
          <w:tcPr>
            <w:tcW w:type="dxa" w:w="52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0.75 or above (primary metric for imbalanced classes)</w:t>
            </w:r>
          </w:p>
        </w:tc>
      </w:tr>
      <w:tr>
        <w:tc>
          <w:tcPr>
            <w:tcW w:type="dxa" w:w="48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Investigator review time per case</w:t>
            </w:r>
          </w:p>
        </w:tc>
        <w:tc>
          <w:tcPr>
            <w:tcW w:type="dxa" w:w="52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Reduced by ~60% — narrative and code-level evidence pre-populated</w:t>
            </w:r>
          </w:p>
        </w:tc>
      </w:tr>
      <w:tr>
        <w:tc>
          <w:tcPr>
            <w:tcW w:type="dxa" w:w="48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Estimated annual overpayment exposure surfaced</w:t>
            </w:r>
          </w:p>
        </w:tc>
        <w:tc>
          <w:tcPr>
            <w:tcW w:type="dxa" w:w="52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$2M–$8M depending on provider portfolio size</w:t>
            </w:r>
          </w:p>
        </w:tc>
      </w:tr>
      <w:tr>
        <w:tc>
          <w:tcPr>
            <w:tcW w:type="dxa" w:w="48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False positive rate at HIGH priority threshold</w:t>
            </w:r>
          </w:p>
        </w:tc>
        <w:tc>
          <w:tcPr>
            <w:tcW w:type="dxa" w:w="52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spacing w:after="120"/>
            </w:pPr>
            <w:r>
              <w:rPr>
                <w:rFonts w:ascii="Arial" w:cs="Arial" w:eastAsia="Arial" w:hAnsi="Arial"/>
                <w:sz w:val="18"/>
                <w:szCs w:val="18"/>
              </w:rPr>
              <w:t xml:space="preserve">Target below 20% — validated in Phase 4 clinical review</w:t>
            </w:r>
          </w:p>
        </w:tc>
      </w:tr>
      <w:tr>
        <w:tc>
          <w:tcPr>
            <w:tcW w:type="dxa" w:w="480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Retraining cadence</w:t>
            </w:r>
          </w:p>
        </w:tc>
        <w:tc>
          <w:tcPr>
            <w:tcW w:type="dxa" w:w="528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Quarterly or when payer mix / coding patterns shift significantly</w:t>
            </w:r>
          </w:p>
        </w:tc>
      </w:tr>
    </w:tbl>
    <w:p>
      <w:pPr>
        <w:spacing w:after="80"/>
      </w:pPr>
      <w:r>
        <w:t xml:space="preserve"/>
      </w:r>
    </w:p>
    <w:p>
      <w:pPr>
        <w:pStyle w:val="Heading1"/>
        <w:spacing w:after="200" w:before="360"/>
      </w:pPr>
      <w:r>
        <w:rPr>
          <w:rFonts w:ascii="Arial" w:cs="Arial" w:eastAsia="Arial" w:hAnsi="Arial"/>
          <w:b/>
          <w:bCs/>
          <w:color w:val="1F3864"/>
          <w:sz w:val="32"/>
          <w:szCs w:val="32"/>
        </w:rPr>
        <w:t xml:space="preserve">9.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w:t>
            </w:r>
          </w:p>
        </w:tc>
        <w:tc>
          <w:tcPr>
            <w:tcW w:type="dxa" w:w="3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Likelihood</w:t>
            </w:r>
          </w:p>
        </w:tc>
        <w:tc>
          <w:tcPr>
            <w:tcW w:type="dxa" w:w="3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Mitigation</w:t>
            </w:r>
          </w:p>
        </w:tc>
      </w:tr>
      <w:tr>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Label quality — auto-generated labels may mislabel edge cases</w:t>
            </w:r>
          </w:p>
        </w:tc>
        <w:tc>
          <w:tcPr>
            <w:tcW w:type="dxa" w:w="336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spacing w:after="120"/>
            </w:pPr>
            <w:r>
              <w:rPr>
                <w:rFonts w:ascii="Arial" w:cs="Arial" w:eastAsia="Arial" w:hAnsi="Arial"/>
                <w:sz w:val="18"/>
                <w:szCs w:val="18"/>
              </w:rPr>
              <w:t xml:space="preserve">Medium</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Clinical review of 500-pair sample. Label correction before final training.</w:t>
            </w:r>
          </w:p>
        </w:tc>
      </w:tr>
      <w:tr>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Small training dataset — fewer than 300 labeled pairs</w:t>
            </w:r>
          </w:p>
        </w:tc>
        <w:tc>
          <w:tcPr>
            <w:tcW w:type="dxa" w:w="33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Low — HRRP data is typically abundant</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Use CatBoost baseline which performs better on small datasets.</w:t>
            </w:r>
          </w:p>
        </w:tc>
      </w:tr>
      <w:tr>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Model used as sole decision maker — no investigator review</w:t>
            </w:r>
          </w:p>
        </w:tc>
        <w:tc>
          <w:tcPr>
            <w:tcW w:type="dxa" w:w="336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spacing w:after="120"/>
            </w:pPr>
            <w:r>
              <w:rPr>
                <w:rFonts w:ascii="Arial" w:cs="Arial" w:eastAsia="Arial" w:hAnsi="Arial"/>
                <w:sz w:val="18"/>
                <w:szCs w:val="18"/>
              </w:rPr>
              <w:t xml:space="preserve">Medium — process risk</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Model scores are inputs to investigator review, never autonomous decisions.</w:t>
            </w:r>
          </w:p>
        </w:tc>
      </w:tr>
      <w:tr>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Coding pattern changes invalidating model</w:t>
            </w:r>
          </w:p>
        </w:tc>
        <w:tc>
          <w:tcPr>
            <w:tcW w:type="dxa" w:w="33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spacing w:after="120"/>
            </w:pPr>
            <w:r>
              <w:rPr>
                <w:rFonts w:ascii="Arial" w:cs="Arial" w:eastAsia="Arial" w:hAnsi="Arial"/>
                <w:sz w:val="18"/>
                <w:szCs w:val="18"/>
              </w:rPr>
              <w:t xml:space="preserve">Low in short term</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pPr>
              <w:spacing w:after="120"/>
            </w:pPr>
            <w:r>
              <w:rPr>
                <w:rFonts w:ascii="Arial" w:cs="Arial" w:eastAsia="Arial" w:hAnsi="Arial"/>
                <w:sz w:val="18"/>
                <w:szCs w:val="18"/>
              </w:rPr>
              <w:t xml:space="preserve">Quarterly model drift monitoring. Retraining pipeline already built.</w:t>
            </w:r>
          </w:p>
        </w:tc>
      </w:tr>
    </w:tbl>
    <w:p>
      <w:pPr>
        <w:spacing w:after="80"/>
      </w:pPr>
      <w:r>
        <w:t xml:space="preserve"/>
      </w:r>
    </w:p>
    <w:p>
      <w:pPr>
        <w:pStyle w:val="Heading1"/>
        <w:spacing w:after="200" w:before="360"/>
      </w:pPr>
      <w:r>
        <w:rPr>
          <w:rFonts w:ascii="Arial" w:cs="Arial" w:eastAsia="Arial" w:hAnsi="Arial"/>
          <w:b/>
          <w:bCs/>
          <w:color w:val="1F3864"/>
          <w:sz w:val="32"/>
          <w:szCs w:val="32"/>
        </w:rPr>
        <w:t xml:space="preserve">10.  Request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D6E4F7" w:val="clear"/>
            <w:tcMar>
              <w:top w:type="dxa" w:w="120"/>
              <w:left w:type="dxa" w:w="200"/>
              <w:bottom w:type="dxa" w:w="120"/>
              <w:right w:type="dxa" w:w="200"/>
            </w:tcMar>
          </w:tcPr>
          <w:p>
            <w:pPr>
              <w:spacing w:after="60"/>
            </w:pPr>
            <w:r>
              <w:rPr>
                <w:rFonts w:ascii="Arial" w:cs="Arial" w:eastAsia="Arial" w:hAnsi="Arial"/>
                <w:b/>
                <w:bCs/>
                <w:color w:val="1F3864"/>
                <w:sz w:val="20"/>
                <w:szCs w:val="20"/>
              </w:rPr>
              <w:t xml:space="preserve">We are requesting approval for the following:</w:t>
            </w:r>
          </w:p>
          <w:p>
            <w:pPr>
              <w:pStyle w:val="ListParagraph"/>
              <w:numPr>
                <w:ilvl w:val="0"/>
                <w:numId w:val="2"/>
              </w:numPr>
              <w:spacing w:after="80"/>
            </w:pPr>
            <w:r>
              <w:rPr>
                <w:rFonts w:ascii="Arial" w:cs="Arial" w:eastAsia="Arial" w:hAnsi="Arial"/>
                <w:sz w:val="22"/>
                <w:szCs w:val="22"/>
              </w:rPr>
              <w:t xml:space="preserve">Access to two years of historical paired claims data for model training</w:t>
            </w:r>
          </w:p>
          <w:p>
            <w:pPr>
              <w:pStyle w:val="ListParagraph"/>
              <w:numPr>
                <w:ilvl w:val="0"/>
                <w:numId w:val="2"/>
              </w:numPr>
              <w:spacing w:after="80"/>
            </w:pPr>
            <w:r>
              <w:rPr>
                <w:rFonts w:ascii="Arial" w:cs="Arial" w:eastAsia="Arial" w:hAnsi="Arial"/>
                <w:sz w:val="22"/>
                <w:szCs w:val="22"/>
              </w:rPr>
              <w:t xml:space="preserve">Four weeks of data engineering support to extract and structure the training pairs</w:t>
            </w:r>
          </w:p>
          <w:p>
            <w:pPr>
              <w:pStyle w:val="ListParagraph"/>
              <w:numPr>
                <w:ilvl w:val="0"/>
                <w:numId w:val="2"/>
              </w:numPr>
              <w:spacing w:after="80"/>
            </w:pPr>
            <w:r>
              <w:rPr>
                <w:rFonts w:ascii="Arial" w:cs="Arial" w:eastAsia="Arial" w:hAnsi="Arial"/>
                <w:sz w:val="22"/>
                <w:szCs w:val="22"/>
              </w:rPr>
              <w:t xml:space="preserve">Clinical reviewer time — estimated 20 hours to validate 500 labeled pairs</w:t>
            </w:r>
          </w:p>
          <w:p>
            <w:pPr>
              <w:pStyle w:val="ListParagraph"/>
              <w:numPr>
                <w:ilvl w:val="0"/>
                <w:numId w:val="2"/>
              </w:numPr>
              <w:spacing w:after="80"/>
            </w:pPr>
            <w:r>
              <w:rPr>
                <w:rFonts w:ascii="Arial" w:cs="Arial" w:eastAsia="Arial" w:hAnsi="Arial"/>
                <w:sz w:val="22"/>
                <w:szCs w:val="22"/>
              </w:rPr>
              <w:t xml:space="preserve">Approval to run the scoring pipeline monthly on new claims as they are identified</w:t>
            </w:r>
          </w:p>
          <w:p>
            <w:pPr>
              <w:pStyle w:val="ListParagraph"/>
              <w:numPr>
                <w:ilvl w:val="0"/>
                <w:numId w:val="2"/>
              </w:numPr>
              <w:spacing w:after="80"/>
            </w:pPr>
            <w:r>
              <w:rPr>
                <w:rFonts w:ascii="Arial" w:cs="Arial" w:eastAsia="Arial" w:hAnsi="Arial"/>
                <w:sz w:val="22"/>
                <w:szCs w:val="22"/>
              </w:rPr>
              <w:t xml:space="preserve">No additional infrastructure required — the pipeline runs on existing Python environments</w:t>
            </w:r>
          </w:p>
        </w:tc>
      </w:tr>
    </w:tbl>
    <w:p>
      <w:pPr>
        <w:spacing w:after="80"/>
      </w:pPr>
      <w:r>
        <w:t xml:space="preserve"/>
      </w:r>
    </w:p>
    <w:p>
      <w:pPr>
        <w:spacing w:after="120"/>
      </w:pPr>
      <w:r>
        <w:rPr>
          <w:rFonts w:ascii="Arial" w:cs="Arial" w:eastAsia="Arial" w:hAnsi="Arial"/>
          <w:sz w:val="22"/>
          <w:szCs w:val="22"/>
        </w:rPr>
        <w:t xml:space="preserve">Upon approval we can have a working prototype scored against historical data within </w:t>
      </w:r>
      <w:r>
        <w:rPr>
          <w:rFonts w:ascii="Arial" w:cs="Arial" w:eastAsia="Arial" w:hAnsi="Arial"/>
          <w:b/>
          <w:bCs/>
          <w:sz w:val="22"/>
          <w:szCs w:val="22"/>
        </w:rPr>
        <w:t xml:space="preserve">six weeks</w:t>
      </w:r>
      <w:r>
        <w:rPr>
          <w:rFonts w:ascii="Arial" w:cs="Arial" w:eastAsia="Arial" w:hAnsi="Arial"/>
          <w:sz w:val="22"/>
          <w:szCs w:val="22"/>
        </w:rPr>
        <w:t xml:space="preserve">, with the full monthly scoring pipeline operational within </w:t>
      </w:r>
      <w:r>
        <w:rPr>
          <w:rFonts w:ascii="Arial" w:cs="Arial" w:eastAsia="Arial" w:hAnsi="Arial"/>
          <w:b/>
          <w:bCs/>
          <w:sz w:val="22"/>
          <w:szCs w:val="22"/>
        </w:rPr>
        <w:t xml:space="preserve">ten weeks</w:t>
      </w:r>
      <w:r>
        <w:rPr>
          <w:rFonts w:ascii="Arial" w:cs="Arial" w:eastAsia="Arial" w:hAnsi="Arial"/>
          <w:sz w:val="22"/>
          <w:szCs w:val="22"/>
        </w:rPr>
        <w:t xml:space="preserve">.</w:t>
      </w:r>
    </w:p>
    <w:p>
      <w:pPr>
        <w:spacing w:after="80"/>
      </w:pPr>
      <w:r>
        <w:t xml:space="preserve"/>
      </w:r>
    </w:p>
    <w:p>
      <w:pPr>
        <w:spacing w:after="120"/>
      </w:pPr>
      <w:r>
        <w:rPr>
          <w:rFonts w:ascii="Arial" w:cs="Arial" w:eastAsia="Arial" w:hAnsi="Arial"/>
          <w:sz w:val="22"/>
          <w:szCs w:val="22"/>
        </w:rPr>
        <w:t xml:space="preserve">We are happy to walk through the working code, a live scoring demonstration on sample data, and the full output CSV at any time convenient for the director's schedule.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8"/>
              <w:left w:val="single" w:color="1F3864" w:sz="8"/>
              <w:bottom w:val="single" w:color="1F3864" w:sz="8"/>
              <w:right w:val="single" w:color="1F3864" w:sz="8"/>
            </w:tcBorders>
            <w:shd w:fill="1F3864" w:val="clear"/>
            <w:tcMar>
              <w:top w:type="dxa" w:w="200"/>
              <w:left w:type="dxa" w:w="300"/>
              <w:bottom w:type="dxa" w:w="200"/>
              <w:right w:type="dxa" w:w="300"/>
            </w:tcMar>
          </w:tcPr>
          <w:p>
            <w:pPr>
              <w:spacing w:after="100"/>
            </w:pPr>
            <w:r>
              <w:rPr>
                <w:rFonts w:ascii="Arial" w:cs="Arial" w:eastAsia="Arial" w:hAnsi="Arial"/>
                <w:color w:val="FFFFFF"/>
                <w:sz w:val="22"/>
                <w:szCs w:val="22"/>
              </w:rPr>
              <w:t xml:space="preserve">This proposal, the working pipeline code, sample training data, sample scoring data, and a full explainability output CSV are all available for immediate review.</w:t>
            </w:r>
          </w:p>
          <w:p>
            <w:pPr>
              <w:spacing w:after="0"/>
            </w:pPr>
            <w:r>
              <w:rPr>
                <w:rFonts w:ascii="Arial" w:cs="Arial" w:eastAsia="Arial" w:hAnsi="Arial"/>
                <w:color w:val="A9C4E8"/>
                <w:sz w:val="20"/>
                <w:szCs w:val="20"/>
              </w:rPr>
              <w:t xml:space="preserve">Prepared by: Data Science Analytics Team  |  June 2025</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pPr>
    <w:r>
      <w:rPr>
        <w:rFonts w:ascii="Arial" w:cs="Arial" w:eastAsia="Arial" w:hAnsi="Arial"/>
        <w:color w:val="888888"/>
        <w:sz w:val="16"/>
        <w:szCs w:val="16"/>
      </w:rPr>
      <w:t xml:space="preserve">Data Science Analytics  |  Healthcare Overpayment Detection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2E74B5" w:sz="6" w:space="2"/>
        <w:right w:val="single" w:color="auto" w:sz="4"/>
        <w:insideH w:val="single" w:color="auto" w:sz="4"/>
        <w:insideV w:val="single" w:color="auto" w:sz="4"/>
      </w:tblBorders>
    </w:tblPr>
    <w:tblGrid>
      <w:gridCol w:w="7000"/>
      <w:gridCol w:w="3080"/>
    </w:tblGrid>
    <w:tr>
      <w:tc>
        <w:tcPr>
          <w:tcW w:type="dxa" w:w="7000"/>
          <w:tcBorders>
            <w:top w:val="nil" w:color="FFFFFF" w:sz="0"/>
            <w:left w:val="nil" w:color="FFFFFF" w:sz="0"/>
            <w:bottom w:val="nil" w:color="FFFFFF" w:sz="0"/>
            <w:right w:val="nil" w:color="FFFFFF" w:sz="0"/>
          </w:tcBorders>
        </w:tcPr>
        <w:p>
          <w:pPr>
            <w:spacing w:after="0"/>
          </w:pPr>
          <w:r>
            <w:rPr>
              <w:rFonts w:ascii="Arial" w:cs="Arial" w:eastAsia="Arial" w:hAnsi="Arial"/>
              <w:b/>
              <w:bCs/>
              <w:color w:val="1F3864"/>
              <w:sz w:val="18"/>
              <w:szCs w:val="18"/>
            </w:rPr>
            <w:t xml:space="preserve">RETAIN-Based Preventable Readmission Overpayment Detection</w:t>
          </w:r>
        </w:p>
      </w:tc>
      <w:tc>
        <w:tcPr>
          <w:tcW w:type="dxa" w:w="3080"/>
          <w:tcBorders>
            <w:top w:val="nil" w:color="FFFFFF" w:sz="0"/>
            <w:left w:val="nil" w:color="FFFFFF" w:sz="0"/>
            <w:bottom w:val="nil" w:color="FFFFFF" w:sz="0"/>
            <w:right w:val="nil" w:color="FFFFFF" w:sz="0"/>
          </w:tcBorders>
        </w:tcPr>
        <w:p>
          <w:pPr>
            <w:spacing w:after="0"/>
            <w:jc w:val="right"/>
          </w:pPr>
          <w:r>
            <w:rPr>
              <w:rFonts w:ascii="Arial" w:cs="Arial" w:eastAsia="Arial" w:hAnsi="Arial"/>
              <w:color w:val="888888"/>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2026-06-25T03:17:56.106Z</dcterms:created>
  <dcterms:modified xsi:type="dcterms:W3CDTF">2026-06-25T03:17:56.107Z</dcterms:modified>
</cp:coreProperties>
</file>

<file path=docProps/custom.xml><?xml version="1.0" encoding="utf-8"?>
<Properties xmlns="http://schemas.openxmlformats.org/officeDocument/2006/custom-properties" xmlns:vt="http://schemas.openxmlformats.org/officeDocument/2006/docPropsVTypes"/>
</file>