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ICD-10-CM Guideline Navigator: User Guide</w:t>
      </w:r>
    </w:p>
    <w:p>
      <w:pPr>
        <w:spacing w:after="120"/>
      </w:pPr>
      <w:r>
        <w:rPr>
          <w:color w:val="55646B"/>
          <w:sz w:val="20"/>
          <w:szCs w:val="20"/>
        </w:rPr>
        <w:t xml:space="preserve">Companion guide to guideline_navigator.html · ICD-10-CM Official Guidelines FY2025 · October 7, 2026</w:t>
      </w:r>
    </w:p>
    <w:p>
      <w:pPr>
        <w:pBdr>
          <w:bottom w:val="single" w:color="B42318" w:sz="12" w:space="4"/>
        </w:pBdr>
        <w:spacing w:after="240"/>
      </w:pPr>
    </w:p>
    <w:p>
      <w:pPr>
        <w:pStyle w:val="Heading1"/>
      </w:pPr>
      <w:r>
        <w:t xml:space="preserve">What the navigator does</w:t>
      </w:r>
    </w:p>
    <w:p>
      <w:pPr>
        <w:spacing w:after="140"/>
      </w:pPr>
      <w:r>
        <w:t xml:space="preserve">The navigator turns the ICD-10-CM Official Guidelines for Coding and Reporting FY2025 into 486 ranked rules and links any claim's codes to the rules that govern them. It is one HTML file (guideline_navigator.html) that runs in a browser; files you load never leave your computer.</w:t>
      </w:r>
    </w:p>
    <w:p>
      <w:pPr>
        <w:spacing w:after="140"/>
      </w:pPr>
      <w:r>
        <w:t xml:space="preserve">It answers three questions:</w:t>
      </w:r>
    </w:p>
    <w:p>
      <w:pPr>
        <w:pStyle w:val="ListParagraph"/>
        <w:numPr>
          <w:ilvl w:val="0"/>
          <w:numId w:val="2"/>
        </w:numPr>
        <w:spacing w:after="80"/>
      </w:pPr>
      <w:r>
        <w:rPr>
          <w:b/>
          <w:bCs/>
        </w:rPr>
        <w:t xml:space="preserve">Which guidelines matter most?</w:t>
      </w:r>
      <w:r>
        <w:t xml:space="preserve"> Every rule is scored on eight metrics and placed in Tier 1 to Tier 4.</w:t>
      </w:r>
    </w:p>
    <w:p>
      <w:pPr>
        <w:pStyle w:val="ListParagraph"/>
        <w:numPr>
          <w:ilvl w:val="0"/>
          <w:numId w:val="2"/>
        </w:numPr>
        <w:spacing w:after="80"/>
      </w:pPr>
      <w:r>
        <w:rPr>
          <w:b/>
          <w:bCs/>
        </w:rPr>
        <w:t xml:space="preserve">Which guidelines apply to my claims?</w:t>
      </w:r>
      <w:r>
        <w:t xml:space="preserve"> Upload a claims file and each diagnosis and procedure code is mapped to its rules, with likely coding conflicts flagged.</w:t>
      </w:r>
    </w:p>
    <w:p>
      <w:pPr>
        <w:pStyle w:val="ListParagraph"/>
        <w:numPr>
          <w:ilvl w:val="0"/>
          <w:numId w:val="2"/>
        </w:numPr>
        <w:spacing w:after="80"/>
      </w:pPr>
      <w:r>
        <w:rPr>
          <w:b/>
          <w:bCs/>
        </w:rPr>
        <w:t xml:space="preserve">Which guidelines apply to these codes?</w:t>
      </w:r>
      <w:r>
        <w:t xml:space="preserve"> Pick codes by hand and see the same mapping instantly.</w:t>
      </w:r>
    </w:p>
    <w:p>
      <w:pPr>
        <w:spacing w:after="140"/>
      </w:pPr>
      <w:r>
        <w:t xml:space="preserve">It is built for payment-integrity analysts, auditors, coding educators and data scientists building overpayment features. Every result can be downloaded to Excel.</w:t>
      </w:r>
    </w:p>
    <w:p>
      <w:pPr>
        <w:pStyle w:val="Heading1"/>
      </w:pPr>
      <w:r>
        <w:t xml:space="preserve">How the hierarchy is built</w:t>
      </w:r>
    </w:p>
    <w:p>
      <w:pPr>
        <w:spacing w:after="140"/>
      </w:pPr>
      <w:r>
        <w:t xml:space="preserve">The hierarchy comes straight from the PDF's own bookmark outline, so every rule keeps its official number and place. Each rule's text is the passage between its heading and the next heading.</w:t>
      </w:r>
    </w:p>
    <w:p>
      <w:pPr>
        <w:spacing w:after="140"/>
      </w:pPr>
      <w:r>
        <w:t xml:space="preserve">Rule IDs follow the guideline citation style: Section, then letter, number, lowercase letter, numbered item and bracketed items. For example, </w:t>
      </w:r>
      <w:r>
        <w:rPr>
          <w:b/>
          <w:bCs/>
        </w:rPr>
        <w:t xml:space="preserve">I.C.1.d.3</w:t>
      </w:r>
      <w:r>
        <w:t xml:space="preserve"> is Section I, Chapter-specific guidelines (C), Chapter 1, Sepsis (d), item 3. Sub-items use brackets, as in </w:t>
      </w:r>
      <w:r>
        <w:rPr>
          <w:b/>
          <w:bCs/>
        </w:rPr>
        <w:t xml:space="preserve">I.C.19.e.5(c)</w:t>
      </w:r>
      <w:r>
        <w:t xml:space="preserve"> for underdosing.</w:t>
      </w:r>
    </w:p>
    <w:p>
      <w:pPr>
        <w:spacing w:after="140"/>
      </w:pPr>
      <w:r>
        <w:t xml:space="preserve">The guidelines also set an order of authority, which the navigator uses for its precedence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5616"/>
        <w:gridCol w:w="1685"/>
      </w:tblGrid>
      <w:tr>
        <w:trPr>
          <w:tblHeader/>
        </w:trPr>
        <w:tc>
          <w:tcPr>
            <w:tcW w:type="dxa" w:w="2059"/>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Level</w:t>
            </w:r>
          </w:p>
        </w:tc>
        <w:tc>
          <w:tcPr>
            <w:tcW w:type="dxa" w:w="5616"/>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Part of the guidelines</w:t>
            </w:r>
          </w:p>
        </w:tc>
        <w:tc>
          <w:tcPr>
            <w:tcW w:type="dxa" w:w="1685"/>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Precedence score</w:t>
            </w:r>
          </w:p>
        </w:tc>
      </w:tr>
      <w:tr>
        <w:trPr>
          <w:tblHeader w:val="false"/>
        </w:trPr>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Conventions</w:t>
            </w:r>
          </w:p>
        </w:tc>
        <w:tc>
          <w:tcPr>
            <w:tcW w:type="dxa" w:w="561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Section I.A: Index and Tabular instructions, which override guidelines</w:t>
            </w:r>
          </w:p>
        </w:tc>
        <w:tc>
          <w:tcPr>
            <w:tcW w:type="dxa" w:w="168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5</w:t>
            </w:r>
          </w:p>
        </w:tc>
      </w:tr>
      <w:tr>
        <w:trPr>
          <w:tblHeader w:val="false"/>
        </w:trPr>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Chapter-specific</w:t>
            </w:r>
          </w:p>
        </w:tc>
        <w:tc>
          <w:tcPr>
            <w:tcW w:type="dxa" w:w="561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Section I.C, chapters 1–22</w:t>
            </w:r>
          </w:p>
        </w:tc>
        <w:tc>
          <w:tcPr>
            <w:tcW w:type="dxa" w:w="168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4</w:t>
            </w:r>
          </w:p>
        </w:tc>
      </w:tr>
      <w:tr>
        <w:trPr>
          <w:tblHeader w:val="false"/>
        </w:trPr>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Inpatient selection</w:t>
            </w:r>
          </w:p>
        </w:tc>
        <w:tc>
          <w:tcPr>
            <w:tcW w:type="dxa" w:w="561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Section II (principal diagnosis) and Section III (other diagnoses)</w:t>
            </w:r>
          </w:p>
        </w:tc>
        <w:tc>
          <w:tcPr>
            <w:tcW w:type="dxa" w:w="168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4</w:t>
            </w:r>
          </w:p>
        </w:tc>
      </w:tr>
      <w:tr>
        <w:trPr>
          <w:tblHeader w:val="false"/>
        </w:trPr>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General</w:t>
            </w:r>
          </w:p>
        </w:tc>
        <w:tc>
          <w:tcPr>
            <w:tcW w:type="dxa" w:w="561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Section I.B, such as specificity, symptoms and combination codes</w:t>
            </w:r>
          </w:p>
        </w:tc>
        <w:tc>
          <w:tcPr>
            <w:tcW w:type="dxa" w:w="168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3.5</w:t>
            </w:r>
          </w:p>
        </w:tc>
      </w:tr>
      <w:tr>
        <w:trPr>
          <w:tblHeader w:val="false"/>
        </w:trPr>
        <w:tc>
          <w:tcPr>
            <w:tcW w:type="dxa" w:w="2059"/>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Outpatient and POA</w:t>
            </w:r>
          </w:p>
        </w:tc>
        <w:tc>
          <w:tcPr>
            <w:tcW w:type="dxa" w:w="561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Section IV and Appendix I (present on admission)</w:t>
            </w:r>
          </w:p>
        </w:tc>
        <w:tc>
          <w:tcPr>
            <w:tcW w:type="dxa" w:w="168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3</w:t>
            </w:r>
          </w:p>
        </w:tc>
      </w:tr>
    </w:tbl>
    <w:p>
      <w:pPr>
        <w:spacing w:after="120"/>
      </w:pPr>
    </w:p>
    <w:p>
      <w:pPr>
        <w:spacing w:after="140"/>
      </w:pPr>
      <w:r>
        <w:t xml:space="preserve">Section headings with little text of their own (for example I.C.1, Chapter 1) take the average score of their sub-rules.</w:t>
      </w:r>
    </w:p>
    <w:p>
      <w:pPr>
        <w:pStyle w:val="Heading1"/>
      </w:pPr>
      <w:r>
        <w:t xml:space="preserve">The eight scoring metrics</w:t>
      </w:r>
    </w:p>
    <w:p>
      <w:pPr>
        <w:spacing w:after="140"/>
      </w:pPr>
      <w:r>
        <w:t xml:space="preserve">Each rule gets eight scores from 0 to 5, and every score in the tool shows where it came from. Some are measured from the PDF text or code data; payment impact, audit risk and clinical acuity rely partly on curated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995"/>
        <w:gridCol w:w="4680"/>
      </w:tblGrid>
      <w:tr>
        <w:trPr>
          <w:tblHeader/>
        </w:trPr>
        <w:tc>
          <w:tcPr>
            <w:tcW w:type="dxa" w:w="1685"/>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Metric</w:t>
            </w:r>
          </w:p>
        </w:tc>
        <w:tc>
          <w:tcPr>
            <w:tcW w:type="dxa" w:w="2995"/>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Question it answers</w:t>
            </w:r>
          </w:p>
        </w:tc>
        <w:tc>
          <w:tcPr>
            <w:tcW w:type="dxa" w:w="4680"/>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How it is measured</w:t>
            </w:r>
          </w:p>
        </w:tc>
      </w:tr>
      <w:tr>
        <w:trPr>
          <w:tblHeader w:val="false"/>
        </w:trPr>
        <w:tc>
          <w:tcPr>
            <w:tcW w:type="dxa" w:w="168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Payment impact</w:t>
            </w:r>
          </w:p>
        </w:tc>
        <w:tc>
          <w:tcPr>
            <w:tcW w:type="dxa" w:w="299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Does the rule change the principal diagnosis, CC/MCC or HCC?</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Curated for about 40 key rules; otherwise text cues (principal, sequencing, secondary) plus severity, blended with parent rules</w:t>
            </w:r>
          </w:p>
        </w:tc>
      </w:tr>
      <w:tr>
        <w:trPr>
          <w:tblHeader w:val="false"/>
        </w:trPr>
        <w:tc>
          <w:tcPr>
            <w:tcW w:type="dxa" w:w="168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Disease severity</w:t>
            </w:r>
          </w:p>
        </w:tc>
        <w:tc>
          <w:tcPr>
            <w:tcW w:type="dxa" w:w="299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How serious are the conditions it governs?</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Curated clinical acuity blended with hccpy CMS-HCC V28 coefficients of the codes the rule cites</w:t>
            </w:r>
          </w:p>
        </w:tc>
      </w:tr>
      <w:tr>
        <w:trPr>
          <w:tblHeader w:val="false"/>
        </w:trPr>
        <w:tc>
          <w:tcPr>
            <w:tcW w:type="dxa" w:w="168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Precision</w:t>
            </w:r>
          </w:p>
        </w:tc>
        <w:tc>
          <w:tcPr>
            <w:tcW w:type="dxa" w:w="299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Can a violation be detected from claim codes alone?</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Curated where a deterministic code check exists; otherwise cited codes and "never/must" raise it, "documentation/query/clinical" lowers it</w:t>
            </w:r>
          </w:p>
        </w:tc>
      </w:tr>
      <w:tr>
        <w:trPr>
          <w:tblHeader w:val="false"/>
        </w:trPr>
        <w:tc>
          <w:tcPr>
            <w:tcW w:type="dxa" w:w="168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Specificity demand</w:t>
            </w:r>
          </w:p>
        </w:tc>
        <w:tc>
          <w:tcPr>
            <w:tcW w:type="dxa" w:w="299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How much detail does the rule require?</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Keywords: specificity, laterality, 7th character, stage, trimester, unspecified</w:t>
            </w:r>
          </w:p>
        </w:tc>
      </w:tr>
      <w:tr>
        <w:trPr>
          <w:tblHeader w:val="false"/>
        </w:trPr>
        <w:tc>
          <w:tcPr>
            <w:tcW w:type="dxa" w:w="168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Rule strength</w:t>
            </w:r>
          </w:p>
        </w:tc>
        <w:tc>
          <w:tcPr>
            <w:tcW w:type="dxa" w:w="299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Is the wording mandatory or permissive?</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never/cannot &gt; must/required/do not &gt; should/assign &gt; may, rolled up from sub-rules</w:t>
            </w:r>
          </w:p>
        </w:tc>
      </w:tr>
      <w:tr>
        <w:trPr>
          <w:tblHeader w:val="false"/>
        </w:trPr>
        <w:tc>
          <w:tcPr>
            <w:tcW w:type="dxa" w:w="168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Precedence</w:t>
            </w:r>
          </w:p>
        </w:tc>
        <w:tc>
          <w:tcPr>
            <w:tcW w:type="dxa" w:w="299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Where does it sit in the order of authority?</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Level table in the previous section</w:t>
            </w:r>
          </w:p>
        </w:tc>
      </w:tr>
      <w:tr>
        <w:trPr>
          <w:tblHeader w:val="false"/>
        </w:trPr>
        <w:tc>
          <w:tcPr>
            <w:tcW w:type="dxa" w:w="168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Breadth</w:t>
            </w:r>
          </w:p>
        </w:tc>
        <w:tc>
          <w:tcPr>
            <w:tcW w:type="dxa" w:w="299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How many codes does it touch?</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Share of ICD-10-CM codes in its scope on a log scale; general rules score 4.5</w:t>
            </w:r>
          </w:p>
        </w:tc>
      </w:tr>
      <w:tr>
        <w:trPr>
          <w:tblHeader w:val="false"/>
        </w:trPr>
        <w:tc>
          <w:tcPr>
            <w:tcW w:type="dxa" w:w="168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Audit risk</w:t>
            </w:r>
          </w:p>
        </w:tc>
        <w:tc>
          <w:tcPr>
            <w:tcW w:type="dxa" w:w="299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Is it a known overpayment focus?</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Curated: sepsis, respiratory failure, principal and secondary diagnosis selection, clinical validation, POA, and similar areas</w:t>
            </w:r>
          </w:p>
        </w:tc>
      </w:tr>
    </w:tbl>
    <w:p>
      <w:pPr>
        <w:spacing w:after="120"/>
      </w:pPr>
    </w:p>
    <w:p>
      <w:pPr>
        <w:spacing w:after="140"/>
      </w:pPr>
      <w:r>
        <w:t xml:space="preserve">Two examples show how the scores differ. </w:t>
      </w:r>
      <w:r>
        <w:rPr>
          <w:b/>
          <w:bCs/>
        </w:rPr>
        <w:t xml:space="preserve">I.C.20.a.6</w:t>
      </w:r>
      <w:r>
        <w:t xml:space="preserve"> (external cause never principal) scores 5 on precision because a claim breaks it visibly, but only 0.4 on severity. </w:t>
      </w:r>
      <w:r>
        <w:rPr>
          <w:b/>
          <w:bCs/>
        </w:rPr>
        <w:t xml:space="preserve">I.A.19</w:t>
      </w:r>
      <w:r>
        <w:t xml:space="preserve"> (code assignment and clinical criteria) scores 5 on payment and audit risk but 1 on precision, because only the medical record can show a violation.</w:t>
      </w:r>
    </w:p>
    <w:p>
      <w:pPr>
        <w:pStyle w:val="Heading1"/>
      </w:pPr>
      <w:r>
        <w:t xml:space="preserve">Tiers, weights and presets</w:t>
      </w:r>
    </w:p>
    <w:p>
      <w:pPr>
        <w:spacing w:after="140"/>
      </w:pPr>
      <w:r>
        <w:t xml:space="preserve">A rule's overall score is the weighted average of its eight metrics, and its tier comes from its rank among all 486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434"/>
        <w:gridCol w:w="4680"/>
      </w:tblGrid>
      <w:tr>
        <w:trPr>
          <w:tblHeader/>
        </w:trPr>
        <w:tc>
          <w:tcPr>
            <w:tcW w:type="dxa" w:w="2246"/>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Tier</w:t>
            </w:r>
          </w:p>
        </w:tc>
        <w:tc>
          <w:tcPr>
            <w:tcW w:type="dxa" w:w="2434"/>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Share of rules</w:t>
            </w:r>
          </w:p>
        </w:tc>
        <w:tc>
          <w:tcPr>
            <w:tcW w:type="dxa" w:w="4680"/>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What it means</w:t>
            </w:r>
          </w:p>
        </w:tc>
      </w:tr>
      <w:tr>
        <w:trPr>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Tier 1</w:t>
            </w:r>
          </w:p>
        </w:tc>
        <w:tc>
          <w:tcPr>
            <w:tcW w:type="dxa" w:w="243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Top 15%</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Drives payment, mandatory, often audited: start here</w:t>
            </w:r>
          </w:p>
        </w:tc>
      </w:tr>
      <w:tr>
        <w:trPr>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Tier 2</w:t>
            </w:r>
          </w:p>
        </w:tc>
        <w:tc>
          <w:tcPr>
            <w:tcW w:type="dxa" w:w="243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Next 25%</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Important combination and sequencing rules</w:t>
            </w:r>
          </w:p>
        </w:tc>
      </w:tr>
      <w:tr>
        <w:trPr>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Tier 3</w:t>
            </w:r>
          </w:p>
        </w:tc>
        <w:tc>
          <w:tcPr>
            <w:tcW w:type="dxa" w:w="243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Next 30%</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Specificity, laterality and chapter detail</w:t>
            </w:r>
          </w:p>
        </w:tc>
      </w:tr>
      <w:tr>
        <w:trPr>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Tier 4</w:t>
            </w:r>
          </w:p>
        </w:tc>
        <w:tc>
          <w:tcPr>
            <w:tcW w:type="dxa" w:w="243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Remaining 30%</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Definitions, formatting and reference material</w:t>
            </w:r>
          </w:p>
        </w:tc>
      </w:tr>
    </w:tbl>
    <w:p>
      <w:pPr>
        <w:spacing w:after="120"/>
      </w:pPr>
    </w:p>
    <w:p>
      <w:pPr>
        <w:spacing w:after="140"/>
      </w:pPr>
      <w:r>
        <w:t xml:space="preserve">Weights run from 0 to 5 per metric and can be changed with the sliders in the left panel; tiers recalculate immediately everywhere in the tool. Three presets set all eight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434"/>
        <w:gridCol w:w="4680"/>
      </w:tblGrid>
      <w:tr>
        <w:trPr>
          <w:tblHeader/>
        </w:trPr>
        <w:tc>
          <w:tcPr>
            <w:tcW w:type="dxa" w:w="2246"/>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Preset</w:t>
            </w:r>
          </w:p>
        </w:tc>
        <w:tc>
          <w:tcPr>
            <w:tcW w:type="dxa" w:w="2434"/>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Emphasis</w:t>
            </w:r>
          </w:p>
        </w:tc>
        <w:tc>
          <w:tcPr>
            <w:tcW w:type="dxa" w:w="4680"/>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Use it for</w:t>
            </w:r>
          </w:p>
        </w:tc>
      </w:tr>
      <w:tr>
        <w:trPr>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Payment integrity (default)</w:t>
            </w:r>
          </w:p>
        </w:tc>
        <w:tc>
          <w:tcPr>
            <w:tcW w:type="dxa" w:w="243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Payment 3, audit risk 2.5, severity and precision 2</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Overpayment detection and audit planning</w:t>
            </w:r>
          </w:p>
        </w:tc>
      </w:tr>
      <w:tr>
        <w:trPr>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Clinical severity</w:t>
            </w:r>
          </w:p>
        </w:tc>
        <w:tc>
          <w:tcPr>
            <w:tcW w:type="dxa" w:w="243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Severity 4</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Prioritizing rules for high-acuity conditions</w:t>
            </w:r>
          </w:p>
        </w:tc>
      </w:tr>
      <w:tr>
        <w:trPr>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Coder education</w:t>
            </w:r>
          </w:p>
        </w:tc>
        <w:tc>
          <w:tcPr>
            <w:tcW w:type="dxa" w:w="243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Precedence and breadth 3, strength 2.5</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Training plans and onboarding</w:t>
            </w:r>
          </w:p>
        </w:tc>
      </w:tr>
    </w:tbl>
    <w:p>
      <w:pPr>
        <w:spacing w:after="120"/>
      </w:pPr>
    </w:p>
    <w:p>
      <w:pPr>
        <w:spacing w:after="140"/>
      </w:pPr>
      <w:r>
        <w:t xml:space="preserve">Under the default weights the top-ranked rules include severe sepsis sequencing (I.C.1.d.3), septic shock (I.C.1.d.2), symptom codes as principal (II.A), principal diagnosis selection (II) and hypertensive heart and kidney disease (I.C.9.a.3).</w:t>
      </w:r>
    </w:p>
    <w:p>
      <w:pPr>
        <w:pStyle w:val="Heading1"/>
      </w:pPr>
      <w:r>
        <w:t xml:space="preserve">Using the Guideline hierarchy tab</w:t>
      </w:r>
    </w:p>
    <w:p>
      <w:pPr>
        <w:spacing w:after="140"/>
      </w:pPr>
      <w:r>
        <w:t xml:space="preserve">This tab is for reading and ranking the guidelines themselves. Choose one of three views with the buttons at the top left:</w:t>
      </w:r>
    </w:p>
    <w:p>
      <w:pPr>
        <w:pStyle w:val="ListParagraph"/>
        <w:numPr>
          <w:ilvl w:val="0"/>
          <w:numId w:val="3"/>
        </w:numPr>
        <w:spacing w:after="80"/>
      </w:pPr>
      <w:r>
        <w:rPr>
          <w:b/>
          <w:bCs/>
        </w:rPr>
        <w:t xml:space="preserve">Hierarchy:</w:t>
      </w:r>
      <w:r>
        <w:t xml:space="preserve"> the official outline as a collapsible tree, with a tier badge on every rule. Click a rule with a triangle to open its sub-rules.</w:t>
      </w:r>
    </w:p>
    <w:p>
      <w:pPr>
        <w:pStyle w:val="ListParagraph"/>
        <w:numPr>
          <w:ilvl w:val="0"/>
          <w:numId w:val="3"/>
        </w:numPr>
        <w:spacing w:after="80"/>
      </w:pPr>
      <w:r>
        <w:rPr>
          <w:b/>
          <w:bCs/>
        </w:rPr>
        <w:t xml:space="preserve">Tier board:</w:t>
      </w:r>
      <w:r>
        <w:t xml:space="preserve"> four columns, one per tier, with rules sorted by score. Use it to see what sits in Tier 1 at a glance.</w:t>
      </w:r>
    </w:p>
    <w:p>
      <w:pPr>
        <w:pStyle w:val="ListParagraph"/>
        <w:numPr>
          <w:ilvl w:val="0"/>
          <w:numId w:val="3"/>
        </w:numPr>
        <w:spacing w:after="80"/>
      </w:pPr>
      <w:r>
        <w:rPr>
          <w:b/>
          <w:bCs/>
        </w:rPr>
        <w:t xml:space="preserve">Impact vs precision:</w:t>
      </w:r>
      <w:r>
        <w:t xml:space="preserve"> a bubble chart with precision across and payment impact up; bubble size is severity. Top-right rules move payment and can be checked from codes, so they are the first to automate. Top-left rules matter just as much but need chart review.</w:t>
      </w:r>
    </w:p>
    <w:p>
      <w:pPr>
        <w:spacing w:after="140"/>
      </w:pPr>
      <w:r>
        <w:t xml:space="preserve">The left panel holds the search box (rule ID, title or any word in the text, such as "sepsis" or "I.C.9.a"), the tier filter buttons and the weight sliders. Searching or filtering switches the tree to a flat list sorted by score.</w:t>
      </w:r>
    </w:p>
    <w:p>
      <w:pPr>
        <w:spacing w:after="140"/>
      </w:pPr>
      <w:r>
        <w:t xml:space="preserve">Clicking any rule opens its detail panel on the right:</w:t>
      </w:r>
    </w:p>
    <w:p>
      <w:pPr>
        <w:pStyle w:val="ListParagraph"/>
        <w:numPr>
          <w:ilvl w:val="0"/>
          <w:numId w:val="4"/>
        </w:numPr>
        <w:spacing w:after="80"/>
      </w:pPr>
      <w:r>
        <w:t xml:space="preserve">Breadcrumbs back to its parent sections.</w:t>
      </w:r>
    </w:p>
    <w:p>
      <w:pPr>
        <w:pStyle w:val="ListParagraph"/>
        <w:numPr>
          <w:ilvl w:val="0"/>
          <w:numId w:val="4"/>
        </w:numPr>
        <w:spacing w:after="80"/>
      </w:pPr>
      <w:r>
        <w:t xml:space="preserve">Tier, score, rank out of 486 and the PDF page.</w:t>
      </w:r>
    </w:p>
    <w:p>
      <w:pPr>
        <w:pStyle w:val="ListParagraph"/>
        <w:numPr>
          <w:ilvl w:val="0"/>
          <w:numId w:val="4"/>
        </w:numPr>
        <w:spacing w:after="80"/>
      </w:pPr>
      <w:r>
        <w:rPr>
          <w:b/>
          <w:bCs/>
        </w:rPr>
        <w:t xml:space="preserve">In plain words</w:t>
      </w:r>
      <w:r>
        <w:t xml:space="preserve"> and </w:t>
      </w:r>
      <w:r>
        <w:rPr>
          <w:b/>
          <w:bCs/>
        </w:rPr>
        <w:t xml:space="preserve">Why the rule exists</w:t>
      </w:r>
      <w:r>
        <w:t xml:space="preserve">, written for about 60 key rules; other rules show their opening text.</w:t>
      </w:r>
    </w:p>
    <w:p>
      <w:pPr>
        <w:pStyle w:val="ListParagraph"/>
        <w:numPr>
          <w:ilvl w:val="0"/>
          <w:numId w:val="4"/>
        </w:numPr>
        <w:spacing w:after="80"/>
      </w:pPr>
      <w:r>
        <w:t xml:space="preserve">All eight metric bars, each with its source and current weight.</w:t>
      </w:r>
    </w:p>
    <w:p>
      <w:pPr>
        <w:pStyle w:val="ListParagraph"/>
        <w:numPr>
          <w:ilvl w:val="0"/>
          <w:numId w:val="4"/>
        </w:numPr>
        <w:spacing w:after="80"/>
      </w:pPr>
      <w:r>
        <w:t xml:space="preserve">Codes and code ranges the rule cites, its sub-rules and the full guideline text.</w:t>
      </w:r>
    </w:p>
    <w:p>
      <w:pPr>
        <w:spacing w:after="140"/>
      </w:pPr>
      <w:r>
        <w:rPr>
          <w:b/>
          <w:bCs/>
        </w:rPr>
        <w:t xml:space="preserve">Download guideline catalog (Excel)</w:t>
      </w:r>
      <w:r>
        <w:t xml:space="preserve"> exports every rule with its tier, score, metrics and text.</w:t>
      </w:r>
    </w:p>
    <w:p>
      <w:pPr>
        <w:pStyle w:val="Heading1"/>
      </w:pPr>
      <w:r>
        <w:t xml:space="preserve">Mapping a claims file</w:t>
      </w:r>
    </w:p>
    <w:p>
      <w:pPr>
        <w:spacing w:after="140"/>
      </w:pPr>
      <w:r>
        <w:t xml:space="preserve">Upload a claims file and every code on every claim is linked to the guidelines that govern it, with likely errors flagged.</w:t>
      </w:r>
    </w:p>
    <w:p>
      <w:pPr>
        <w:pStyle w:val="ListParagraph"/>
        <w:numPr>
          <w:ilvl w:val="0"/>
          <w:numId w:val="5"/>
        </w:numPr>
        <w:spacing w:after="80"/>
      </w:pPr>
      <w:r>
        <w:t xml:space="preserve">Open </w:t>
      </w:r>
      <w:r>
        <w:rPr>
          <w:b/>
          <w:bCs/>
        </w:rPr>
        <w:t xml:space="preserve">Map a claims file</w:t>
      </w:r>
      <w:r>
        <w:t xml:space="preserve"> and choose an .xlsx, .xls or .csv file (or load the 300-claim synthetic sample).</w:t>
      </w:r>
    </w:p>
    <w:p>
      <w:pPr>
        <w:pStyle w:val="ListParagraph"/>
        <w:numPr>
          <w:ilvl w:val="0"/>
          <w:numId w:val="5"/>
        </w:numPr>
        <w:spacing w:after="80"/>
      </w:pPr>
      <w:r>
        <w:t xml:space="preserve">Check the detected columns: claim ID, diagnosis columns, ICD-10-PCS procedure columns and an optional setting column. The first diagnosis is treated as principal; several rows with the same claim ID are combined.</w:t>
      </w:r>
    </w:p>
    <w:p>
      <w:pPr>
        <w:pStyle w:val="ListParagraph"/>
        <w:numPr>
          <w:ilvl w:val="0"/>
          <w:numId w:val="5"/>
        </w:numPr>
        <w:spacing w:after="80"/>
      </w:pPr>
      <w:r>
        <w:t xml:space="preserve">Set </w:t>
      </w:r>
      <w:r>
        <w:rPr>
          <w:b/>
          <w:bCs/>
        </w:rPr>
        <w:t xml:space="preserve">Inpatient</w:t>
      </w:r>
      <w:r>
        <w:t xml:space="preserve"> or </w:t>
      </w:r>
      <w:r>
        <w:rPr>
          <w:b/>
          <w:bCs/>
        </w:rPr>
        <w:t xml:space="preserve">Outpatient</w:t>
      </w:r>
      <w:r>
        <w:t xml:space="preserve"> at the top right, or map a setting column (values such as IP/OP or bill type 11x). Inpatient claims use Sections II and III; outpatient claims use Section IV.</w:t>
      </w:r>
    </w:p>
    <w:p>
      <w:pPr>
        <w:pStyle w:val="ListParagraph"/>
        <w:numPr>
          <w:ilvl w:val="0"/>
          <w:numId w:val="5"/>
        </w:numPr>
        <w:spacing w:after="80"/>
      </w:pPr>
      <w:r>
        <w:t xml:space="preserve">Click </w:t>
      </w:r>
      <w:r>
        <w:rPr>
          <w:b/>
          <w:bCs/>
        </w:rPr>
        <w:t xml:space="preserve">Map guidelines</w:t>
      </w:r>
      <w:r>
        <w:t xml:space="preserve">, review the results, then click </w:t>
      </w:r>
      <w:r>
        <w:rPr>
          <w:b/>
          <w:bCs/>
        </w:rPr>
        <w:t xml:space="preserve">Download Excel with guideline mapping</w:t>
      </w:r>
      <w:r>
        <w:t xml:space="preserve">.</w:t>
      </w:r>
    </w:p>
    <w:p>
      <w:pPr>
        <w:spacing w:after="140"/>
      </w:pPr>
      <w:r>
        <w:t xml:space="preserve">Each code is linked to rules in several ways, and the trigger type is recorded for every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Trigger</w:t>
            </w:r>
          </w:p>
        </w:tc>
        <w:tc>
          <w:tcPr>
            <w:tcW w:type="dxa" w:w="6365"/>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Example</w:t>
            </w:r>
          </w:p>
        </w:tc>
      </w:tr>
      <w:tr>
        <w:trPr>
          <w:tblHeader w:val="false"/>
        </w:trPr>
        <w:tc>
          <w:tcPr>
            <w:tcW w:type="dxa" w:w="299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Code pattern (curated)</w:t>
            </w:r>
          </w:p>
        </w:tc>
        <w:tc>
          <w:tcPr>
            <w:tcW w:type="dxa" w:w="636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A41.9 links to the sepsis rules I.C.1.d</w:t>
            </w:r>
          </w:p>
        </w:tc>
      </w:tr>
      <w:tr>
        <w:trPr>
          <w:tblHeader w:val="false"/>
        </w:trPr>
        <w:tc>
          <w:tcPr>
            <w:tcW w:type="dxa" w:w="299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Code cited in rule text</w:t>
            </w:r>
          </w:p>
        </w:tc>
        <w:tc>
          <w:tcPr>
            <w:tcW w:type="dxa" w:w="636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A code the guideline text names, matched by prefix</w:t>
            </w:r>
          </w:p>
        </w:tc>
      </w:tr>
      <w:tr>
        <w:trPr>
          <w:tblHeader w:val="false"/>
        </w:trPr>
        <w:tc>
          <w:tcPr>
            <w:tcW w:type="dxa" w:w="299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Code range in rule text</w:t>
            </w:r>
          </w:p>
        </w:tc>
        <w:tc>
          <w:tcPr>
            <w:tcW w:type="dxa" w:w="636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A range such as J12–J18 written in a rule</w:t>
            </w:r>
          </w:p>
        </w:tc>
      </w:tr>
      <w:tr>
        <w:trPr>
          <w:tblHeader w:val="false"/>
        </w:trPr>
        <w:tc>
          <w:tcPr>
            <w:tcW w:type="dxa" w:w="299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Chapter scope</w:t>
            </w:r>
          </w:p>
        </w:tc>
        <w:tc>
          <w:tcPr>
            <w:tcW w:type="dxa" w:w="636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Any I-code links to Chapter 9 (I.C.9)</w:t>
            </w:r>
          </w:p>
        </w:tc>
      </w:tr>
      <w:tr>
        <w:trPr>
          <w:tblHeader w:val="false"/>
        </w:trPr>
        <w:tc>
          <w:tcPr>
            <w:tcW w:type="dxa" w:w="299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Code description</w:t>
            </w:r>
          </w:p>
        </w:tc>
        <w:tc>
          <w:tcPr>
            <w:tcW w:type="dxa" w:w="636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"Unspecified", left/right or "with" in the code title links to I.A.9.b, I.B.13 or I.A.15</w:t>
            </w:r>
          </w:p>
        </w:tc>
      </w:tr>
      <w:tr>
        <w:trPr>
          <w:tblHeader w:val="false"/>
        </w:trPr>
        <w:tc>
          <w:tcPr>
            <w:tcW w:type="dxa" w:w="299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Claim role</w:t>
            </w:r>
          </w:p>
        </w:tc>
        <w:tc>
          <w:tcPr>
            <w:tcW w:type="dxa" w:w="636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Principal links to Section II; secondary to Section III; inpatient codes to POA</w:t>
            </w:r>
          </w:p>
        </w:tc>
      </w:tr>
      <w:tr>
        <w:trPr>
          <w:tblHeader w:val="false"/>
        </w:trPr>
        <w:tc>
          <w:tcPr>
            <w:tcW w:type="dxa" w:w="299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Procedure pattern</w:t>
            </w:r>
          </w:p>
        </w:tc>
        <w:tc>
          <w:tcPr>
            <w:tcW w:type="dxa" w:w="6365"/>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Chemotherapy, dialysis, ventilation, transplant and delivery link to the diagnosis rules they depend on</w:t>
            </w:r>
          </w:p>
        </w:tc>
      </w:tr>
    </w:tbl>
    <w:p>
      <w:pPr>
        <w:spacing w:after="120"/>
      </w:pPr>
    </w:p>
    <w:p>
      <w:pPr>
        <w:spacing w:after="140"/>
      </w:pPr>
      <w:r>
        <w:t xml:space="preserve">Obstetric (I.C.15) and newborn (I.C.16) rules only appear on claims that carry O, Z3x or P, Z38 codes.</w:t>
      </w:r>
    </w:p>
    <w:p>
      <w:pPr>
        <w:spacing w:after="140"/>
      </w:pPr>
      <w:r>
        <w:t xml:space="preserve">The tool also runs claim-level conflict checks. </w:t>
      </w:r>
      <w:r>
        <w:rPr>
          <w:b/>
          <w:bCs/>
        </w:rPr>
        <w:t xml:space="preserve">Likely errors</w:t>
      </w:r>
      <w:r>
        <w:t xml:space="preserve"> break a rule outright: an external cause, R65.2 or underdosing code as principal; hypertension with heart failure or CKD coded separately; "diabetes without complications" alongside complication codes; severe sepsis without the systemic infection; a principal-only Z code reported as secondary; maternal and newborn codes together. </w:t>
      </w:r>
      <w:r>
        <w:rPr>
          <w:b/>
          <w:bCs/>
        </w:rPr>
        <w:t xml:space="preserve">Reviews</w:t>
      </w:r>
      <w:r>
        <w:t xml:space="preserve"> need the record: a symptom code as principal with definitive diagnoses present, sepsis secondary to a localized infection, abnormal findings, several codes from one category, a subsequent-encounter injury as inpatient principal, and obstetric codes without an obstetric principal.</w:t>
      </w:r>
    </w:p>
    <w:p>
      <w:pPr>
        <w:spacing w:after="140"/>
      </w:pPr>
      <w:r>
        <w:t xml:space="preserve">The results screen shows totals, the most common conflicts, the most-mapped guidelines and a claims list sorted by conflicts; click a claim to see each code's guidelines.</w:t>
      </w:r>
    </w:p>
    <w:p>
      <w:pPr>
        <w:pStyle w:val="Heading1"/>
      </w:pPr>
      <w:r>
        <w:t xml:space="preserve">Looking up codes by hand</w:t>
      </w:r>
    </w:p>
    <w:p>
      <w:pPr>
        <w:spacing w:after="140"/>
      </w:pPr>
      <w:r>
        <w:t xml:space="preserve">The </w:t>
      </w:r>
      <w:r>
        <w:rPr>
          <w:b/>
          <w:bCs/>
        </w:rPr>
        <w:t xml:space="preserve">Look up codes</w:t>
      </w:r>
      <w:r>
        <w:t xml:space="preserve"> tab gives the same mapping for codes you pick yourself, and updates as you add each one.</w:t>
      </w:r>
    </w:p>
    <w:p>
      <w:pPr>
        <w:pStyle w:val="ListParagraph"/>
        <w:numPr>
          <w:ilvl w:val="0"/>
          <w:numId w:val="6"/>
        </w:numPr>
        <w:spacing w:after="80"/>
      </w:pPr>
      <w:r>
        <w:t xml:space="preserve">Type in the diagnosis box: a code (A41.9 or A419) or words ("heart failure"). Pick from the list with the mouse, or use the arrow keys and Enter.</w:t>
      </w:r>
    </w:p>
    <w:p>
      <w:pPr>
        <w:pStyle w:val="ListParagraph"/>
        <w:numPr>
          <w:ilvl w:val="0"/>
          <w:numId w:val="6"/>
        </w:numPr>
        <w:spacing w:after="80"/>
      </w:pPr>
      <w:r>
        <w:t xml:space="preserve">To add several at once, paste a list such as "A41.9, R65.20, N17.9" and press Enter.</w:t>
      </w:r>
    </w:p>
    <w:p>
      <w:pPr>
        <w:pStyle w:val="ListParagraph"/>
        <w:numPr>
          <w:ilvl w:val="0"/>
          <w:numId w:val="6"/>
        </w:numPr>
        <w:spacing w:after="80"/>
      </w:pPr>
      <w:r>
        <w:t xml:space="preserve">Add ICD-10-PCS codes the same way in the procedure box (for example 5A1955Z or "dialysis").</w:t>
      </w:r>
    </w:p>
    <w:p>
      <w:pPr>
        <w:pStyle w:val="ListParagraph"/>
        <w:numPr>
          <w:ilvl w:val="0"/>
          <w:numId w:val="6"/>
        </w:numPr>
        <w:spacing w:after="80"/>
      </w:pPr>
      <w:r>
        <w:t xml:space="preserve">The first diagnosis is principal. Use ★ to make another one principal, ↑ to move a code up, and ✕ to remove it.</w:t>
      </w:r>
    </w:p>
    <w:p>
      <w:pPr>
        <w:pStyle w:val="ListParagraph"/>
        <w:numPr>
          <w:ilvl w:val="0"/>
          <w:numId w:val="6"/>
        </w:numPr>
        <w:spacing w:after="80"/>
      </w:pPr>
      <w:r>
        <w:t xml:space="preserve">Read the results below: totals by tier, possible conflicts, then one card per code listing its guidelines by tier, with why each was mapped.</w:t>
      </w:r>
    </w:p>
    <w:p>
      <w:pPr>
        <w:pStyle w:val="ListParagraph"/>
        <w:numPr>
          <w:ilvl w:val="0"/>
          <w:numId w:val="6"/>
        </w:numPr>
        <w:spacing w:after="80"/>
      </w:pPr>
      <w:r>
        <w:t xml:space="preserve">Click any guideline ID to open it in the hierarchy tab, or click </w:t>
      </w:r>
      <w:r>
        <w:rPr>
          <w:b/>
          <w:bCs/>
        </w:rPr>
        <w:t xml:space="preserve">Download results (Excel)</w:t>
      </w:r>
      <w:r>
        <w:t xml:space="preserve">.</w:t>
      </w:r>
    </w:p>
    <w:p>
      <w:pPr>
        <w:spacing w:after="140"/>
      </w:pPr>
      <w:r>
        <w:rPr>
          <w:b/>
          <w:bCs/>
        </w:rPr>
        <w:t xml:space="preserve">Try an example</w:t>
      </w:r>
      <w:r>
        <w:t xml:space="preserve"> loads a pneumonia admission with sepsis, severe sepsis, acute kidney failure, hypertension, heart failure, diabetes, CKD and mechanical ventilation. It shows three likely errors (hypertension coded separately from heart failure and from CKD, and E11.9 alongside E11.22) and two reviews (sepsis sequencing and several E11 codes).</w:t>
      </w:r>
    </w:p>
    <w:p>
      <w:pPr>
        <w:pStyle w:val="Heading1"/>
      </w:pPr>
      <w:r>
        <w:t xml:space="preserve">Excel outputs</w:t>
      </w:r>
    </w:p>
    <w:p>
      <w:pPr>
        <w:spacing w:after="140"/>
      </w:pPr>
      <w:r>
        <w:t xml:space="preserve">Every download records the weights and setting in use, so a result can be reproduced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434"/>
        <w:gridCol w:w="4680"/>
      </w:tblGrid>
      <w:tr>
        <w:trPr>
          <w:tblHeader/>
        </w:trPr>
        <w:tc>
          <w:tcPr>
            <w:tcW w:type="dxa" w:w="2246"/>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Sheet</w:t>
            </w:r>
          </w:p>
        </w:tc>
        <w:tc>
          <w:tcPr>
            <w:tcW w:type="dxa" w:w="2434"/>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In which download</w:t>
            </w:r>
          </w:p>
        </w:tc>
        <w:tc>
          <w:tcPr>
            <w:tcW w:type="dxa" w:w="4680"/>
            <w:tcBorders>
              <w:top w:val="single" w:color="C9D2CE" w:sz="4"/>
              <w:left w:val="single" w:color="C9D2CE" w:sz="4"/>
              <w:bottom w:val="single" w:color="C9D2CE" w:sz="4"/>
              <w:right w:val="single" w:color="C9D2CE" w:sz="4"/>
            </w:tcBorders>
            <w:shd w:fill="E3ECEE" w:color="auto" w:val="clear"/>
            <w:tcMar>
              <w:top w:type="dxa" w:w="70"/>
              <w:left w:type="dxa" w:w="110"/>
              <w:bottom w:type="dxa" w:w="70"/>
              <w:right w:type="dxa" w:w="110"/>
            </w:tcMar>
          </w:tcPr>
          <w:p>
            <w:pPr>
              <w:spacing w:after="0"/>
            </w:pPr>
            <w:r>
              <w:rPr>
                <w:b/>
                <w:bCs/>
                <w:color w:val="1F2A30"/>
                <w:sz w:val="19"/>
                <w:szCs w:val="19"/>
              </w:rPr>
              <w:t xml:space="preserve">What each row holds</w:t>
            </w:r>
          </w:p>
        </w:tc>
      </w:tr>
      <w:tr>
        <w:trPr>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Your original sheets</w:t>
            </w:r>
          </w:p>
        </w:tc>
        <w:tc>
          <w:tcPr>
            <w:tcW w:type="dxa" w:w="243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Claims</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Unchanged copies of the uploaded workbook</w:t>
            </w:r>
          </w:p>
        </w:tc>
      </w:tr>
      <w:tr>
        <w:trPr>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Claim_Guideline_Summary</w:t>
            </w:r>
          </w:p>
        </w:tc>
        <w:tc>
          <w:tcPr>
            <w:tcW w:type="dxa" w:w="243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Claims</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One claim: setting, principal, codes, guideline counts, Tier 1 IDs, all IDs, error and review counts, conflict messages</w:t>
            </w:r>
          </w:p>
        </w:tc>
      </w:tr>
      <w:tr>
        <w:trPr>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Selected_Codes</w:t>
            </w:r>
          </w:p>
        </w:tc>
        <w:tc>
          <w:tcPr>
            <w:tcW w:type="dxa" w:w="243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Lookup</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One chosen code: role, description, number of guidelines, Tier 1 IDs</w:t>
            </w:r>
          </w:p>
        </w:tc>
      </w:tr>
      <w:tr>
        <w:trPr>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Code_Guideline_Map</w:t>
            </w:r>
          </w:p>
        </w:tc>
        <w:tc>
          <w:tcPr>
            <w:tcW w:type="dxa" w:w="243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Claims, Lookup</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One code–guideline link: claim ID, code, type, role, description, guideline ID and title, tier, score, trigger type, why mapped, plain-language summary, why the rule exists, PDF page</w:t>
            </w:r>
          </w:p>
        </w:tc>
      </w:tr>
      <w:tr>
        <w:trPr>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Conflicts</w:t>
            </w:r>
          </w:p>
        </w:tc>
        <w:tc>
          <w:tcPr>
            <w:tcW w:type="dxa" w:w="243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Claims, Lookup</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One flagged pattern: kind (error or review), code, message, guideline IDs and titles, best tier</w:t>
            </w:r>
          </w:p>
        </w:tc>
      </w:tr>
      <w:tr>
        <w:trPr>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Guideline_Catalog</w:t>
            </w:r>
          </w:p>
        </w:tc>
        <w:tc>
          <w:tcPr>
            <w:tcW w:type="dxa" w:w="243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All</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One rule: ID, parent, level, title, tier, score, rank, eight metrics, plain language, PDF page, codes cited, full text</w:t>
            </w:r>
          </w:p>
        </w:tc>
      </w:tr>
      <w:tr>
        <w:trPr>
          <w:tblHeader w:val="false"/>
        </w:trPr>
        <w:tc>
          <w:tcPr>
            <w:tcW w:type="dxa" w:w="2246"/>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Scoring_Weights</w:t>
            </w:r>
          </w:p>
        </w:tc>
        <w:tc>
          <w:tcPr>
            <w:tcW w:type="dxa" w:w="2434"/>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All</w:t>
            </w:r>
          </w:p>
        </w:tc>
        <w:tc>
          <w:tcPr>
            <w:tcW w:type="dxa" w:w="4680"/>
            <w:tcBorders>
              <w:top w:val="single" w:color="C9D2CE" w:sz="4"/>
              <w:left w:val="single" w:color="C9D2CE" w:sz="4"/>
              <w:bottom w:val="single" w:color="C9D2CE" w:sz="4"/>
              <w:right w:val="single" w:color="C9D2CE" w:sz="4"/>
            </w:tcBorders>
            <w:tcMar>
              <w:top w:type="dxa" w:w="70"/>
              <w:left w:type="dxa" w:w="110"/>
              <w:bottom w:type="dxa" w:w="70"/>
              <w:right w:type="dxa" w:w="110"/>
            </w:tcMar>
          </w:tcPr>
          <w:p>
            <w:pPr>
              <w:spacing w:after="0"/>
            </w:pPr>
            <w:r>
              <w:rPr>
                <w:color w:val="1F2A30"/>
                <w:sz w:val="19"/>
                <w:szCs w:val="19"/>
              </w:rPr>
              <w:t xml:space="preserve">Weight per metric, how it is measured, tier cut-offs and the setting used</w:t>
            </w:r>
          </w:p>
        </w:tc>
      </w:tr>
    </w:tbl>
    <w:p>
      <w:pPr>
        <w:spacing w:after="120"/>
      </w:pPr>
    </w:p>
    <w:p>
      <w:pPr>
        <w:spacing w:after="140"/>
      </w:pPr>
      <w:r>
        <w:t xml:space="preserve">For overpayment modelling, Claim_Guideline_Summary joins to claim data by claim ID. Counts such as n_tier1, n_likely_errors and n_reviews can be used directly as model features. Code_Guideline_Map is limited to 1,000,000 rows, Excel's sheet maximum.</w:t>
      </w:r>
    </w:p>
    <w:p>
      <w:pPr>
        <w:pStyle w:val="Heading1"/>
      </w:pPr>
      <w:r>
        <w:t xml:space="preserve">Limitations and good practice</w:t>
      </w:r>
    </w:p>
    <w:p>
      <w:pPr>
        <w:spacing w:after="140"/>
      </w:pPr>
      <w:r>
        <w:t xml:space="preserve">Mappings and conflict flags are screening aids, not coding determinations; a certified coder with the medical record makes the final call.</w:t>
      </w:r>
    </w:p>
    <w:p>
      <w:pPr>
        <w:pStyle w:val="ListParagraph"/>
        <w:numPr>
          <w:ilvl w:val="0"/>
          <w:numId w:val="3"/>
        </w:numPr>
        <w:spacing w:after="80"/>
      </w:pPr>
      <w:r>
        <w:rPr>
          <w:b/>
          <w:bCs/>
        </w:rPr>
        <w:t xml:space="preserve">ICD-10-CM only.</w:t>
      </w:r>
      <w:r>
        <w:t xml:space="preserve"> The PDF does not cover procedure coding. Procedure codes link to the diagnosis rules they depend on; the separate ICD-10-PCS guidelines are not included.</w:t>
      </w:r>
    </w:p>
    <w:p>
      <w:pPr>
        <w:pStyle w:val="ListParagraph"/>
        <w:numPr>
          <w:ilvl w:val="0"/>
          <w:numId w:val="3"/>
        </w:numPr>
        <w:spacing w:after="80"/>
      </w:pPr>
      <w:r>
        <w:rPr>
          <w:b/>
          <w:bCs/>
        </w:rPr>
        <w:t xml:space="preserve">No MS-DRG grouping.</w:t>
      </w:r>
      <w:r>
        <w:t xml:space="preserve"> CC/MCC lists and exclusions come from the CMS MS-DRG Definitions Manual, which the tool does not contain.</w:t>
      </w:r>
    </w:p>
    <w:p>
      <w:pPr>
        <w:pStyle w:val="ListParagraph"/>
        <w:numPr>
          <w:ilvl w:val="0"/>
          <w:numId w:val="3"/>
        </w:numPr>
        <w:spacing w:after="80"/>
      </w:pPr>
      <w:r>
        <w:rPr>
          <w:b/>
          <w:bCs/>
        </w:rPr>
        <w:t xml:space="preserve">Code titles from FY2019.</w:t>
      </w:r>
      <w:r>
        <w:t xml:space="preserve"> Searching and descriptions use the hcuppy FY2019 files, so newer codes show as "not found" but still map by pattern and chapter.</w:t>
      </w:r>
    </w:p>
    <w:p>
      <w:pPr>
        <w:pStyle w:val="ListParagraph"/>
        <w:numPr>
          <w:ilvl w:val="0"/>
          <w:numId w:val="3"/>
        </w:numPr>
        <w:spacing w:after="80"/>
      </w:pPr>
      <w:r>
        <w:rPr>
          <w:b/>
          <w:bCs/>
        </w:rPr>
        <w:t xml:space="preserve">Partly curated scores.</w:t>
      </w:r>
      <w:r>
        <w:t xml:space="preserve"> Payment impact, audit risk and clinical acuity include judgement; each metric shows its source, and the weights let you change their influence.</w:t>
      </w:r>
    </w:p>
    <w:p>
      <w:pPr>
        <w:pStyle w:val="ListParagraph"/>
        <w:numPr>
          <w:ilvl w:val="0"/>
          <w:numId w:val="3"/>
        </w:numPr>
        <w:spacing w:after="80"/>
      </w:pPr>
      <w:r>
        <w:rPr>
          <w:b/>
          <w:bCs/>
        </w:rPr>
        <w:t xml:space="preserve">Severity uses a risk-adjustment model.</w:t>
      </w:r>
      <w:r>
        <w:t xml:space="preserve"> CMS-HCC V28 coefficients reflect outpatient risk, not inpatient acuity, which is why they are blended with curated acuity.</w:t>
      </w:r>
    </w:p>
    <w:p>
      <w:pPr>
        <w:pStyle w:val="ListParagraph"/>
        <w:numPr>
          <w:ilvl w:val="0"/>
          <w:numId w:val="3"/>
        </w:numPr>
        <w:spacing w:after="80"/>
      </w:pPr>
      <w:r>
        <w:rPr>
          <w:b/>
          <w:bCs/>
        </w:rPr>
        <w:t xml:space="preserve">No POA data.</w:t>
      </w:r>
      <w:r>
        <w:t xml:space="preserve"> Hospital-acquired condition checks need a present-on-admission column, which the current input does not take.</w:t>
      </w:r>
    </w:p>
    <w:p>
      <w:pPr>
        <w:spacing w:after="140"/>
      </w:pPr>
      <w:r>
        <w:t xml:space="preserve">Good practice:</w:t>
      </w:r>
    </w:p>
    <w:p>
      <w:pPr>
        <w:pStyle w:val="ListParagraph"/>
        <w:numPr>
          <w:ilvl w:val="0"/>
          <w:numId w:val="7"/>
        </w:numPr>
        <w:spacing w:after="80"/>
      </w:pPr>
      <w:r>
        <w:t xml:space="preserve">Agree a weight preset with your team before comparing tiers across reports.</w:t>
      </w:r>
    </w:p>
    <w:p>
      <w:pPr>
        <w:pStyle w:val="ListParagraph"/>
        <w:numPr>
          <w:ilvl w:val="0"/>
          <w:numId w:val="7"/>
        </w:numPr>
        <w:spacing w:after="80"/>
      </w:pPr>
      <w:r>
        <w:t xml:space="preserve">Use Tier 1 rules with high precision for automated edits, and Tier 1 rules with low precision for chart-review sampling.</w:t>
      </w:r>
    </w:p>
    <w:p>
      <w:pPr>
        <w:pStyle w:val="ListParagraph"/>
        <w:numPr>
          <w:ilvl w:val="0"/>
          <w:numId w:val="7"/>
        </w:numPr>
        <w:spacing w:after="80"/>
      </w:pPr>
      <w:r>
        <w:t xml:space="preserve">Validate the conflict checks on a sample of audited claims before using them as model features.</w:t>
      </w:r>
    </w:p>
    <w:p>
      <w:pPr>
        <w:pStyle w:val="ListParagraph"/>
        <w:numPr>
          <w:ilvl w:val="0"/>
          <w:numId w:val="7"/>
        </w:numPr>
        <w:spacing w:after="80"/>
      </w:pPr>
      <w:r>
        <w:t xml:space="preserve">Update the tool when the FY2026 guidelines are released (normally effective October 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646B"/>
        <w:sz w:val="18"/>
        <w:szCs w:val="18"/>
      </w:rPr>
      <w:t xml:space="preserve">ICD-10-CM Guideline Navigator · page </w:t>
    </w:r>
    <w:r>
      <w:rPr>
        <w:color w:val="5564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2A30"/>
      <w:sz w:val="44"/>
      <w:szCs w:val="44"/>
    </w:rPr>
  </w:style>
  <w:style w:type="paragraph" w:styleId="Heading1">
    <w:name w:val="Heading 1"/>
    <w:basedOn w:val="Normal"/>
    <w:next w:val="Normal"/>
    <w:qFormat/>
    <w:pPr>
      <w:keepNext/>
      <w:spacing w:after="120" w:before="320"/>
      <w:outlineLvl w:val="0"/>
    </w:pPr>
    <w:rPr>
      <w:b/>
      <w:bCs/>
      <w:color w:val="B4231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ICD-10-CM Guideline Navigator: User Guide</dc:title>
  <dc:creator>Claude</dc:creator>
  <cp:lastModifiedBy>Un-named</cp:lastModifiedBy>
  <cp:revision>1</cp:revision>
  <dcterms:created xsi:type="dcterms:W3CDTF">2026-10-07T08:06:14.771Z</dcterms:created>
  <dcterms:modified xsi:type="dcterms:W3CDTF">2026-10-07T08:06:14.771Z</dcterms:modified>
</cp:coreProperties>
</file>

<file path=docProps/custom.xml><?xml version="1.0" encoding="utf-8"?>
<Properties xmlns="http://schemas.openxmlformats.org/officeDocument/2006/custom-properties" xmlns:vt="http://schemas.openxmlformats.org/officeDocument/2006/docPropsVTypes"/>
</file>