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4B5563"/>
          <w:spacing w:val="80"/>
          <w:sz w:val="18"/>
          <w:szCs w:val="18"/>
        </w:rPr>
        <w:t xml:space="preserve">CVA PROGRAM EXPANSION — PITCH SUMMARY</w:t>
      </w:r>
    </w:p>
    <w:p>
      <w:pPr>
        <w:spacing w:after="40" w:before="0"/>
      </w:pPr>
      <w:r>
        <w:rPr>
          <w:rFonts w:ascii="Arial" w:cs="Arial" w:eastAsia="Arial" w:hAnsi="Arial"/>
          <w:b/>
          <w:bCs/>
          <w:color w:val="0D1B4B"/>
          <w:sz w:val="52"/>
          <w:szCs w:val="52"/>
        </w:rPr>
        <w:t xml:space="preserve">Diagnosis Codes &amp; Procedure Codes:</w:t>
      </w:r>
    </w:p>
    <w:p>
      <w:pPr>
        <w:spacing w:after="100" w:before="0"/>
      </w:pPr>
      <w:r>
        <w:rPr>
          <w:rFonts w:ascii="Arial" w:cs="Arial" w:eastAsia="Arial" w:hAnsi="Arial"/>
          <w:b/>
          <w:bCs/>
          <w:color w:val="007A8C"/>
          <w:sz w:val="36"/>
          <w:szCs w:val="36"/>
        </w:rPr>
        <w:t xml:space="preserve">Complete Code Reference with OIG &amp; CMS Citations</w:t>
      </w:r>
    </w:p>
    <w:p>
      <w:pPr>
        <w:spacing w:after="80" w:before="0"/>
      </w:pPr>
      <w:r>
        <w:rPr>
          <w:rFonts w:ascii="Arial" w:cs="Arial" w:eastAsia="Arial" w:hAnsi="Arial"/>
          <w:color w:val="4B5563"/>
          <w:sz w:val="21"/>
          <w:szCs w:val="21"/>
        </w:rPr>
        <w:t xml:space="preserve">10 Diagnosis Code Categories  +  5 Procedure Code Tiers  |  Anchored to Humana's 5.8M Medicare Advantage Members  |  May 2026</w:t>
      </w:r>
    </w:p>
    <w:p>
      <w:pPr>
        <w:pBdr>
          <w:bottom w:val="single" w:color="007A8C" w:sz="8" w:space="4"/>
        </w:pBdr>
        <w:spacing w:after="200" w:before="0"/>
      </w:pPr>
      <w:r>
        <w:rPr>
          <w:rFonts w:ascii="Arial" w:cs="Arial" w:eastAsia="Arial" w:hAnsi="Arial"/>
          <w:b/>
          <w:bCs/>
          <w:color w:val="0D1B4B"/>
          <w:sz w:val="21"/>
          <w:szCs w:val="21"/>
        </w:rPr>
        <w:t xml:space="preserve">Prepared for: </w:t>
      </w:r>
      <w:r>
        <w:rPr>
          <w:rFonts w:ascii="Arial" w:cs="Arial" w:eastAsia="Arial" w:hAnsi="Arial"/>
          <w:color w:val="1F2937"/>
          <w:sz w:val="21"/>
          <w:szCs w:val="21"/>
        </w:rPr>
        <w:t xml:space="preserve">Head of Operations, Humana Medicare Advantage</w:t>
      </w:r>
      <w:r>
        <w:rPr>
          <w:rFonts w:ascii="Arial" w:cs="Arial" w:eastAsia="Arial" w:hAnsi="Arial"/>
          <w:color w:val="4B5563"/>
          <w:sz w:val="19"/>
          <w:szCs w:val="19"/>
        </w:rPr>
        <w:t xml:space="preserve">   |   May 2026</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7A8C" w:val="clear"/>
          </w:tcPr>
          <w:p/>
        </w:tc>
        <w:tc>
          <w:tcPr>
            <w:tcW w:type="dxa" w:w="9160"/>
            <w:tcBorders>
              <w:top w:val="single" w:color="007A8C" w:sz="4"/>
              <w:left w:val="none" w:color="FFFFFF" w:sz="0"/>
              <w:bottom w:val="single" w:color="007A8C" w:sz="4"/>
              <w:right w:val="single" w:color="007A8C" w:sz="4"/>
            </w:tcBorders>
            <w:shd w:fill="E0F2FE" w:val="clear"/>
            <w:tcMar>
              <w:top w:type="dxa" w:w="100"/>
              <w:left w:type="dxa" w:w="160"/>
              <w:bottom w:type="dxa" w:w="100"/>
              <w:right w:type="dxa" w:w="120"/>
            </w:tcMar>
          </w:tcPr>
          <w:p>
            <w:pPr>
              <w:spacing w:after="60"/>
            </w:pPr>
            <w:r>
              <w:rPr>
                <w:rFonts w:ascii="Arial" w:cs="Arial" w:eastAsia="Arial" w:hAnsi="Arial"/>
                <w:b/>
                <w:bCs/>
                <w:color w:val="007A8C"/>
                <w:sz w:val="19"/>
                <w:szCs w:val="19"/>
              </w:rPr>
              <w:t xml:space="preserve">WHY THIS DOCUMENT EXISTS</w:t>
            </w:r>
          </w:p>
          <w:p>
            <w:pPr>
              <w:spacing w:after="0"/>
            </w:pPr>
            <w:r>
              <w:rPr>
                <w:rFonts w:ascii="Arial" w:cs="Arial" w:eastAsia="Arial" w:hAnsi="Arial"/>
                <w:b/>
                <w:bCs/>
                <w:color w:val="0D1B4B"/>
                <w:sz w:val="21"/>
                <w:szCs w:val="21"/>
              </w:rPr>
              <w:t xml:space="preserve">The gap: </w:t>
            </w:r>
            <w:r>
              <w:rPr>
                <w:rFonts w:ascii="Arial" w:cs="Arial" w:eastAsia="Arial" w:hAnsi="Arial"/>
                <w:color w:val="1F2937"/>
                <w:sz w:val="21"/>
                <w:szCs w:val="21"/>
              </w:rPr>
              <w:t xml:space="preserve">Humana's current 20-condition CVA program covers only diagnosis codes. Procedure codes — where CMS has documented a 43.6% improper payment rate for knee/hip replacement alone — are entirely unvalidated. </w:t>
            </w:r>
            <w:r>
              <w:rPr>
                <w:rFonts w:ascii="Arial" w:cs="Arial" w:eastAsia="Arial" w:hAnsi="Arial"/>
                <w:b/>
                <w:bCs/>
                <w:color w:val="0D1B4B"/>
                <w:sz w:val="21"/>
                <w:szCs w:val="21"/>
              </w:rPr>
              <w:t xml:space="preserve">The ask: </w:t>
            </w:r>
            <w:r>
              <w:rPr>
                <w:rFonts w:ascii="Arial" w:cs="Arial" w:eastAsia="Arial" w:hAnsi="Arial"/>
                <w:color w:val="1F2937"/>
                <w:sz w:val="21"/>
                <w:szCs w:val="21"/>
              </w:rPr>
              <w:t xml:space="preserve">Expand CVA to the 10 diagnosis code categories and 5 procedure code tiers below. Humana can begin under existing MA contract authority. No CMS approval required for Track 1. </w:t>
            </w:r>
            <w:r>
              <w:rPr>
                <w:rFonts w:ascii="Arial" w:cs="Arial" w:eastAsia="Arial" w:hAnsi="Arial"/>
                <w:b/>
                <w:bCs/>
                <w:color w:val="0D1B4B"/>
                <w:sz w:val="21"/>
                <w:szCs w:val="21"/>
              </w:rPr>
              <w:t xml:space="preserve">The evidence: </w:t>
            </w:r>
            <w:r>
              <w:rPr>
                <w:rFonts w:ascii="Arial" w:cs="Arial" w:eastAsia="Arial" w:hAnsi="Arial"/>
                <w:color w:val="1F2937"/>
                <w:sz w:val="21"/>
                <w:szCs w:val="21"/>
              </w:rPr>
              <w:t xml:space="preserve">Every code and every claim below is anchored to a published OIG report, CMS improper payment dataset, or peer-reviewed study. All citations are numbered and listed in full at the end.</w:t>
            </w:r>
          </w:p>
        </w:tc>
      </w:tr>
    </w:tbl>
    <w:p>
      <w:pPr>
        <w:spacing w:after="200" w:before="0"/>
      </w:pPr>
      <w:r>
        <w:t xml:space="preserve"/>
      </w:r>
    </w:p>
    <w:p>
      <w:pPr>
        <w:pStyle w:val="Heading1"/>
        <w:pBdr>
          <w:bottom w:val="single" w:color="007A8C" w:sz="10"/>
        </w:pBdr>
        <w:spacing w:after="80" w:before="400"/>
      </w:pPr>
      <w:r>
        <w:rPr>
          <w:rFonts w:ascii="Arial" w:cs="Arial" w:eastAsia="Arial" w:hAnsi="Arial"/>
          <w:b/>
          <w:bCs/>
          <w:color w:val="0D1B4B"/>
          <w:sz w:val="36"/>
          <w:szCs w:val="36"/>
        </w:rPr>
        <w:t xml:space="preserve">PART 1: Diagnosis Code Expansion (ICD-10-CM)</w:t>
      </w:r>
    </w:p>
    <w:p>
      <w:pPr>
        <w:spacing w:after="100" w:before="40"/>
      </w:pPr>
      <w:r>
        <w:rPr>
          <w:rFonts w:ascii="Arial" w:cs="Arial" w:eastAsia="Arial" w:hAnsi="Arial"/>
          <w:color w:val="1F2937"/>
          <w:sz w:val="21"/>
          <w:szCs w:val="21"/>
        </w:rPr>
        <w:t xml:space="preserve">All 10 categories below are explicitly named in OIG published audits or are directly targeted by CMS V28 model changes. </w:t>
      </w:r>
      <w:r>
        <w:rPr>
          <w:rFonts w:ascii="Arial" w:cs="Arial" w:eastAsia="Arial" w:hAnsi="Arial"/>
          <w:color w:val="4B5563"/>
          <w:sz w:val="17"/>
          <w:szCs w:val="17"/>
          <w:vertAlign w:val="superscript"/>
        </w:rPr>
        <w:t xml:space="preserve"> [1,2]</w:t>
      </w:r>
      <w:r>
        <w:rPr>
          <w:rFonts w:ascii="Arial" w:cs="Arial" w:eastAsia="Arial" w:hAnsi="Arial"/>
          <w:color w:val="1F2937"/>
          <w:sz w:val="21"/>
          <w:szCs w:val="21"/>
        </w:rPr>
        <w:t xml:space="preserve"> OIG flag levels: </w:t>
      </w:r>
      <w:r>
        <w:rPr>
          <w:rFonts w:ascii="Arial" w:cs="Arial" w:eastAsia="Arial" w:hAnsi="Arial"/>
          <w:b/>
          <w:bCs/>
          <w:color w:val="991B1B"/>
          <w:sz w:val="21"/>
          <w:szCs w:val="21"/>
        </w:rPr>
        <w:t xml:space="preserve">CRITICAL</w:t>
      </w:r>
      <w:r>
        <w:rPr>
          <w:rFonts w:ascii="Arial" w:cs="Arial" w:eastAsia="Arial" w:hAnsi="Arial"/>
          <w:color w:val="1F2937"/>
          <w:sz w:val="21"/>
          <w:szCs w:val="21"/>
        </w:rPr>
        <w:t xml:space="preserve"> = &gt;90% error rate | </w:t>
      </w:r>
      <w:r>
        <w:rPr>
          <w:rFonts w:ascii="Arial" w:cs="Arial" w:eastAsia="Arial" w:hAnsi="Arial"/>
          <w:b/>
          <w:bCs/>
          <w:color w:val="92400E"/>
          <w:sz w:val="21"/>
          <w:szCs w:val="21"/>
        </w:rPr>
        <w:t xml:space="preserve">HIGH</w:t>
      </w:r>
      <w:r>
        <w:rPr>
          <w:rFonts w:ascii="Arial" w:cs="Arial" w:eastAsia="Arial" w:hAnsi="Arial"/>
          <w:color w:val="1F2937"/>
          <w:sz w:val="21"/>
          <w:szCs w:val="21"/>
        </w:rPr>
        <w:t xml:space="preserve"> = 70–90% | </w:t>
      </w:r>
      <w:r>
        <w:rPr>
          <w:rFonts w:ascii="Arial" w:cs="Arial" w:eastAsia="Arial" w:hAnsi="Arial"/>
          <w:b/>
          <w:bCs/>
          <w:color w:val="007A8C"/>
          <w:sz w:val="21"/>
          <w:szCs w:val="21"/>
        </w:rPr>
        <w:t xml:space="preserve">MEDIUM</w:t>
      </w:r>
      <w:r>
        <w:rPr>
          <w:rFonts w:ascii="Arial" w:cs="Arial" w:eastAsia="Arial" w:hAnsi="Arial"/>
          <w:color w:val="1F2937"/>
          <w:sz w:val="21"/>
          <w:szCs w:val="21"/>
        </w:rPr>
        <w:t xml:space="preserve"> = documented but lower frequency.</w:t>
      </w:r>
    </w:p>
    <w:p>
      <w:pPr>
        <w:spacing w:after="120" w:before="0"/>
      </w:pPr>
      <w:r>
        <w:t xml:space="preserve"/>
      </w:r>
    </w:p>
    <w:p>
      <w:pPr>
        <w:pBdr>
          <w:bottom w:val="single" w:color="007A8C" w:sz="4"/>
        </w:pBdr>
        <w:shd w:fill="991B1B" w:val="clear"/>
        <w:spacing w:after="60" w:before="200"/>
        <w:ind w:left="120"/>
      </w:pPr>
      <w:r>
        <w:rPr>
          <w:rFonts w:ascii="Arial" w:cs="Arial" w:eastAsia="Arial" w:hAnsi="Arial"/>
          <w:b/>
          <w:bCs/>
          <w:color w:val="FFFFFF"/>
          <w:sz w:val="20"/>
          <w:szCs w:val="20"/>
        </w:rPr>
        <w:t xml:space="preserve">CATEGORY 1 — ACUTE ISCHEMIC STROKE   |   OIG Error Rate: &gt;90%   |   HCC 99</w:t>
      </w:r>
    </w:p>
    <w:p>
      <w:pPr>
        <w:spacing w:after="100" w:before="40"/>
      </w:pPr>
      <w:r>
        <w:rPr>
          <w:rFonts w:ascii="Arial" w:cs="Arial" w:eastAsia="Arial" w:hAnsi="Arial"/>
          <w:b/>
          <w:bCs/>
          <w:color w:val="991B1B"/>
          <w:sz w:val="21"/>
          <w:szCs w:val="21"/>
        </w:rPr>
        <w:t xml:space="preserve">Evidence: </w:t>
      </w:r>
      <w:r>
        <w:rPr>
          <w:rFonts w:ascii="Arial" w:cs="Arial" w:eastAsia="Arial" w:hAnsi="Arial"/>
          <w:color w:val="1F2937"/>
          <w:sz w:val="21"/>
          <w:szCs w:val="21"/>
        </w:rPr>
        <w:t xml:space="preserve">OIG found that more than 90% of acute stroke codes were not supported by medical records and typically should have been reported using a 'history of' code (Z86.73), which is non-risk-adjusting. Acute stroke codes on outpatient claims without a corresponding inpatient admission are the primary automated audit trigger.</w:t>
      </w:r>
      <w:r>
        <w:rPr>
          <w:rFonts w:ascii="Arial" w:cs="Arial" w:eastAsia="Arial" w:hAnsi="Arial"/>
          <w:color w:val="4B5563"/>
          <w:sz w:val="17"/>
          <w:szCs w:val="17"/>
          <w:vertAlign w:val="superscript"/>
        </w:rPr>
        <w:t xml:space="preserve"> [1,2,3]</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500"/>
        <w:gridCol w:w="800"/>
        <w:gridCol w:w="2200"/>
        <w:gridCol w:w="1460"/>
      </w:tblGrid>
      <w:tr>
        <w:trPr>
          <w:tblHeader/>
        </w:trPr>
        <w:tc>
          <w:tcPr>
            <w:tcW w:type="dxa" w:w="12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ICD-10-CM Code</w:t>
            </w:r>
          </w:p>
        </w:tc>
        <w:tc>
          <w:tcPr>
            <w:tcW w:type="dxa" w:w="22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Description / Diagnosis</w:t>
            </w:r>
          </w:p>
        </w:tc>
        <w:tc>
          <w:tcPr>
            <w:tcW w:type="dxa" w:w="15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CMS-HCC V28</w:t>
            </w:r>
          </w:p>
        </w:tc>
        <w:tc>
          <w:tcPr>
            <w:tcW w:type="dxa" w:w="8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OIG Flag</w:t>
            </w:r>
          </w:p>
        </w:tc>
        <w:tc>
          <w:tcPr>
            <w:tcW w:type="dxa" w:w="22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CVA Automation Trigger</w:t>
            </w:r>
          </w:p>
        </w:tc>
        <w:tc>
          <w:tcPr>
            <w:tcW w:type="dxa" w:w="146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Citation</w:t>
            </w:r>
          </w:p>
        </w:tc>
      </w:tr>
      <w:tr>
        <w:tc>
          <w:tcPr>
            <w:tcW w:type="dxa" w:w="1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19"/>
                <w:szCs w:val="19"/>
              </w:rPr>
              <w:t xml:space="preserve">I63.9</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Cerebral infarction, unspecified — HIGHEST VOLUME miscoded stroke code</w:t>
            </w:r>
          </w:p>
        </w:tc>
        <w:tc>
          <w:tcPr>
            <w:tcW w:type="dxa" w:w="15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99 — Cerebrovascular Disease</w:t>
            </w:r>
          </w:p>
        </w:tc>
        <w:tc>
          <w:tcPr>
            <w:tcW w:type="dxa" w:w="800"/>
            <w:tcBorders>
              <w:top w:val="single" w:color="D1D5DB" w:sz="4"/>
              <w:left w:val="none" w:color="FFFFFF" w:sz="0"/>
              <w:bottom w:val="single" w:color="D1D5DB" w:sz="4"/>
              <w:right w:val="none" w:color="FFFFFF" w:sz="0"/>
            </w:tcBorders>
            <w:shd w:fill="FEE2E2" w:val="clear"/>
            <w:tcMar>
              <w:top w:type="dxa" w:w="70"/>
              <w:left w:type="dxa" w:w="120"/>
              <w:bottom w:type="dxa" w:w="70"/>
              <w:right w:type="dxa" w:w="80"/>
            </w:tcMar>
          </w:tcPr>
          <w:p>
            <w:r>
              <w:rPr>
                <w:rFonts w:ascii="Arial" w:cs="Arial" w:eastAsia="Arial" w:hAnsi="Arial"/>
                <w:b/>
                <w:bCs/>
                <w:color w:val="991B1B"/>
                <w:sz w:val="18"/>
                <w:szCs w:val="18"/>
              </w:rPr>
              <w:t xml:space="preserve">CRITICAL</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No inpatient MS-DRG 61–63 within ±30 days + no imaging claim (CT/MRI) on same date</w:t>
            </w:r>
          </w:p>
        </w:tc>
        <w:tc>
          <w:tcPr>
            <w:tcW w:type="dxa" w:w="146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007A8C"/>
                <w:sz w:val="18"/>
                <w:szCs w:val="18"/>
              </w:rPr>
              <w:t xml:space="preserve">OIG Toolkit Dec 2023; CCO CDI Guide Apr 2026 [1,3]</w:t>
            </w:r>
          </w:p>
        </w:tc>
      </w:tr>
      <w:tr>
        <w:tc>
          <w:tcPr>
            <w:tcW w:type="dxa" w:w="1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19"/>
                <w:szCs w:val="19"/>
              </w:rPr>
              <w:t xml:space="preserve">I63.00–I63.49</w:t>
            </w:r>
          </w:p>
        </w:tc>
        <w:tc>
          <w:tcPr>
            <w:tcW w:type="dxa" w:w="2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Cerebral infarction by etiology and laterality (thrombotic, embolic — all require imaging confirmation)</w:t>
            </w:r>
          </w:p>
        </w:tc>
        <w:tc>
          <w:tcPr>
            <w:tcW w:type="dxa" w:w="15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HCC 99 — Cerebrovascular Disease</w:t>
            </w:r>
          </w:p>
        </w:tc>
        <w:tc>
          <w:tcPr>
            <w:tcW w:type="dxa" w:w="800"/>
            <w:tcBorders>
              <w:top w:val="single" w:color="D1D5DB" w:sz="4"/>
              <w:left w:val="none" w:color="FFFFFF" w:sz="0"/>
              <w:bottom w:val="single" w:color="D1D5DB" w:sz="4"/>
              <w:right w:val="none" w:color="FFFFFF" w:sz="0"/>
            </w:tcBorders>
            <w:shd w:fill="FEE2E2" w:val="clear"/>
            <w:tcMar>
              <w:top w:type="dxa" w:w="70"/>
              <w:left w:type="dxa" w:w="120"/>
              <w:bottom w:type="dxa" w:w="70"/>
              <w:right w:type="dxa" w:w="80"/>
            </w:tcMar>
          </w:tcPr>
          <w:p>
            <w:r>
              <w:rPr>
                <w:rFonts w:ascii="Arial" w:cs="Arial" w:eastAsia="Arial" w:hAnsi="Arial"/>
                <w:b/>
                <w:bCs/>
                <w:color w:val="991B1B"/>
                <w:sz w:val="18"/>
                <w:szCs w:val="18"/>
              </w:rPr>
              <w:t xml:space="preserve">CRITICAL</w:t>
            </w:r>
          </w:p>
        </w:tc>
        <w:tc>
          <w:tcPr>
            <w:tcW w:type="dxa" w:w="2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Laterality required in V28. Embolism: no anticoagulant Rx within 60 days = flag</w:t>
            </w:r>
          </w:p>
        </w:tc>
        <w:tc>
          <w:tcPr>
            <w:tcW w:type="dxa" w:w="146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007A8C"/>
                <w:sz w:val="18"/>
                <w:szCs w:val="18"/>
              </w:rPr>
              <w:t xml:space="preserve">OIG Toolkit Dec 2023; CMS FY2026 Coding Guidelines [1,2]</w:t>
            </w:r>
          </w:p>
        </w:tc>
      </w:tr>
      <w:tr>
        <w:tc>
          <w:tcPr>
            <w:tcW w:type="dxa" w:w="1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19"/>
                <w:szCs w:val="19"/>
              </w:rPr>
              <w:t xml:space="preserve">Z86.73</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Personal history of TIA/stroke — CORRECT ALTERNATE (non-risk-adjusting)</w:t>
            </w:r>
          </w:p>
        </w:tc>
        <w:tc>
          <w:tcPr>
            <w:tcW w:type="dxa" w:w="15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No HCC</w:t>
            </w:r>
          </w:p>
        </w:tc>
        <w:tc>
          <w:tcPr>
            <w:tcW w:type="dxa" w:w="8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bCs/>
                <w:color w:val="4B5563"/>
                <w:sz w:val="18"/>
                <w:szCs w:val="18"/>
              </w:rPr>
              <w:t xml:space="preserve">—</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Use when patient had stroke in a prior year with no current acute event</w:t>
            </w:r>
          </w:p>
        </w:tc>
        <w:tc>
          <w:tcPr>
            <w:tcW w:type="dxa" w:w="146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007A8C"/>
                <w:sz w:val="18"/>
                <w:szCs w:val="18"/>
              </w:rPr>
              <w:t xml:space="preserve">ICD-10-CM Official Guidelines FY2026 [2]</w:t>
            </w:r>
          </w:p>
        </w:tc>
      </w:tr>
      <w:tr>
        <w:tc>
          <w:tcPr>
            <w:tcW w:type="dxa" w:w="1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19"/>
                <w:szCs w:val="19"/>
              </w:rPr>
              <w:t xml:space="preserve">I69.30–I69.398</w:t>
            </w:r>
          </w:p>
        </w:tc>
        <w:tc>
          <w:tcPr>
            <w:tcW w:type="dxa" w:w="2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Sequelae of cerebral infarction — CORRECT for ongoing neurological deficits</w:t>
            </w:r>
          </w:p>
        </w:tc>
        <w:tc>
          <w:tcPr>
            <w:tcW w:type="dxa" w:w="15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No HCC — Non-risk-adjusting</w:t>
            </w:r>
          </w:p>
        </w:tc>
        <w:tc>
          <w:tcPr>
            <w:tcW w:type="dxa" w:w="8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bCs/>
                <w:color w:val="4B5563"/>
                <w:sz w:val="18"/>
                <w:szCs w:val="18"/>
              </w:rPr>
              <w:t xml:space="preserve">—</w:t>
            </w:r>
          </w:p>
        </w:tc>
        <w:tc>
          <w:tcPr>
            <w:tcW w:type="dxa" w:w="2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Correct code for residual deficits from prior stroke. Does not generate risk-adjustment payment</w:t>
            </w:r>
          </w:p>
        </w:tc>
        <w:tc>
          <w:tcPr>
            <w:tcW w:type="dxa" w:w="146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007A8C"/>
                <w:sz w:val="18"/>
                <w:szCs w:val="18"/>
              </w:rPr>
              <w:t xml:space="preserve">CMS ICD-10-CM Official Guidelines [2]</w:t>
            </w:r>
          </w:p>
        </w:tc>
      </w:tr>
    </w:tbl>
    <w:p>
      <w:pPr>
        <w:spacing w:after="160" w:before="0"/>
      </w:pPr>
      <w:r>
        <w:t xml:space="preserve"/>
      </w:r>
    </w:p>
    <w:p>
      <w:pPr>
        <w:pBdr>
          <w:bottom w:val="single" w:color="007A8C" w:sz="4"/>
        </w:pBdr>
        <w:shd w:fill="991B1B" w:val="clear"/>
        <w:spacing w:after="60" w:before="200"/>
        <w:ind w:left="120"/>
      </w:pPr>
      <w:r>
        <w:rPr>
          <w:rFonts w:ascii="Arial" w:cs="Arial" w:eastAsia="Arial" w:hAnsi="Arial"/>
          <w:b/>
          <w:bCs/>
          <w:color w:val="FFFFFF"/>
          <w:sz w:val="20"/>
          <w:szCs w:val="20"/>
        </w:rPr>
        <w:t xml:space="preserve">CATEGORY 2 — ACUTE MYOCARDIAL INFARCTION   |   OIG Error Rate: &gt;90%   |   HCC 86</w:t>
      </w:r>
    </w:p>
    <w:p>
      <w:pPr>
        <w:spacing w:after="100" w:before="40"/>
      </w:pPr>
      <w:r>
        <w:rPr>
          <w:rFonts w:ascii="Arial" w:cs="Arial" w:eastAsia="Arial" w:hAnsi="Arial"/>
          <w:b/>
          <w:bCs/>
          <w:color w:val="991B1B"/>
          <w:sz w:val="21"/>
          <w:szCs w:val="21"/>
        </w:rPr>
        <w:t xml:space="preserve">Evidence: </w:t>
      </w:r>
      <w:r>
        <w:rPr>
          <w:rFonts w:ascii="Arial" w:cs="Arial" w:eastAsia="Arial" w:hAnsi="Arial"/>
          <w:color w:val="1F2937"/>
          <w:sz w:val="21"/>
          <w:szCs w:val="21"/>
        </w:rPr>
        <w:t xml:space="preserve">OIG flags acute MI codes on a physician or outpatient claim without a corresponding inpatient hospital claim within 60 days. An acute STEMI or NSTEMI requiring no hospital admission is clinically implausible. The most common error: physicians carrying forward a prior AMI code annually using an acute code instead of I25.2 (old MI).</w:t>
      </w:r>
      <w:r>
        <w:rPr>
          <w:rFonts w:ascii="Arial" w:cs="Arial" w:eastAsia="Arial" w:hAnsi="Arial"/>
          <w:color w:val="4B5563"/>
          <w:sz w:val="17"/>
          <w:szCs w:val="17"/>
          <w:vertAlign w:val="superscript"/>
        </w:rPr>
        <w:t xml:space="preserve"> [1,2]</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500"/>
        <w:gridCol w:w="800"/>
        <w:gridCol w:w="2200"/>
        <w:gridCol w:w="1460"/>
      </w:tblGrid>
      <w:tr>
        <w:trPr>
          <w:tblHeader/>
        </w:trPr>
        <w:tc>
          <w:tcPr>
            <w:tcW w:type="dxa" w:w="12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ICD-10-CM Code</w:t>
            </w:r>
          </w:p>
        </w:tc>
        <w:tc>
          <w:tcPr>
            <w:tcW w:type="dxa" w:w="22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Description / Diagnosis</w:t>
            </w:r>
          </w:p>
        </w:tc>
        <w:tc>
          <w:tcPr>
            <w:tcW w:type="dxa" w:w="15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CMS-HCC V28</w:t>
            </w:r>
          </w:p>
        </w:tc>
        <w:tc>
          <w:tcPr>
            <w:tcW w:type="dxa" w:w="8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OIG Flag</w:t>
            </w:r>
          </w:p>
        </w:tc>
        <w:tc>
          <w:tcPr>
            <w:tcW w:type="dxa" w:w="22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CVA Automation Trigger</w:t>
            </w:r>
          </w:p>
        </w:tc>
        <w:tc>
          <w:tcPr>
            <w:tcW w:type="dxa" w:w="146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Citation</w:t>
            </w:r>
          </w:p>
        </w:tc>
      </w:tr>
      <w:tr>
        <w:tc>
          <w:tcPr>
            <w:tcW w:type="dxa" w:w="1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19"/>
                <w:szCs w:val="19"/>
              </w:rPr>
              <w:t xml:space="preserve">I21.4</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NSTEMI — Non-ST elevation MI (highest-volume AMI code)</w:t>
            </w:r>
          </w:p>
        </w:tc>
        <w:tc>
          <w:tcPr>
            <w:tcW w:type="dxa" w:w="15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86 — Acute MI</w:t>
            </w:r>
          </w:p>
        </w:tc>
        <w:tc>
          <w:tcPr>
            <w:tcW w:type="dxa" w:w="800"/>
            <w:tcBorders>
              <w:top w:val="single" w:color="D1D5DB" w:sz="4"/>
              <w:left w:val="none" w:color="FFFFFF" w:sz="0"/>
              <w:bottom w:val="single" w:color="D1D5DB" w:sz="4"/>
              <w:right w:val="none" w:color="FFFFFF" w:sz="0"/>
            </w:tcBorders>
            <w:shd w:fill="FEE2E2" w:val="clear"/>
            <w:tcMar>
              <w:top w:type="dxa" w:w="70"/>
              <w:left w:type="dxa" w:w="120"/>
              <w:bottom w:type="dxa" w:w="70"/>
              <w:right w:type="dxa" w:w="80"/>
            </w:tcMar>
          </w:tcPr>
          <w:p>
            <w:r>
              <w:rPr>
                <w:rFonts w:ascii="Arial" w:cs="Arial" w:eastAsia="Arial" w:hAnsi="Arial"/>
                <w:b/>
                <w:bCs/>
                <w:color w:val="991B1B"/>
                <w:sz w:val="18"/>
                <w:szCs w:val="18"/>
              </w:rPr>
              <w:t xml:space="preserve">CRITICAL</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No inpatient DRG 280–282 within ±60 days; no troponin lab (CPT 84484) = flag</w:t>
            </w:r>
          </w:p>
        </w:tc>
        <w:tc>
          <w:tcPr>
            <w:tcW w:type="dxa" w:w="146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007A8C"/>
                <w:sz w:val="18"/>
                <w:szCs w:val="18"/>
              </w:rPr>
              <w:t xml:space="preserve">OIG Toolkit Dec 2023; WilmerHale Analysis Dec 2025 [1,4]</w:t>
            </w:r>
          </w:p>
        </w:tc>
      </w:tr>
      <w:tr>
        <w:tc>
          <w:tcPr>
            <w:tcW w:type="dxa" w:w="1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19"/>
                <w:szCs w:val="19"/>
              </w:rPr>
              <w:t xml:space="preserve">I21.01</w:t>
            </w:r>
          </w:p>
        </w:tc>
        <w:tc>
          <w:tcPr>
            <w:tcW w:type="dxa" w:w="2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STEMI of left anterior descending coronary artery</w:t>
            </w:r>
          </w:p>
        </w:tc>
        <w:tc>
          <w:tcPr>
            <w:tcW w:type="dxa" w:w="15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HCC 86 — Acute MI</w:t>
            </w:r>
          </w:p>
        </w:tc>
        <w:tc>
          <w:tcPr>
            <w:tcW w:type="dxa" w:w="800"/>
            <w:tcBorders>
              <w:top w:val="single" w:color="D1D5DB" w:sz="4"/>
              <w:left w:val="none" w:color="FFFFFF" w:sz="0"/>
              <w:bottom w:val="single" w:color="D1D5DB" w:sz="4"/>
              <w:right w:val="none" w:color="FFFFFF" w:sz="0"/>
            </w:tcBorders>
            <w:shd w:fill="FEE2E2" w:val="clear"/>
            <w:tcMar>
              <w:top w:type="dxa" w:w="70"/>
              <w:left w:type="dxa" w:w="120"/>
              <w:bottom w:type="dxa" w:w="70"/>
              <w:right w:type="dxa" w:w="80"/>
            </w:tcMar>
          </w:tcPr>
          <w:p>
            <w:r>
              <w:rPr>
                <w:rFonts w:ascii="Arial" w:cs="Arial" w:eastAsia="Arial" w:hAnsi="Arial"/>
                <w:b/>
                <w:bCs/>
                <w:color w:val="991B1B"/>
                <w:sz w:val="18"/>
                <w:szCs w:val="18"/>
              </w:rPr>
              <w:t xml:space="preserve">CRITICAL</w:t>
            </w:r>
          </w:p>
        </w:tc>
        <w:tc>
          <w:tcPr>
            <w:tcW w:type="dxa" w:w="2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STEMI without inpatient claim = clinically implausible. Flag all outpatient STEMI codes</w:t>
            </w:r>
          </w:p>
        </w:tc>
        <w:tc>
          <w:tcPr>
            <w:tcW w:type="dxa" w:w="146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007A8C"/>
                <w:sz w:val="18"/>
                <w:szCs w:val="18"/>
              </w:rPr>
              <w:t xml:space="preserve">OIG Humana Audit H2649 2024; Coding Intel Feb 2026 [2,5]</w:t>
            </w:r>
          </w:p>
        </w:tc>
      </w:tr>
      <w:tr>
        <w:tc>
          <w:tcPr>
            <w:tcW w:type="dxa" w:w="1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19"/>
                <w:szCs w:val="19"/>
              </w:rPr>
              <w:t xml:space="preserve">I21.3</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ST elevation MI of unspecified site — V28 documentation gap</w:t>
            </w:r>
          </w:p>
        </w:tc>
        <w:tc>
          <w:tcPr>
            <w:tcW w:type="dxa" w:w="15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86 — Acute MI</w:t>
            </w:r>
          </w:p>
        </w:tc>
        <w:tc>
          <w:tcPr>
            <w:tcW w:type="dxa" w:w="800"/>
            <w:tcBorders>
              <w:top w:val="single" w:color="D1D5DB" w:sz="4"/>
              <w:left w:val="none" w:color="FFFFFF" w:sz="0"/>
              <w:bottom w:val="single" w:color="D1D5DB" w:sz="4"/>
              <w:right w:val="none" w:color="FFFFFF" w:sz="0"/>
            </w:tcBorders>
            <w:shd w:fill="FEE2E2" w:val="clear"/>
            <w:tcMar>
              <w:top w:type="dxa" w:w="70"/>
              <w:left w:type="dxa" w:w="120"/>
              <w:bottom w:type="dxa" w:w="70"/>
              <w:right w:type="dxa" w:w="80"/>
            </w:tcMar>
          </w:tcPr>
          <w:p>
            <w:r>
              <w:rPr>
                <w:rFonts w:ascii="Arial" w:cs="Arial" w:eastAsia="Arial" w:hAnsi="Arial"/>
                <w:b/>
                <w:bCs/>
                <w:color w:val="991B1B"/>
                <w:sz w:val="18"/>
                <w:szCs w:val="18"/>
              </w:rPr>
              <w:t xml:space="preserve">CRITICAL</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Unspecified laterality penalized in V28. Flag all I21.3 for provider specificity query</w:t>
            </w:r>
          </w:p>
        </w:tc>
        <w:tc>
          <w:tcPr>
            <w:tcW w:type="dxa" w:w="146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007A8C"/>
                <w:sz w:val="18"/>
                <w:szCs w:val="18"/>
              </w:rPr>
              <w:t xml:space="preserve">CMS V28 Mapping; RaapidInc Mar 2026 [6]</w:t>
            </w:r>
          </w:p>
        </w:tc>
      </w:tr>
      <w:tr>
        <w:tc>
          <w:tcPr>
            <w:tcW w:type="dxa" w:w="1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19"/>
                <w:szCs w:val="19"/>
              </w:rPr>
              <w:t xml:space="preserve">I25.2</w:t>
            </w:r>
          </w:p>
        </w:tc>
        <w:tc>
          <w:tcPr>
            <w:tcW w:type="dxa" w:w="2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Old myocardial infarction — CORRECT ALTERNATE for stable prior AMI</w:t>
            </w:r>
          </w:p>
        </w:tc>
        <w:tc>
          <w:tcPr>
            <w:tcW w:type="dxa" w:w="15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HCC 87 — Unstable Angina/Other Acute</w:t>
            </w:r>
          </w:p>
        </w:tc>
        <w:tc>
          <w:tcPr>
            <w:tcW w:type="dxa" w:w="8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bCs/>
                <w:color w:val="4B5563"/>
                <w:sz w:val="18"/>
                <w:szCs w:val="18"/>
              </w:rPr>
              <w:t xml:space="preserve">—</w:t>
            </w:r>
          </w:p>
        </w:tc>
        <w:tc>
          <w:tcPr>
            <w:tcW w:type="dxa" w:w="2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Lower HCC weight. Use when patient had prior AMI and is currently stable</w:t>
            </w:r>
          </w:p>
        </w:tc>
        <w:tc>
          <w:tcPr>
            <w:tcW w:type="dxa" w:w="146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007A8C"/>
                <w:sz w:val="18"/>
                <w:szCs w:val="18"/>
              </w:rPr>
              <w:t xml:space="preserve">ICD-10-CM Official Guidelines FY2026 [2]</w:t>
            </w:r>
          </w:p>
        </w:tc>
      </w:tr>
    </w:tbl>
    <w:p>
      <w:pPr>
        <w:spacing w:after="160" w:before="0"/>
      </w:pPr>
      <w:r>
        <w:t xml:space="preserve"/>
      </w:r>
    </w:p>
    <w:p>
      <w:pPr>
        <w:pBdr>
          <w:bottom w:val="single" w:color="007A8C" w:sz="4"/>
        </w:pBdr>
        <w:shd w:fill="991B1B" w:val="clear"/>
        <w:spacing w:after="60" w:before="200"/>
        <w:ind w:left="120"/>
      </w:pPr>
      <w:r>
        <w:rPr>
          <w:rFonts w:ascii="Arial" w:cs="Arial" w:eastAsia="Arial" w:hAnsi="Arial"/>
          <w:b/>
          <w:bCs/>
          <w:color w:val="FFFFFF"/>
          <w:sz w:val="20"/>
          <w:szCs w:val="20"/>
        </w:rPr>
        <w:t xml:space="preserve">CATEGORY 3 — PULMONARY EMBOLISM &amp; DVT   |   OIG Flag: No anticoagulant = automatic flag   |   HCC 267</w:t>
      </w:r>
    </w:p>
    <w:p>
      <w:pPr>
        <w:spacing w:after="100" w:before="40"/>
      </w:pPr>
      <w:r>
        <w:rPr>
          <w:rFonts w:ascii="Arial" w:cs="Arial" w:eastAsia="Arial" w:hAnsi="Arial"/>
          <w:b/>
          <w:bCs/>
          <w:color w:val="991B1B"/>
          <w:sz w:val="21"/>
          <w:szCs w:val="21"/>
        </w:rPr>
        <w:t xml:space="preserve">Evidence: </w:t>
      </w:r>
      <w:r>
        <w:rPr>
          <w:rFonts w:ascii="Arial" w:cs="Arial" w:eastAsia="Arial" w:hAnsi="Arial"/>
          <w:color w:val="1F2937"/>
          <w:sz w:val="21"/>
          <w:szCs w:val="21"/>
        </w:rPr>
        <w:t xml:space="preserve">OIG flags embolism codes without evidence of anticoagulant medication in pharmacy claims. An active PE virtually always generates an anticoagulant prescription. Absence of anticoagulation is the primary automated crosswalk trigger — no chart review required.</w:t>
      </w:r>
      <w:r>
        <w:rPr>
          <w:rFonts w:ascii="Arial" w:cs="Arial" w:eastAsia="Arial" w:hAnsi="Arial"/>
          <w:color w:val="4B5563"/>
          <w:sz w:val="17"/>
          <w:szCs w:val="17"/>
          <w:vertAlign w:val="superscript"/>
        </w:rPr>
        <w:t xml:space="preserve"> [1,7]</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500"/>
        <w:gridCol w:w="800"/>
        <w:gridCol w:w="2200"/>
        <w:gridCol w:w="1460"/>
      </w:tblGrid>
      <w:tr>
        <w:trPr>
          <w:tblHeader/>
        </w:trPr>
        <w:tc>
          <w:tcPr>
            <w:tcW w:type="dxa" w:w="12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ICD-10-CM Code</w:t>
            </w:r>
          </w:p>
        </w:tc>
        <w:tc>
          <w:tcPr>
            <w:tcW w:type="dxa" w:w="22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Description / Diagnosis</w:t>
            </w:r>
          </w:p>
        </w:tc>
        <w:tc>
          <w:tcPr>
            <w:tcW w:type="dxa" w:w="15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CMS-HCC V28</w:t>
            </w:r>
          </w:p>
        </w:tc>
        <w:tc>
          <w:tcPr>
            <w:tcW w:type="dxa" w:w="8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OIG Flag</w:t>
            </w:r>
          </w:p>
        </w:tc>
        <w:tc>
          <w:tcPr>
            <w:tcW w:type="dxa" w:w="22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CVA Automation Trigger</w:t>
            </w:r>
          </w:p>
        </w:tc>
        <w:tc>
          <w:tcPr>
            <w:tcW w:type="dxa" w:w="146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Citation</w:t>
            </w:r>
          </w:p>
        </w:tc>
      </w:tr>
      <w:tr>
        <w:tc>
          <w:tcPr>
            <w:tcW w:type="dxa" w:w="1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19"/>
                <w:szCs w:val="19"/>
              </w:rPr>
              <w:t xml:space="preserve">I26.09</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Other pulmonary embolism without acute cor pulmonale (highest volume PE code)</w:t>
            </w:r>
          </w:p>
        </w:tc>
        <w:tc>
          <w:tcPr>
            <w:tcW w:type="dxa" w:w="15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267 — DVT/PE</w:t>
            </w:r>
          </w:p>
        </w:tc>
        <w:tc>
          <w:tcPr>
            <w:tcW w:type="dxa" w:w="800"/>
            <w:tcBorders>
              <w:top w:val="single" w:color="D1D5DB" w:sz="4"/>
              <w:left w:val="none" w:color="FFFFFF" w:sz="0"/>
              <w:bottom w:val="single" w:color="D1D5DB" w:sz="4"/>
              <w:right w:val="none" w:color="FFFFFF" w:sz="0"/>
            </w:tcBorders>
            <w:shd w:fill="FEE2E2" w:val="clear"/>
            <w:tcMar>
              <w:top w:type="dxa" w:w="70"/>
              <w:left w:type="dxa" w:w="120"/>
              <w:bottom w:type="dxa" w:w="70"/>
              <w:right w:type="dxa" w:w="80"/>
            </w:tcMar>
          </w:tcPr>
          <w:p>
            <w:r>
              <w:rPr>
                <w:rFonts w:ascii="Arial" w:cs="Arial" w:eastAsia="Arial" w:hAnsi="Arial"/>
                <w:b/>
                <w:bCs/>
                <w:color w:val="991B1B"/>
                <w:sz w:val="18"/>
                <w:szCs w:val="18"/>
              </w:rPr>
              <w:t xml:space="preserve">CRITICAL</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No apixaban/rivaroxaban/warfarin Rx within 60 days of diagnosis = automated flag</w:t>
            </w:r>
          </w:p>
        </w:tc>
        <w:tc>
          <w:tcPr>
            <w:tcW w:type="dxa" w:w="146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007A8C"/>
                <w:sz w:val="18"/>
                <w:szCs w:val="18"/>
              </w:rPr>
              <w:t xml:space="preserve">OIG Toolkit Dec 2023; Patient Quality Alliance HCC Tip Sheet [1,7]</w:t>
            </w:r>
          </w:p>
        </w:tc>
      </w:tr>
      <w:tr>
        <w:tc>
          <w:tcPr>
            <w:tcW w:type="dxa" w:w="1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19"/>
                <w:szCs w:val="19"/>
              </w:rPr>
              <w:t xml:space="preserve">I26.01</w:t>
            </w:r>
          </w:p>
        </w:tc>
        <w:tc>
          <w:tcPr>
            <w:tcW w:type="dxa" w:w="2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Saddle embolus of pulmonary artery with acute cor pulmonale</w:t>
            </w:r>
          </w:p>
        </w:tc>
        <w:tc>
          <w:tcPr>
            <w:tcW w:type="dxa" w:w="15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HCC 267 — DVT/PE</w:t>
            </w:r>
          </w:p>
        </w:tc>
        <w:tc>
          <w:tcPr>
            <w:tcW w:type="dxa" w:w="800"/>
            <w:tcBorders>
              <w:top w:val="single" w:color="D1D5DB" w:sz="4"/>
              <w:left w:val="none" w:color="FFFFFF" w:sz="0"/>
              <w:bottom w:val="single" w:color="D1D5DB" w:sz="4"/>
              <w:right w:val="none" w:color="FFFFFF" w:sz="0"/>
            </w:tcBorders>
            <w:shd w:fill="FEE2E2" w:val="clear"/>
            <w:tcMar>
              <w:top w:type="dxa" w:w="70"/>
              <w:left w:type="dxa" w:w="120"/>
              <w:bottom w:type="dxa" w:w="70"/>
              <w:right w:type="dxa" w:w="80"/>
            </w:tcMar>
          </w:tcPr>
          <w:p>
            <w:r>
              <w:rPr>
                <w:rFonts w:ascii="Arial" w:cs="Arial" w:eastAsia="Arial" w:hAnsi="Arial"/>
                <w:b/>
                <w:bCs/>
                <w:color w:val="991B1B"/>
                <w:sz w:val="18"/>
                <w:szCs w:val="18"/>
              </w:rPr>
              <w:t xml:space="preserve">CRITICAL</w:t>
            </w:r>
          </w:p>
        </w:tc>
        <w:tc>
          <w:tcPr>
            <w:tcW w:type="dxa" w:w="2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Requires ICU inpatient claim + CT pulmonary angiography (CPT 71275)</w:t>
            </w:r>
          </w:p>
        </w:tc>
        <w:tc>
          <w:tcPr>
            <w:tcW w:type="dxa" w:w="146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007A8C"/>
                <w:sz w:val="18"/>
                <w:szCs w:val="18"/>
              </w:rPr>
              <w:t xml:space="preserve">OIG Toolkit Dec 2023 [1]</w:t>
            </w:r>
          </w:p>
        </w:tc>
      </w:tr>
      <w:tr>
        <w:tc>
          <w:tcPr>
            <w:tcW w:type="dxa" w:w="1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19"/>
                <w:szCs w:val="19"/>
              </w:rPr>
              <w:t xml:space="preserve">I82.401 / I82.402</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Acute DVT, right/left lower extremity (laterality required in V28)</w:t>
            </w:r>
          </w:p>
        </w:tc>
        <w:tc>
          <w:tcPr>
            <w:tcW w:type="dxa" w:w="15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267 — DVT/PE</w:t>
            </w:r>
          </w:p>
        </w:tc>
        <w:tc>
          <w:tcPr>
            <w:tcW w:type="dxa" w:w="800"/>
            <w:tcBorders>
              <w:top w:val="single" w:color="D1D5DB" w:sz="4"/>
              <w:left w:val="none" w:color="FFFFFF" w:sz="0"/>
              <w:bottom w:val="single" w:color="D1D5DB" w:sz="4"/>
              <w:right w:val="none" w:color="FFFFFF" w:sz="0"/>
            </w:tcBorders>
            <w:shd w:fill="FEF3C7" w:val="clear"/>
            <w:tcMar>
              <w:top w:type="dxa" w:w="70"/>
              <w:left w:type="dxa" w:w="120"/>
              <w:bottom w:type="dxa" w:w="70"/>
              <w:right w:type="dxa" w:w="80"/>
            </w:tcMar>
          </w:tcPr>
          <w:p>
            <w:r>
              <w:rPr>
                <w:rFonts w:ascii="Arial" w:cs="Arial" w:eastAsia="Arial" w:hAnsi="Arial"/>
                <w:b/>
                <w:bCs/>
                <w:color w:val="92400E"/>
                <w:sz w:val="18"/>
                <w:szCs w:val="18"/>
              </w:rPr>
              <w:t xml:space="preserve">HIGH</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DVT ultrasound (CPT 93971) + anticoagulant Rx; no Rx = flag</w:t>
            </w:r>
          </w:p>
        </w:tc>
        <w:tc>
          <w:tcPr>
            <w:tcW w:type="dxa" w:w="146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007A8C"/>
                <w:sz w:val="18"/>
                <w:szCs w:val="18"/>
              </w:rPr>
              <w:t xml:space="preserve">OIG Toolkit Dec 2023; HCC V28 Tip Sheet [1,7]</w:t>
            </w:r>
          </w:p>
        </w:tc>
      </w:tr>
      <w:tr>
        <w:tc>
          <w:tcPr>
            <w:tcW w:type="dxa" w:w="1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19"/>
                <w:szCs w:val="19"/>
              </w:rPr>
              <w:t xml:space="preserve">Z87.39</w:t>
            </w:r>
          </w:p>
        </w:tc>
        <w:tc>
          <w:tcPr>
            <w:tcW w:type="dxa" w:w="2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Personal history of PE/DVT — CORRECT when anticoagulation is completed</w:t>
            </w:r>
          </w:p>
        </w:tc>
        <w:tc>
          <w:tcPr>
            <w:tcW w:type="dxa" w:w="15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No HCC</w:t>
            </w:r>
          </w:p>
        </w:tc>
        <w:tc>
          <w:tcPr>
            <w:tcW w:type="dxa" w:w="8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bCs/>
                <w:color w:val="4B5563"/>
                <w:sz w:val="18"/>
                <w:szCs w:val="18"/>
              </w:rPr>
              <w:t xml:space="preserve">—</w:t>
            </w:r>
          </w:p>
        </w:tc>
        <w:tc>
          <w:tcPr>
            <w:tcW w:type="dxa" w:w="2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Resolved PE/DVT with completed anticoagulation course. Non-risk-adjusting</w:t>
            </w:r>
          </w:p>
        </w:tc>
        <w:tc>
          <w:tcPr>
            <w:tcW w:type="dxa" w:w="146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007A8C"/>
                <w:sz w:val="18"/>
                <w:szCs w:val="18"/>
              </w:rPr>
              <w:t xml:space="preserve">ICD-10-CM Official Guidelines FY2026 [2]</w:t>
            </w:r>
          </w:p>
        </w:tc>
      </w:tr>
    </w:tbl>
    <w:p>
      <w:pPr>
        <w:spacing w:after="160" w:before="0"/>
      </w:pPr>
      <w:r>
        <w:t xml:space="preserve"/>
      </w:r>
    </w:p>
    <w:p>
      <w:pPr>
        <w:pBdr>
          <w:bottom w:val="single" w:color="007A8C" w:sz="4"/>
        </w:pBdr>
        <w:shd w:fill="991B1B" w:val="clear"/>
        <w:spacing w:after="60" w:before="200"/>
        <w:ind w:left="120"/>
      </w:pPr>
      <w:r>
        <w:rPr>
          <w:rFonts w:ascii="Arial" w:cs="Arial" w:eastAsia="Arial" w:hAnsi="Arial"/>
          <w:b/>
          <w:bCs/>
          <w:color w:val="FFFFFF"/>
          <w:sz w:val="20"/>
          <w:szCs w:val="20"/>
        </w:rPr>
        <w:t xml:space="preserve">CATEGORY 4 — ACTIVE MALIGNANT NEOPLASMS   |   OIG Error Rate: &gt;90%   |   HCC 9 &amp; 10</w:t>
      </w:r>
    </w:p>
    <w:p>
      <w:pPr>
        <w:spacing w:after="100" w:before="40"/>
      </w:pPr>
      <w:r>
        <w:rPr>
          <w:rFonts w:ascii="Arial" w:cs="Arial" w:eastAsia="Arial" w:hAnsi="Arial"/>
          <w:b/>
          <w:bCs/>
          <w:color w:val="991B1B"/>
          <w:sz w:val="21"/>
          <w:szCs w:val="21"/>
        </w:rPr>
        <w:t xml:space="preserve">Evidence: </w:t>
      </w:r>
      <w:r>
        <w:rPr>
          <w:rFonts w:ascii="Arial" w:cs="Arial" w:eastAsia="Arial" w:hAnsi="Arial"/>
          <w:color w:val="1F2937"/>
          <w:sz w:val="21"/>
          <w:szCs w:val="21"/>
        </w:rPr>
        <w:t xml:space="preserve">OIG flags active cancer codes without evidence of surgery, radiation, or chemotherapy within 6 months. There is no time cutoff — the determinant is whether the patient is actively being treated. OIG found prior colon cancer coded as active C18.x in 21 of 21 sampled cases reviewed.</w:t>
      </w:r>
      <w:r>
        <w:rPr>
          <w:rFonts w:ascii="Arial" w:cs="Arial" w:eastAsia="Arial" w:hAnsi="Arial"/>
          <w:color w:val="4B5563"/>
          <w:sz w:val="17"/>
          <w:szCs w:val="17"/>
          <w:vertAlign w:val="superscript"/>
        </w:rPr>
        <w:t xml:space="preserve"> [1,2,8]</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500"/>
        <w:gridCol w:w="800"/>
        <w:gridCol w:w="2200"/>
        <w:gridCol w:w="1460"/>
      </w:tblGrid>
      <w:tr>
        <w:trPr>
          <w:tblHeader/>
        </w:trPr>
        <w:tc>
          <w:tcPr>
            <w:tcW w:type="dxa" w:w="12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ICD-10-CM Code</w:t>
            </w:r>
          </w:p>
        </w:tc>
        <w:tc>
          <w:tcPr>
            <w:tcW w:type="dxa" w:w="22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Description / Diagnosis</w:t>
            </w:r>
          </w:p>
        </w:tc>
        <w:tc>
          <w:tcPr>
            <w:tcW w:type="dxa" w:w="15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CMS-HCC V28</w:t>
            </w:r>
          </w:p>
        </w:tc>
        <w:tc>
          <w:tcPr>
            <w:tcW w:type="dxa" w:w="8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OIG Flag</w:t>
            </w:r>
          </w:p>
        </w:tc>
        <w:tc>
          <w:tcPr>
            <w:tcW w:type="dxa" w:w="22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CVA Automation Trigger</w:t>
            </w:r>
          </w:p>
        </w:tc>
        <w:tc>
          <w:tcPr>
            <w:tcW w:type="dxa" w:w="146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Citation</w:t>
            </w:r>
          </w:p>
        </w:tc>
      </w:tr>
      <w:tr>
        <w:tc>
          <w:tcPr>
            <w:tcW w:type="dxa" w:w="1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19"/>
                <w:szCs w:val="19"/>
              </w:rPr>
              <w:t xml:space="preserve">C34.10–C34.12</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Malignant neoplasm of upper lobe, lung (laterality required)</w:t>
            </w:r>
          </w:p>
        </w:tc>
        <w:tc>
          <w:tcPr>
            <w:tcW w:type="dxa" w:w="15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9 — Lung/Other Cancers</w:t>
            </w:r>
          </w:p>
        </w:tc>
        <w:tc>
          <w:tcPr>
            <w:tcW w:type="dxa" w:w="800"/>
            <w:tcBorders>
              <w:top w:val="single" w:color="D1D5DB" w:sz="4"/>
              <w:left w:val="none" w:color="FFFFFF" w:sz="0"/>
              <w:bottom w:val="single" w:color="D1D5DB" w:sz="4"/>
              <w:right w:val="none" w:color="FFFFFF" w:sz="0"/>
            </w:tcBorders>
            <w:shd w:fill="FEE2E2" w:val="clear"/>
            <w:tcMar>
              <w:top w:type="dxa" w:w="70"/>
              <w:left w:type="dxa" w:w="120"/>
              <w:bottom w:type="dxa" w:w="70"/>
              <w:right w:type="dxa" w:w="80"/>
            </w:tcMar>
          </w:tcPr>
          <w:p>
            <w:r>
              <w:rPr>
                <w:rFonts w:ascii="Arial" w:cs="Arial" w:eastAsia="Arial" w:hAnsi="Arial"/>
                <w:b/>
                <w:bCs/>
                <w:color w:val="991B1B"/>
                <w:sz w:val="18"/>
                <w:szCs w:val="18"/>
              </w:rPr>
              <w:t xml:space="preserve">CRITICAL</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No chemo (CPT 96401–96549), radiation (CPT 77xxx), or surgery within 180 days = flag</w:t>
            </w:r>
          </w:p>
        </w:tc>
        <w:tc>
          <w:tcPr>
            <w:tcW w:type="dxa" w:w="146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007A8C"/>
                <w:sz w:val="18"/>
                <w:szCs w:val="18"/>
              </w:rPr>
              <w:t xml:space="preserve">OIG Toolkit Dec 2023; RISE Health Audit Roundup Jan 2025 [1,9]</w:t>
            </w:r>
          </w:p>
        </w:tc>
      </w:tr>
      <w:tr>
        <w:tc>
          <w:tcPr>
            <w:tcW w:type="dxa" w:w="1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19"/>
                <w:szCs w:val="19"/>
              </w:rPr>
              <w:t xml:space="preserve">C50.911 / C50.912</w:t>
            </w:r>
          </w:p>
        </w:tc>
        <w:tc>
          <w:tcPr>
            <w:tcW w:type="dxa" w:w="2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Malignant neoplasm, right/left female breast (laterality required)</w:t>
            </w:r>
          </w:p>
        </w:tc>
        <w:tc>
          <w:tcPr>
            <w:tcW w:type="dxa" w:w="15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HCC 10 — Breast/Prostate/Colorectal</w:t>
            </w:r>
          </w:p>
        </w:tc>
        <w:tc>
          <w:tcPr>
            <w:tcW w:type="dxa" w:w="800"/>
            <w:tcBorders>
              <w:top w:val="single" w:color="D1D5DB" w:sz="4"/>
              <w:left w:val="none" w:color="FFFFFF" w:sz="0"/>
              <w:bottom w:val="single" w:color="D1D5DB" w:sz="4"/>
              <w:right w:val="none" w:color="FFFFFF" w:sz="0"/>
            </w:tcBorders>
            <w:shd w:fill="FEE2E2" w:val="clear"/>
            <w:tcMar>
              <w:top w:type="dxa" w:w="70"/>
              <w:left w:type="dxa" w:w="120"/>
              <w:bottom w:type="dxa" w:w="70"/>
              <w:right w:type="dxa" w:w="80"/>
            </w:tcMar>
          </w:tcPr>
          <w:p>
            <w:r>
              <w:rPr>
                <w:rFonts w:ascii="Arial" w:cs="Arial" w:eastAsia="Arial" w:hAnsi="Arial"/>
                <w:b/>
                <w:bCs/>
                <w:color w:val="991B1B"/>
                <w:sz w:val="18"/>
                <w:szCs w:val="18"/>
              </w:rPr>
              <w:t xml:space="preserve">CRITICAL</w:t>
            </w:r>
          </w:p>
        </w:tc>
        <w:tc>
          <w:tcPr>
            <w:tcW w:type="dxa" w:w="2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Tamoxifen/aromatase inhibitor (adjuvant) counts as active treatment; no Rx = Z85.3</w:t>
            </w:r>
          </w:p>
        </w:tc>
        <w:tc>
          <w:tcPr>
            <w:tcW w:type="dxa" w:w="146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007A8C"/>
                <w:sz w:val="18"/>
                <w:szCs w:val="18"/>
              </w:rPr>
              <w:t xml:space="preserve">OIG Toolkit Dec 2023 [1]</w:t>
            </w:r>
          </w:p>
        </w:tc>
      </w:tr>
      <w:tr>
        <w:tc>
          <w:tcPr>
            <w:tcW w:type="dxa" w:w="1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19"/>
                <w:szCs w:val="19"/>
              </w:rPr>
              <w:t xml:space="preserve">C18.2–C18.9</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Malignant neoplasm of colon (site-specific subcodes required)</w:t>
            </w:r>
          </w:p>
        </w:tc>
        <w:tc>
          <w:tcPr>
            <w:tcW w:type="dxa" w:w="15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10 — Breast/Prostate/Colorectal</w:t>
            </w:r>
          </w:p>
        </w:tc>
        <w:tc>
          <w:tcPr>
            <w:tcW w:type="dxa" w:w="800"/>
            <w:tcBorders>
              <w:top w:val="single" w:color="D1D5DB" w:sz="4"/>
              <w:left w:val="none" w:color="FFFFFF" w:sz="0"/>
              <w:bottom w:val="single" w:color="D1D5DB" w:sz="4"/>
              <w:right w:val="none" w:color="FFFFFF" w:sz="0"/>
            </w:tcBorders>
            <w:shd w:fill="FEE2E2" w:val="clear"/>
            <w:tcMar>
              <w:top w:type="dxa" w:w="70"/>
              <w:left w:type="dxa" w:w="120"/>
              <w:bottom w:type="dxa" w:w="70"/>
              <w:right w:type="dxa" w:w="80"/>
            </w:tcMar>
          </w:tcPr>
          <w:p>
            <w:r>
              <w:rPr>
                <w:rFonts w:ascii="Arial" w:cs="Arial" w:eastAsia="Arial" w:hAnsi="Arial"/>
                <w:b/>
                <w:bCs/>
                <w:color w:val="991B1B"/>
                <w:sz w:val="18"/>
                <w:szCs w:val="18"/>
              </w:rPr>
              <w:t xml:space="preserve">CRITICAL</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Surveillance colonoscopy does NOT equal active cancer. No FOLFOX/surgery = Z85.038</w:t>
            </w:r>
          </w:p>
        </w:tc>
        <w:tc>
          <w:tcPr>
            <w:tcW w:type="dxa" w:w="146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007A8C"/>
                <w:sz w:val="18"/>
                <w:szCs w:val="18"/>
              </w:rPr>
              <w:t xml:space="preserve">OIG Specific Finding: Coding Intel Feb 2026 [8]</w:t>
            </w:r>
          </w:p>
        </w:tc>
      </w:tr>
      <w:tr>
        <w:tc>
          <w:tcPr>
            <w:tcW w:type="dxa" w:w="1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19"/>
                <w:szCs w:val="19"/>
              </w:rPr>
              <w:t xml:space="preserve">C61</w:t>
            </w:r>
          </w:p>
        </w:tc>
        <w:tc>
          <w:tcPr>
            <w:tcW w:type="dxa" w:w="2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Malignant neoplasm of prostate</w:t>
            </w:r>
          </w:p>
        </w:tc>
        <w:tc>
          <w:tcPr>
            <w:tcW w:type="dxa" w:w="15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HCC 10 — Breast/Prostate/Colorectal</w:t>
            </w:r>
          </w:p>
        </w:tc>
        <w:tc>
          <w:tcPr>
            <w:tcW w:type="dxa" w:w="800"/>
            <w:tcBorders>
              <w:top w:val="single" w:color="D1D5DB" w:sz="4"/>
              <w:left w:val="none" w:color="FFFFFF" w:sz="0"/>
              <w:bottom w:val="single" w:color="D1D5DB" w:sz="4"/>
              <w:right w:val="none" w:color="FFFFFF" w:sz="0"/>
            </w:tcBorders>
            <w:shd w:fill="FEE2E2" w:val="clear"/>
            <w:tcMar>
              <w:top w:type="dxa" w:w="70"/>
              <w:left w:type="dxa" w:w="120"/>
              <w:bottom w:type="dxa" w:w="70"/>
              <w:right w:type="dxa" w:w="80"/>
            </w:tcMar>
          </w:tcPr>
          <w:p>
            <w:r>
              <w:rPr>
                <w:rFonts w:ascii="Arial" w:cs="Arial" w:eastAsia="Arial" w:hAnsi="Arial"/>
                <w:b/>
                <w:bCs/>
                <w:color w:val="991B1B"/>
                <w:sz w:val="18"/>
                <w:szCs w:val="18"/>
              </w:rPr>
              <w:t xml:space="preserve">CRITICAL</w:t>
            </w:r>
          </w:p>
        </w:tc>
        <w:tc>
          <w:tcPr>
            <w:tcW w:type="dxa" w:w="2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ADT/chemo/radiation required. PSA monitoring alone = Z85.46 (history of prostate CA)</w:t>
            </w:r>
          </w:p>
        </w:tc>
        <w:tc>
          <w:tcPr>
            <w:tcW w:type="dxa" w:w="146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007A8C"/>
                <w:sz w:val="18"/>
                <w:szCs w:val="18"/>
              </w:rPr>
              <w:t xml:space="preserve">OIG Toolkit Dec 2023; RISE Health 2025 [1,9]</w:t>
            </w:r>
          </w:p>
        </w:tc>
      </w:tr>
      <w:tr>
        <w:tc>
          <w:tcPr>
            <w:tcW w:type="dxa" w:w="1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19"/>
                <w:szCs w:val="19"/>
              </w:rPr>
              <w:t xml:space="preserve">C56.1 / C56.2</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Malignant neoplasm of right/left ovary (laterality required)</w:t>
            </w:r>
          </w:p>
        </w:tc>
        <w:tc>
          <w:tcPr>
            <w:tcW w:type="dxa" w:w="15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9 — Lung/Other Cancers</w:t>
            </w:r>
          </w:p>
        </w:tc>
        <w:tc>
          <w:tcPr>
            <w:tcW w:type="dxa" w:w="800"/>
            <w:tcBorders>
              <w:top w:val="single" w:color="D1D5DB" w:sz="4"/>
              <w:left w:val="none" w:color="FFFFFF" w:sz="0"/>
              <w:bottom w:val="single" w:color="D1D5DB" w:sz="4"/>
              <w:right w:val="none" w:color="FFFFFF" w:sz="0"/>
            </w:tcBorders>
            <w:shd w:fill="FEE2E2" w:val="clear"/>
            <w:tcMar>
              <w:top w:type="dxa" w:w="70"/>
              <w:left w:type="dxa" w:w="120"/>
              <w:bottom w:type="dxa" w:w="70"/>
              <w:right w:type="dxa" w:w="80"/>
            </w:tcMar>
          </w:tcPr>
          <w:p>
            <w:r>
              <w:rPr>
                <w:rFonts w:ascii="Arial" w:cs="Arial" w:eastAsia="Arial" w:hAnsi="Arial"/>
                <w:b/>
                <w:bCs/>
                <w:color w:val="991B1B"/>
                <w:sz w:val="18"/>
                <w:szCs w:val="18"/>
              </w:rPr>
              <w:t xml:space="preserve">CRITICAL</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Active chemo or surgical claim required; surgical menopause does not support active coding</w:t>
            </w:r>
          </w:p>
        </w:tc>
        <w:tc>
          <w:tcPr>
            <w:tcW w:type="dxa" w:w="146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007A8C"/>
                <w:sz w:val="18"/>
                <w:szCs w:val="18"/>
              </w:rPr>
              <w:t xml:space="preserve">OIG Toolkit Dec 2023 [1]</w:t>
            </w:r>
          </w:p>
        </w:tc>
      </w:tr>
      <w:tr>
        <w:tc>
          <w:tcPr>
            <w:tcW w:type="dxa" w:w="1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19"/>
                <w:szCs w:val="19"/>
              </w:rPr>
              <w:t xml:space="preserve">Z85.038 / Z85.3 / Z85.46</w:t>
            </w:r>
          </w:p>
        </w:tc>
        <w:tc>
          <w:tcPr>
            <w:tcW w:type="dxa" w:w="2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History of colon/breast/prostate cancer — CORRECT ALTERNATE</w:t>
            </w:r>
          </w:p>
        </w:tc>
        <w:tc>
          <w:tcPr>
            <w:tcW w:type="dxa" w:w="15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No HCC — Non-risk-adjusting</w:t>
            </w:r>
          </w:p>
        </w:tc>
        <w:tc>
          <w:tcPr>
            <w:tcW w:type="dxa" w:w="8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bCs/>
                <w:color w:val="4B5563"/>
                <w:sz w:val="18"/>
                <w:szCs w:val="18"/>
              </w:rPr>
              <w:t xml:space="preserve">—</w:t>
            </w:r>
          </w:p>
        </w:tc>
        <w:tc>
          <w:tcPr>
            <w:tcW w:type="dxa" w:w="2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Use when treatment is complete and no evidence of disease remains</w:t>
            </w:r>
          </w:p>
        </w:tc>
        <w:tc>
          <w:tcPr>
            <w:tcW w:type="dxa" w:w="146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007A8C"/>
                <w:sz w:val="18"/>
                <w:szCs w:val="18"/>
              </w:rPr>
              <w:t xml:space="preserve">Coding Intel Feb 2026 [8]</w:t>
            </w:r>
          </w:p>
        </w:tc>
      </w:tr>
    </w:tbl>
    <w:p>
      <w:pPr>
        <w:spacing w:after="160" w:before="0"/>
      </w:pPr>
      <w:r>
        <w:t xml:space="preserve"/>
      </w:r>
    </w:p>
    <w:p>
      <w:pPr>
        <w:pBdr>
          <w:bottom w:val="single" w:color="007A8C" w:sz="4"/>
        </w:pBdr>
        <w:shd w:fill="92400E" w:val="clear"/>
        <w:spacing w:after="60" w:before="200"/>
        <w:ind w:left="120"/>
      </w:pPr>
      <w:r>
        <w:rPr>
          <w:rFonts w:ascii="Arial" w:cs="Arial" w:eastAsia="Arial" w:hAnsi="Arial"/>
          <w:b/>
          <w:bCs/>
          <w:color w:val="FFFFFF"/>
          <w:sz w:val="20"/>
          <w:szCs w:val="20"/>
        </w:rPr>
        <w:t xml:space="preserve">CATEGORY 5 — MAJOR DEPRESSIVE DISORDER   |   OIG Targeted Audit Finding   |   HCC 155</w:t>
      </w:r>
    </w:p>
    <w:p>
      <w:pPr>
        <w:spacing w:after="100" w:before="40"/>
      </w:pPr>
      <w:r>
        <w:rPr>
          <w:rFonts w:ascii="Arial" w:cs="Arial" w:eastAsia="Arial" w:hAnsi="Arial"/>
          <w:b/>
          <w:bCs/>
          <w:color w:val="92400E"/>
          <w:sz w:val="21"/>
          <w:szCs w:val="21"/>
        </w:rPr>
        <w:t xml:space="preserve">Evidence: </w:t>
      </w:r>
      <w:r>
        <w:rPr>
          <w:rFonts w:ascii="Arial" w:cs="Arial" w:eastAsia="Arial" w:hAnsi="Arial"/>
          <w:color w:val="1F2937"/>
          <w:sz w:val="21"/>
          <w:szCs w:val="21"/>
        </w:rPr>
        <w:t xml:space="preserve">OIG specifically audited MDD in MA compliance audits across multiple plans (Geisinger, Triple-S) and found high non-compliance rates. Primary issues: upcoding from moderate to severe/with psychosis without documented clinical basis; FY 2026 added new severity descriptors to F32–F33 which providers frequently misapply.</w:t>
      </w:r>
      <w:r>
        <w:rPr>
          <w:rFonts w:ascii="Arial" w:cs="Arial" w:eastAsia="Arial" w:hAnsi="Arial"/>
          <w:color w:val="4B5563"/>
          <w:sz w:val="17"/>
          <w:szCs w:val="17"/>
          <w:vertAlign w:val="superscript"/>
        </w:rPr>
        <w:t xml:space="preserve"> [9,10]</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500"/>
        <w:gridCol w:w="800"/>
        <w:gridCol w:w="2200"/>
        <w:gridCol w:w="1460"/>
      </w:tblGrid>
      <w:tr>
        <w:trPr>
          <w:tblHeader/>
        </w:trPr>
        <w:tc>
          <w:tcPr>
            <w:tcW w:type="dxa" w:w="12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ICD-10-CM Code</w:t>
            </w:r>
          </w:p>
        </w:tc>
        <w:tc>
          <w:tcPr>
            <w:tcW w:type="dxa" w:w="22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Description / Diagnosis</w:t>
            </w:r>
          </w:p>
        </w:tc>
        <w:tc>
          <w:tcPr>
            <w:tcW w:type="dxa" w:w="15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CMS-HCC V28</w:t>
            </w:r>
          </w:p>
        </w:tc>
        <w:tc>
          <w:tcPr>
            <w:tcW w:type="dxa" w:w="8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OIG Flag</w:t>
            </w:r>
          </w:p>
        </w:tc>
        <w:tc>
          <w:tcPr>
            <w:tcW w:type="dxa" w:w="22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CVA Automation Trigger</w:t>
            </w:r>
          </w:p>
        </w:tc>
        <w:tc>
          <w:tcPr>
            <w:tcW w:type="dxa" w:w="146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Citation</w:t>
            </w:r>
          </w:p>
        </w:tc>
      </w:tr>
      <w:tr>
        <w:tc>
          <w:tcPr>
            <w:tcW w:type="dxa" w:w="1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19"/>
                <w:szCs w:val="19"/>
              </w:rPr>
              <w:t xml:space="preserve">F32.3 / F33.3</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MDD single/recurrent episode, severe WITH psychotic features (highest HCC weight)</w:t>
            </w:r>
          </w:p>
        </w:tc>
        <w:tc>
          <w:tcPr>
            <w:tcW w:type="dxa" w:w="15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155 — Major Depression</w:t>
            </w:r>
          </w:p>
        </w:tc>
        <w:tc>
          <w:tcPr>
            <w:tcW w:type="dxa" w:w="800"/>
            <w:tcBorders>
              <w:top w:val="single" w:color="D1D5DB" w:sz="4"/>
              <w:left w:val="none" w:color="FFFFFF" w:sz="0"/>
              <w:bottom w:val="single" w:color="D1D5DB" w:sz="4"/>
              <w:right w:val="none" w:color="FFFFFF" w:sz="0"/>
            </w:tcBorders>
            <w:shd w:fill="FEE2E2" w:val="clear"/>
            <w:tcMar>
              <w:top w:type="dxa" w:w="70"/>
              <w:left w:type="dxa" w:w="120"/>
              <w:bottom w:type="dxa" w:w="70"/>
              <w:right w:type="dxa" w:w="80"/>
            </w:tcMar>
          </w:tcPr>
          <w:p>
            <w:r>
              <w:rPr>
                <w:rFonts w:ascii="Arial" w:cs="Arial" w:eastAsia="Arial" w:hAnsi="Arial"/>
                <w:b/>
                <w:bCs/>
                <w:color w:val="991B1B"/>
                <w:sz w:val="18"/>
                <w:szCs w:val="18"/>
              </w:rPr>
              <w:t xml:space="preserve">CRITICAL</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No antipsychotic Rx + no documented psychosis (hallucinations/delusions) in physician note = flag</w:t>
            </w:r>
          </w:p>
        </w:tc>
        <w:tc>
          <w:tcPr>
            <w:tcW w:type="dxa" w:w="146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007A8C"/>
                <w:sz w:val="18"/>
                <w:szCs w:val="18"/>
              </w:rPr>
              <w:t xml:space="preserve">RISE Health Audit Roundup Jan 2025; UASI FY2026 Updates Dec 2025 [9,10]</w:t>
            </w:r>
          </w:p>
        </w:tc>
      </w:tr>
      <w:tr>
        <w:tc>
          <w:tcPr>
            <w:tcW w:type="dxa" w:w="1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19"/>
                <w:szCs w:val="19"/>
              </w:rPr>
              <w:t xml:space="preserve">F32.2 / F33.2</w:t>
            </w:r>
          </w:p>
        </w:tc>
        <w:tc>
          <w:tcPr>
            <w:tcW w:type="dxa" w:w="2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MDD single/recurrent episode, severe WITHOUT psychotic features</w:t>
            </w:r>
          </w:p>
        </w:tc>
        <w:tc>
          <w:tcPr>
            <w:tcW w:type="dxa" w:w="15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HCC 155 — Major Depression</w:t>
            </w:r>
          </w:p>
        </w:tc>
        <w:tc>
          <w:tcPr>
            <w:tcW w:type="dxa" w:w="800"/>
            <w:tcBorders>
              <w:top w:val="single" w:color="D1D5DB" w:sz="4"/>
              <w:left w:val="none" w:color="FFFFFF" w:sz="0"/>
              <w:bottom w:val="single" w:color="D1D5DB" w:sz="4"/>
              <w:right w:val="none" w:color="FFFFFF" w:sz="0"/>
            </w:tcBorders>
            <w:shd w:fill="FEF3C7" w:val="clear"/>
            <w:tcMar>
              <w:top w:type="dxa" w:w="70"/>
              <w:left w:type="dxa" w:w="120"/>
              <w:bottom w:type="dxa" w:w="70"/>
              <w:right w:type="dxa" w:w="80"/>
            </w:tcMar>
          </w:tcPr>
          <w:p>
            <w:r>
              <w:rPr>
                <w:rFonts w:ascii="Arial" w:cs="Arial" w:eastAsia="Arial" w:hAnsi="Arial"/>
                <w:b/>
                <w:bCs/>
                <w:color w:val="92400E"/>
                <w:sz w:val="18"/>
                <w:szCs w:val="18"/>
              </w:rPr>
              <w:t xml:space="preserve">HIGH</w:t>
            </w:r>
          </w:p>
        </w:tc>
        <w:tc>
          <w:tcPr>
            <w:tcW w:type="dxa" w:w="2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PHQ-9 score ≥ 15 required from current-year encounter. Flag upcode from F32.1 without documented severity change</w:t>
            </w:r>
          </w:p>
        </w:tc>
        <w:tc>
          <w:tcPr>
            <w:tcW w:type="dxa" w:w="146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007A8C"/>
                <w:sz w:val="18"/>
                <w:szCs w:val="18"/>
              </w:rPr>
              <w:t xml:space="preserve">Wolters Kluwer OIG Prep Feb 2024 [11]</w:t>
            </w:r>
          </w:p>
        </w:tc>
      </w:tr>
      <w:tr>
        <w:tc>
          <w:tcPr>
            <w:tcW w:type="dxa" w:w="1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19"/>
                <w:szCs w:val="19"/>
              </w:rPr>
              <w:t xml:space="preserve">F32.1 / F33.1</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MDD single/recurrent episode, moderate</w:t>
            </w:r>
          </w:p>
        </w:tc>
        <w:tc>
          <w:tcPr>
            <w:tcW w:type="dxa" w:w="15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155 — Major Depression</w:t>
            </w:r>
          </w:p>
        </w:tc>
        <w:tc>
          <w:tcPr>
            <w:tcW w:type="dxa" w:w="800"/>
            <w:tcBorders>
              <w:top w:val="single" w:color="D1D5DB" w:sz="4"/>
              <w:left w:val="none" w:color="FFFFFF" w:sz="0"/>
              <w:bottom w:val="single" w:color="D1D5DB" w:sz="4"/>
              <w:right w:val="none" w:color="FFFFFF" w:sz="0"/>
            </w:tcBorders>
            <w:shd w:fill="FEF3C7" w:val="clear"/>
            <w:tcMar>
              <w:top w:type="dxa" w:w="70"/>
              <w:left w:type="dxa" w:w="120"/>
              <w:bottom w:type="dxa" w:w="70"/>
              <w:right w:type="dxa" w:w="80"/>
            </w:tcMar>
          </w:tcPr>
          <w:p>
            <w:r>
              <w:rPr>
                <w:rFonts w:ascii="Arial" w:cs="Arial" w:eastAsia="Arial" w:hAnsi="Arial"/>
                <w:b/>
                <w:bCs/>
                <w:color w:val="92400E"/>
                <w:sz w:val="18"/>
                <w:szCs w:val="18"/>
              </w:rPr>
              <w:t xml:space="preserve">HIGH</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PHQ-9 score 10–14; no SSRI/SNRI Rx in pharmacy claims = flag</w:t>
            </w:r>
          </w:p>
        </w:tc>
        <w:tc>
          <w:tcPr>
            <w:tcW w:type="dxa" w:w="146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007A8C"/>
                <w:sz w:val="18"/>
                <w:szCs w:val="18"/>
              </w:rPr>
              <w:t xml:space="preserve">Wolters Kluwer Feb 2024 [11]</w:t>
            </w:r>
          </w:p>
        </w:tc>
      </w:tr>
      <w:tr>
        <w:tc>
          <w:tcPr>
            <w:tcW w:type="dxa" w:w="1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19"/>
                <w:szCs w:val="19"/>
              </w:rPr>
              <w:t xml:space="preserve">F32.0 / F33.0</w:t>
            </w:r>
          </w:p>
        </w:tc>
        <w:tc>
          <w:tcPr>
            <w:tcW w:type="dxa" w:w="2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MDD single/recurrent episode, mild (lowest HCC weight)</w:t>
            </w:r>
          </w:p>
        </w:tc>
        <w:tc>
          <w:tcPr>
            <w:tcW w:type="dxa" w:w="15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HCC 155 — Major Depression</w:t>
            </w:r>
          </w:p>
        </w:tc>
        <w:tc>
          <w:tcPr>
            <w:tcW w:type="dxa" w:w="800"/>
            <w:tcBorders>
              <w:top w:val="single" w:color="D1D5DB" w:sz="4"/>
              <w:left w:val="none" w:color="FFFFFF" w:sz="0"/>
              <w:bottom w:val="single" w:color="D1D5DB" w:sz="4"/>
              <w:right w:val="none" w:color="FFFFFF" w:sz="0"/>
            </w:tcBorders>
            <w:shd w:fill="E0F2FE" w:val="clear"/>
            <w:tcMar>
              <w:top w:type="dxa" w:w="70"/>
              <w:left w:type="dxa" w:w="120"/>
              <w:bottom w:type="dxa" w:w="70"/>
              <w:right w:type="dxa" w:w="80"/>
            </w:tcMar>
          </w:tcPr>
          <w:p>
            <w:r>
              <w:rPr>
                <w:rFonts w:ascii="Arial" w:cs="Arial" w:eastAsia="Arial" w:hAnsi="Arial"/>
                <w:b/>
                <w:bCs/>
                <w:color w:val="007A8C"/>
                <w:sz w:val="18"/>
                <w:szCs w:val="18"/>
              </w:rPr>
              <w:t xml:space="preserve">MEDIUM</w:t>
            </w:r>
          </w:p>
        </w:tc>
        <w:tc>
          <w:tcPr>
            <w:tcW w:type="dxa" w:w="2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PHQ-9 score 5–9 required from face-to-face encounter in measurement year</w:t>
            </w:r>
          </w:p>
        </w:tc>
        <w:tc>
          <w:tcPr>
            <w:tcW w:type="dxa" w:w="146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007A8C"/>
                <w:sz w:val="18"/>
                <w:szCs w:val="18"/>
              </w:rPr>
              <w:t xml:space="preserve">ICD-10-CM Official Guidelines; UASI FY2026 [2,10]</w:t>
            </w:r>
          </w:p>
        </w:tc>
      </w:tr>
    </w:tbl>
    <w:p>
      <w:pPr>
        <w:spacing w:after="160" w:before="0"/>
      </w:pPr>
      <w:r>
        <w:t xml:space="preserve"/>
      </w:r>
    </w:p>
    <w:p>
      <w:pPr>
        <w:pBdr>
          <w:bottom w:val="single" w:color="007A8C" w:sz="4"/>
        </w:pBdr>
        <w:shd w:fill="92400E" w:val="clear"/>
        <w:spacing w:after="60" w:before="200"/>
        <w:ind w:left="120"/>
      </w:pPr>
      <w:r>
        <w:rPr>
          <w:rFonts w:ascii="Arial" w:cs="Arial" w:eastAsia="Arial" w:hAnsi="Arial"/>
          <w:b/>
          <w:bCs/>
          <w:color w:val="FFFFFF"/>
          <w:sz w:val="20"/>
          <w:szCs w:val="20"/>
        </w:rPr>
        <w:t xml:space="preserve">CATEGORY 6 — DIABETES MELLITUS WITH COMPLICATIONS   |   Most common upcoding pattern per OIG   |   HCC 37</w:t>
      </w:r>
    </w:p>
    <w:p>
      <w:pPr>
        <w:spacing w:after="100" w:before="40"/>
      </w:pPr>
      <w:r>
        <w:rPr>
          <w:rFonts w:ascii="Arial" w:cs="Arial" w:eastAsia="Arial" w:hAnsi="Arial"/>
          <w:b/>
          <w:bCs/>
          <w:color w:val="92400E"/>
          <w:sz w:val="21"/>
          <w:szCs w:val="21"/>
        </w:rPr>
        <w:t xml:space="preserve">Evidence: </w:t>
      </w:r>
      <w:r>
        <w:rPr>
          <w:rFonts w:ascii="Arial" w:cs="Arial" w:eastAsia="Arial" w:hAnsi="Arial"/>
          <w:color w:val="1F2937"/>
          <w:sz w:val="21"/>
          <w:szCs w:val="21"/>
        </w:rPr>
        <w:t xml:space="preserve">The most common upcoding pattern OIG identified in non-targeted audits is assigning 'diabetes with complications' when only uncomplicated diabetes is documented. V28 reduced but did not eliminate the coefficient differential.</w:t>
      </w:r>
      <w:r>
        <w:rPr>
          <w:rFonts w:ascii="Arial" w:cs="Arial" w:eastAsia="Arial" w:hAnsi="Arial"/>
          <w:color w:val="4B5563"/>
          <w:sz w:val="17"/>
          <w:szCs w:val="17"/>
          <w:vertAlign w:val="superscript"/>
        </w:rPr>
        <w:t xml:space="preserve"> [11,12,13]</w:t>
      </w:r>
      <w:r>
        <w:rPr>
          <w:rFonts w:ascii="Arial" w:cs="Arial" w:eastAsia="Arial" w:hAnsi="Arial"/>
          <w:color w:val="1F2937"/>
          <w:sz w:val="21"/>
          <w:szCs w:val="21"/>
        </w:rPr>
        <w:t xml:space="preserve"> CMS also added E11.A (diabetes in remission) in FY 2026 — incorrectly using E11.9 for remission patients is a new audit risk.</w:t>
      </w:r>
      <w:r>
        <w:rPr>
          <w:rFonts w:ascii="Arial" w:cs="Arial" w:eastAsia="Arial" w:hAnsi="Arial"/>
          <w:color w:val="4B5563"/>
          <w:sz w:val="17"/>
          <w:szCs w:val="17"/>
          <w:vertAlign w:val="superscript"/>
        </w:rPr>
        <w:t xml:space="preserve"> [13]</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500"/>
        <w:gridCol w:w="800"/>
        <w:gridCol w:w="2200"/>
        <w:gridCol w:w="1460"/>
      </w:tblGrid>
      <w:tr>
        <w:trPr>
          <w:tblHeader/>
        </w:trPr>
        <w:tc>
          <w:tcPr>
            <w:tcW w:type="dxa" w:w="12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ICD-10-CM Code</w:t>
            </w:r>
          </w:p>
        </w:tc>
        <w:tc>
          <w:tcPr>
            <w:tcW w:type="dxa" w:w="22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Description / Diagnosis</w:t>
            </w:r>
          </w:p>
        </w:tc>
        <w:tc>
          <w:tcPr>
            <w:tcW w:type="dxa" w:w="15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CMS-HCC V28</w:t>
            </w:r>
          </w:p>
        </w:tc>
        <w:tc>
          <w:tcPr>
            <w:tcW w:type="dxa" w:w="8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OIG Flag</w:t>
            </w:r>
          </w:p>
        </w:tc>
        <w:tc>
          <w:tcPr>
            <w:tcW w:type="dxa" w:w="22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CVA Automation Trigger</w:t>
            </w:r>
          </w:p>
        </w:tc>
        <w:tc>
          <w:tcPr>
            <w:tcW w:type="dxa" w:w="146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Citation</w:t>
            </w:r>
          </w:p>
        </w:tc>
      </w:tr>
      <w:tr>
        <w:tc>
          <w:tcPr>
            <w:tcW w:type="dxa" w:w="1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19"/>
                <w:szCs w:val="19"/>
              </w:rPr>
              <w:t xml:space="preserve">E11.22</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T2DM with diabetic CKD (must link to N18.x; requires explicit physician linkage)</w:t>
            </w:r>
          </w:p>
        </w:tc>
        <w:tc>
          <w:tcPr>
            <w:tcW w:type="dxa" w:w="15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37 + HCC 329 (CKD)</w:t>
            </w:r>
          </w:p>
        </w:tc>
        <w:tc>
          <w:tcPr>
            <w:tcW w:type="dxa" w:w="800"/>
            <w:tcBorders>
              <w:top w:val="single" w:color="D1D5DB" w:sz="4"/>
              <w:left w:val="none" w:color="FFFFFF" w:sz="0"/>
              <w:bottom w:val="single" w:color="D1D5DB" w:sz="4"/>
              <w:right w:val="none" w:color="FFFFFF" w:sz="0"/>
            </w:tcBorders>
            <w:shd w:fill="FEF3C7" w:val="clear"/>
            <w:tcMar>
              <w:top w:type="dxa" w:w="70"/>
              <w:left w:type="dxa" w:w="120"/>
              <w:bottom w:type="dxa" w:w="70"/>
              <w:right w:type="dxa" w:w="80"/>
            </w:tcMar>
          </w:tcPr>
          <w:p>
            <w:r>
              <w:rPr>
                <w:rFonts w:ascii="Arial" w:cs="Arial" w:eastAsia="Arial" w:hAnsi="Arial"/>
                <w:b/>
                <w:bCs/>
                <w:color w:val="92400E"/>
                <w:sz w:val="18"/>
                <w:szCs w:val="18"/>
              </w:rPr>
              <w:t xml:space="preserve">HIGH</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No 'diabetic nephropathy' language in physician note + no N18.x code + no current-year GFR lab = flag</w:t>
            </w:r>
          </w:p>
        </w:tc>
        <w:tc>
          <w:tcPr>
            <w:tcW w:type="dxa" w:w="146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007A8C"/>
                <w:sz w:val="18"/>
                <w:szCs w:val="18"/>
              </w:rPr>
              <w:t xml:space="preserve">Wolters Kluwer Feb 2024; OmniMD Diabetes Guide 2026 [11,12]</w:t>
            </w:r>
          </w:p>
        </w:tc>
      </w:tr>
      <w:tr>
        <w:tc>
          <w:tcPr>
            <w:tcW w:type="dxa" w:w="1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19"/>
                <w:szCs w:val="19"/>
              </w:rPr>
              <w:t xml:space="preserve">E11.311</w:t>
            </w:r>
          </w:p>
        </w:tc>
        <w:tc>
          <w:tcPr>
            <w:tcW w:type="dxa" w:w="2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T2DM with diabetic retinopathy with macular edema</w:t>
            </w:r>
          </w:p>
        </w:tc>
        <w:tc>
          <w:tcPr>
            <w:tcW w:type="dxa" w:w="15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HCC 37 + Ophthalmology</w:t>
            </w:r>
          </w:p>
        </w:tc>
        <w:tc>
          <w:tcPr>
            <w:tcW w:type="dxa" w:w="800"/>
            <w:tcBorders>
              <w:top w:val="single" w:color="D1D5DB" w:sz="4"/>
              <w:left w:val="none" w:color="FFFFFF" w:sz="0"/>
              <w:bottom w:val="single" w:color="D1D5DB" w:sz="4"/>
              <w:right w:val="none" w:color="FFFFFF" w:sz="0"/>
            </w:tcBorders>
            <w:shd w:fill="FEF3C7" w:val="clear"/>
            <w:tcMar>
              <w:top w:type="dxa" w:w="70"/>
              <w:left w:type="dxa" w:w="120"/>
              <w:bottom w:type="dxa" w:w="70"/>
              <w:right w:type="dxa" w:w="80"/>
            </w:tcMar>
          </w:tcPr>
          <w:p>
            <w:r>
              <w:rPr>
                <w:rFonts w:ascii="Arial" w:cs="Arial" w:eastAsia="Arial" w:hAnsi="Arial"/>
                <w:b/>
                <w:bCs/>
                <w:color w:val="92400E"/>
                <w:sz w:val="18"/>
                <w:szCs w:val="18"/>
              </w:rPr>
              <w:t xml:space="preserve">HIGH</w:t>
            </w:r>
          </w:p>
        </w:tc>
        <w:tc>
          <w:tcPr>
            <w:tcW w:type="dxa" w:w="2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Ophthalmology claim (CPT 92004 or 92250) confirming active retinopathy in measurement year required</w:t>
            </w:r>
          </w:p>
        </w:tc>
        <w:tc>
          <w:tcPr>
            <w:tcW w:type="dxa" w:w="146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007A8C"/>
                <w:sz w:val="18"/>
                <w:szCs w:val="18"/>
              </w:rPr>
              <w:t xml:space="preserve">OmniMD Diabetes Guide 2026 [12]</w:t>
            </w:r>
          </w:p>
        </w:tc>
      </w:tr>
      <w:tr>
        <w:tc>
          <w:tcPr>
            <w:tcW w:type="dxa" w:w="1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19"/>
                <w:szCs w:val="19"/>
              </w:rPr>
              <w:t xml:space="preserve">E11.621</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T2DM with diabetic foot ulcer (must pair with L97.x ulcer code)</w:t>
            </w:r>
          </w:p>
        </w:tc>
        <w:tc>
          <w:tcPr>
            <w:tcW w:type="dxa" w:w="15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37 + HCC 161 (Ulcer)</w:t>
            </w:r>
          </w:p>
        </w:tc>
        <w:tc>
          <w:tcPr>
            <w:tcW w:type="dxa" w:w="800"/>
            <w:tcBorders>
              <w:top w:val="single" w:color="D1D5DB" w:sz="4"/>
              <w:left w:val="none" w:color="FFFFFF" w:sz="0"/>
              <w:bottom w:val="single" w:color="D1D5DB" w:sz="4"/>
              <w:right w:val="none" w:color="FFFFFF" w:sz="0"/>
            </w:tcBorders>
            <w:shd w:fill="FEF3C7" w:val="clear"/>
            <w:tcMar>
              <w:top w:type="dxa" w:w="70"/>
              <w:left w:type="dxa" w:w="120"/>
              <w:bottom w:type="dxa" w:w="70"/>
              <w:right w:type="dxa" w:w="80"/>
            </w:tcMar>
          </w:tcPr>
          <w:p>
            <w:r>
              <w:rPr>
                <w:rFonts w:ascii="Arial" w:cs="Arial" w:eastAsia="Arial" w:hAnsi="Arial"/>
                <w:b/>
                <w:bCs/>
                <w:color w:val="92400E"/>
                <w:sz w:val="18"/>
                <w:szCs w:val="18"/>
              </w:rPr>
              <w:t xml:space="preserve">HIGH</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Wound care claim (CPT 97597–97602) + L97.x secondary code both required</w:t>
            </w:r>
          </w:p>
        </w:tc>
        <w:tc>
          <w:tcPr>
            <w:tcW w:type="dxa" w:w="146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007A8C"/>
                <w:sz w:val="18"/>
                <w:szCs w:val="18"/>
              </w:rPr>
              <w:t xml:space="preserve">OmniMD Diabetes Guide 2026; PMC ICD-10 Diabetes Article [12,14]</w:t>
            </w:r>
          </w:p>
        </w:tc>
      </w:tr>
      <w:tr>
        <w:tc>
          <w:tcPr>
            <w:tcW w:type="dxa" w:w="1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19"/>
                <w:szCs w:val="19"/>
              </w:rPr>
              <w:t xml:space="preserve">E11.65</w:t>
            </w:r>
          </w:p>
        </w:tc>
        <w:tc>
          <w:tcPr>
            <w:tcW w:type="dxa" w:w="2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T2DM with hyperglycemia (requires documented episode in current encounter)</w:t>
            </w:r>
          </w:p>
        </w:tc>
        <w:tc>
          <w:tcPr>
            <w:tcW w:type="dxa" w:w="15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HCC 37 — Diabetes</w:t>
            </w:r>
          </w:p>
        </w:tc>
        <w:tc>
          <w:tcPr>
            <w:tcW w:type="dxa" w:w="800"/>
            <w:tcBorders>
              <w:top w:val="single" w:color="D1D5DB" w:sz="4"/>
              <w:left w:val="none" w:color="FFFFFF" w:sz="0"/>
              <w:bottom w:val="single" w:color="D1D5DB" w:sz="4"/>
              <w:right w:val="none" w:color="FFFFFF" w:sz="0"/>
            </w:tcBorders>
            <w:shd w:fill="FEF3C7" w:val="clear"/>
            <w:tcMar>
              <w:top w:type="dxa" w:w="70"/>
              <w:left w:type="dxa" w:w="120"/>
              <w:bottom w:type="dxa" w:w="70"/>
              <w:right w:type="dxa" w:w="80"/>
            </w:tcMar>
          </w:tcPr>
          <w:p>
            <w:r>
              <w:rPr>
                <w:rFonts w:ascii="Arial" w:cs="Arial" w:eastAsia="Arial" w:hAnsi="Arial"/>
                <w:b/>
                <w:bCs/>
                <w:color w:val="92400E"/>
                <w:sz w:val="18"/>
                <w:szCs w:val="18"/>
              </w:rPr>
              <w:t xml:space="preserve">HIGH</w:t>
            </w:r>
          </w:p>
        </w:tc>
        <w:tc>
          <w:tcPr>
            <w:tcW w:type="dxa" w:w="2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Documented hyperglycemia episode in current encounter note required — not just chronic elevated A1C</w:t>
            </w:r>
          </w:p>
        </w:tc>
        <w:tc>
          <w:tcPr>
            <w:tcW w:type="dxa" w:w="146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007A8C"/>
                <w:sz w:val="18"/>
                <w:szCs w:val="18"/>
              </w:rPr>
              <w:t xml:space="preserve">RaapidInc ICD-10-CM Updates Mar 2026 [13]</w:t>
            </w:r>
          </w:p>
        </w:tc>
      </w:tr>
      <w:tr>
        <w:tc>
          <w:tcPr>
            <w:tcW w:type="dxa" w:w="1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19"/>
                <w:szCs w:val="19"/>
              </w:rPr>
              <w:t xml:space="preserve">E11.9</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T2DM without complications — BASELINE (verify no complication being missed)</w:t>
            </w:r>
          </w:p>
        </w:tc>
        <w:tc>
          <w:tcPr>
            <w:tcW w:type="dxa" w:w="15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37 — Diabetes</w:t>
            </w:r>
          </w:p>
        </w:tc>
        <w:tc>
          <w:tcPr>
            <w:tcW w:type="dxa" w:w="800"/>
            <w:tcBorders>
              <w:top w:val="single" w:color="D1D5DB" w:sz="4"/>
              <w:left w:val="none" w:color="FFFFFF" w:sz="0"/>
              <w:bottom w:val="single" w:color="D1D5DB" w:sz="4"/>
              <w:right w:val="none" w:color="FFFFFF" w:sz="0"/>
            </w:tcBorders>
            <w:shd w:fill="E0F2FE" w:val="clear"/>
            <w:tcMar>
              <w:top w:type="dxa" w:w="70"/>
              <w:left w:type="dxa" w:w="120"/>
              <w:bottom w:type="dxa" w:w="70"/>
              <w:right w:type="dxa" w:w="80"/>
            </w:tcMar>
          </w:tcPr>
          <w:p>
            <w:r>
              <w:rPr>
                <w:rFonts w:ascii="Arial" w:cs="Arial" w:eastAsia="Arial" w:hAnsi="Arial"/>
                <w:b/>
                <w:bCs/>
                <w:color w:val="007A8C"/>
                <w:sz w:val="18"/>
                <w:szCs w:val="18"/>
              </w:rPr>
              <w:t xml:space="preserve">MEDIUM</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Validate no active complication exists — may be both an audit and a coding opportunity</w:t>
            </w:r>
          </w:p>
        </w:tc>
        <w:tc>
          <w:tcPr>
            <w:tcW w:type="dxa" w:w="146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007A8C"/>
                <w:sz w:val="18"/>
                <w:szCs w:val="18"/>
              </w:rPr>
              <w:t xml:space="preserve">CMS HCC V28 Mapping; Coding Intel Feb 2026 [6,8]</w:t>
            </w:r>
          </w:p>
        </w:tc>
      </w:tr>
      <w:tr>
        <w:tc>
          <w:tcPr>
            <w:tcW w:type="dxa" w:w="1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19"/>
                <w:szCs w:val="19"/>
              </w:rPr>
              <w:t xml:space="preserve">E11.A</w:t>
            </w:r>
          </w:p>
        </w:tc>
        <w:tc>
          <w:tcPr>
            <w:tcW w:type="dxa" w:w="2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T2DM in remission — NEW FY2026 (replaces incorrect use of E11.9 for remission)</w:t>
            </w:r>
          </w:p>
        </w:tc>
        <w:tc>
          <w:tcPr>
            <w:tcW w:type="dxa" w:w="15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No HCC — Non-risk-adjusting</w:t>
            </w:r>
          </w:p>
        </w:tc>
        <w:tc>
          <w:tcPr>
            <w:tcW w:type="dxa" w:w="8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bCs/>
                <w:color w:val="4B5563"/>
                <w:sz w:val="18"/>
                <w:szCs w:val="18"/>
              </w:rPr>
              <w:t xml:space="preserve">—</w:t>
            </w:r>
          </w:p>
        </w:tc>
        <w:tc>
          <w:tcPr>
            <w:tcW w:type="dxa" w:w="2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HbA1c &lt;6.5% without medication = remission. Do NOT use E11.9 for remission patients.</w:t>
            </w:r>
          </w:p>
        </w:tc>
        <w:tc>
          <w:tcPr>
            <w:tcW w:type="dxa" w:w="146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007A8C"/>
                <w:sz w:val="18"/>
                <w:szCs w:val="18"/>
              </w:rPr>
              <w:t xml:space="preserve">RaapidInc ICD-10-CM 2026 Updates Mar 2026 [13]</w:t>
            </w:r>
          </w:p>
        </w:tc>
      </w:tr>
    </w:tbl>
    <w:p>
      <w:pPr>
        <w:spacing w:after="160" w:before="0"/>
      </w:pPr>
      <w:r>
        <w:t xml:space="preserve"/>
      </w:r>
    </w:p>
    <w:p>
      <w:pPr>
        <w:pBdr>
          <w:bottom w:val="single" w:color="007A8C" w:sz="4"/>
        </w:pBdr>
        <w:shd w:fill="92400E" w:val="clear"/>
        <w:spacing w:after="60" w:before="200"/>
        <w:ind w:left="120"/>
      </w:pPr>
      <w:r>
        <w:rPr>
          <w:rFonts w:ascii="Arial" w:cs="Arial" w:eastAsia="Arial" w:hAnsi="Arial"/>
          <w:b/>
          <w:bCs/>
          <w:color w:val="FFFFFF"/>
          <w:sz w:val="20"/>
          <w:szCs w:val="20"/>
        </w:rPr>
        <w:t xml:space="preserve">CATEGORY 7 — MORBID OBESITY   |   CMS reducing coefficient 19.4% in 2027 Advance Notice   |   HCC 22</w:t>
      </w:r>
    </w:p>
    <w:p>
      <w:pPr>
        <w:spacing w:after="100" w:before="40"/>
      </w:pPr>
      <w:r>
        <w:rPr>
          <w:rFonts w:ascii="Arial" w:cs="Arial" w:eastAsia="Arial" w:hAnsi="Arial"/>
          <w:b/>
          <w:bCs/>
          <w:color w:val="92400E"/>
          <w:sz w:val="21"/>
          <w:szCs w:val="21"/>
        </w:rPr>
        <w:t xml:space="preserve">Evidence: </w:t>
      </w:r>
      <w:r>
        <w:rPr>
          <w:rFonts w:ascii="Arial" w:cs="Arial" w:eastAsia="Arial" w:hAnsi="Arial"/>
          <w:color w:val="1F2937"/>
          <w:sz w:val="21"/>
          <w:szCs w:val="21"/>
        </w:rPr>
        <w:t xml:space="preserve">OIG specifically found morbid obesity codes either not supported or not coded to correct severity. CMS's 2027 Advance Notice proposes a 19.4% reduction in the morbid obesity HCC coefficient — a direct regulatory signal of systematic overcoding. E66.9 (unspecified) was removed from V28 HCC mapping entirely.</w:t>
      </w:r>
      <w:r>
        <w:rPr>
          <w:rFonts w:ascii="Arial" w:cs="Arial" w:eastAsia="Arial" w:hAnsi="Arial"/>
          <w:color w:val="4B5563"/>
          <w:sz w:val="17"/>
          <w:szCs w:val="17"/>
          <w:vertAlign w:val="superscript"/>
        </w:rPr>
        <w:t xml:space="preserve"> [11,6]</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500"/>
        <w:gridCol w:w="800"/>
        <w:gridCol w:w="2200"/>
        <w:gridCol w:w="1460"/>
      </w:tblGrid>
      <w:tr>
        <w:trPr>
          <w:tblHeader/>
        </w:trPr>
        <w:tc>
          <w:tcPr>
            <w:tcW w:type="dxa" w:w="12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ICD-10-CM Code</w:t>
            </w:r>
          </w:p>
        </w:tc>
        <w:tc>
          <w:tcPr>
            <w:tcW w:type="dxa" w:w="22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Description / Diagnosis</w:t>
            </w:r>
          </w:p>
        </w:tc>
        <w:tc>
          <w:tcPr>
            <w:tcW w:type="dxa" w:w="15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CMS-HCC V28</w:t>
            </w:r>
          </w:p>
        </w:tc>
        <w:tc>
          <w:tcPr>
            <w:tcW w:type="dxa" w:w="8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OIG Flag</w:t>
            </w:r>
          </w:p>
        </w:tc>
        <w:tc>
          <w:tcPr>
            <w:tcW w:type="dxa" w:w="22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CVA Automation Trigger</w:t>
            </w:r>
          </w:p>
        </w:tc>
        <w:tc>
          <w:tcPr>
            <w:tcW w:type="dxa" w:w="146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Citation</w:t>
            </w:r>
          </w:p>
        </w:tc>
      </w:tr>
      <w:tr>
        <w:tc>
          <w:tcPr>
            <w:tcW w:type="dxa" w:w="1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19"/>
                <w:szCs w:val="19"/>
              </w:rPr>
              <w:t xml:space="preserve">E66.01</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Morbid (severe) obesity due to excess calories (BMI ≥ 40 required)</w:t>
            </w:r>
          </w:p>
        </w:tc>
        <w:tc>
          <w:tcPr>
            <w:tcW w:type="dxa" w:w="15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22 — Morbid Obesity</w:t>
            </w:r>
          </w:p>
        </w:tc>
        <w:tc>
          <w:tcPr>
            <w:tcW w:type="dxa" w:w="800"/>
            <w:tcBorders>
              <w:top w:val="single" w:color="D1D5DB" w:sz="4"/>
              <w:left w:val="none" w:color="FFFFFF" w:sz="0"/>
              <w:bottom w:val="single" w:color="D1D5DB" w:sz="4"/>
              <w:right w:val="none" w:color="FFFFFF" w:sz="0"/>
            </w:tcBorders>
            <w:shd w:fill="FEF3C7" w:val="clear"/>
            <w:tcMar>
              <w:top w:type="dxa" w:w="70"/>
              <w:left w:type="dxa" w:w="120"/>
              <w:bottom w:type="dxa" w:w="70"/>
              <w:right w:type="dxa" w:w="80"/>
            </w:tcMar>
          </w:tcPr>
          <w:p>
            <w:r>
              <w:rPr>
                <w:rFonts w:ascii="Arial" w:cs="Arial" w:eastAsia="Arial" w:hAnsi="Arial"/>
                <w:b/>
                <w:bCs/>
                <w:color w:val="92400E"/>
                <w:sz w:val="18"/>
                <w:szCs w:val="18"/>
              </w:rPr>
              <w:t xml:space="preserve">HIGH</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No current-year BMI code (Z68.4x) from face-to-face encounter; HRA-only documentation not valid</w:t>
            </w:r>
          </w:p>
        </w:tc>
        <w:tc>
          <w:tcPr>
            <w:tcW w:type="dxa" w:w="146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007A8C"/>
                <w:sz w:val="18"/>
                <w:szCs w:val="18"/>
              </w:rPr>
              <w:t xml:space="preserve">Wolters Kluwer Feb 2024; BCBSAL 2026 HCC ICD-10 Codes [11]</w:t>
            </w:r>
          </w:p>
        </w:tc>
      </w:tr>
      <w:tr>
        <w:tc>
          <w:tcPr>
            <w:tcW w:type="dxa" w:w="1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19"/>
                <w:szCs w:val="19"/>
              </w:rPr>
              <w:t xml:space="preserve">E66.9</w:t>
            </w:r>
          </w:p>
        </w:tc>
        <w:tc>
          <w:tcPr>
            <w:tcW w:type="dxa" w:w="2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Obesity, unspecified — REMOVED from V28 HCC mapping</w:t>
            </w:r>
          </w:p>
        </w:tc>
        <w:tc>
          <w:tcPr>
            <w:tcW w:type="dxa" w:w="15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No HCC in V28 — Zero value</w:t>
            </w:r>
          </w:p>
        </w:tc>
        <w:tc>
          <w:tcPr>
            <w:tcW w:type="dxa" w:w="800"/>
            <w:tcBorders>
              <w:top w:val="single" w:color="D1D5DB" w:sz="4"/>
              <w:left w:val="none" w:color="FFFFFF" w:sz="0"/>
              <w:bottom w:val="single" w:color="D1D5DB" w:sz="4"/>
              <w:right w:val="none" w:color="FFFFFF" w:sz="0"/>
            </w:tcBorders>
            <w:shd w:fill="FEE2E2" w:val="clear"/>
            <w:tcMar>
              <w:top w:type="dxa" w:w="70"/>
              <w:left w:type="dxa" w:w="120"/>
              <w:bottom w:type="dxa" w:w="70"/>
              <w:right w:type="dxa" w:w="80"/>
            </w:tcMar>
          </w:tcPr>
          <w:p>
            <w:r>
              <w:rPr>
                <w:rFonts w:ascii="Arial" w:cs="Arial" w:eastAsia="Arial" w:hAnsi="Arial"/>
                <w:b/>
                <w:bCs/>
                <w:color w:val="991B1B"/>
                <w:sz w:val="18"/>
                <w:szCs w:val="18"/>
              </w:rPr>
              <w:t xml:space="preserve">CRITICAL</w:t>
            </w:r>
          </w:p>
        </w:tc>
        <w:tc>
          <w:tcPr>
            <w:tcW w:type="dxa" w:w="2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Any E66.9 submitted for risk adjustment generates $0. Recode to E66.01 if BMI ≥ 40 is documented</w:t>
            </w:r>
          </w:p>
        </w:tc>
        <w:tc>
          <w:tcPr>
            <w:tcW w:type="dxa" w:w="146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007A8C"/>
                <w:sz w:val="18"/>
                <w:szCs w:val="18"/>
              </w:rPr>
              <w:t xml:space="preserve">CMS-HCC V28 Mapping; RaapidInc V28 Analysis Mar 2026 [6]</w:t>
            </w:r>
          </w:p>
        </w:tc>
      </w:tr>
      <w:tr>
        <w:tc>
          <w:tcPr>
            <w:tcW w:type="dxa" w:w="1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19"/>
                <w:szCs w:val="19"/>
              </w:rPr>
              <w:t xml:space="preserve">Z68.41–Z68.45</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BMI companion codes (must accompany E66.01; current-year measurement required)</w:t>
            </w:r>
          </w:p>
        </w:tc>
        <w:tc>
          <w:tcPr>
            <w:tcW w:type="dxa" w:w="15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Supporting code — No standalone HCC</w:t>
            </w:r>
          </w:p>
        </w:tc>
        <w:tc>
          <w:tcPr>
            <w:tcW w:type="dxa" w:w="8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bCs/>
                <w:color w:val="4B5563"/>
                <w:sz w:val="18"/>
                <w:szCs w:val="18"/>
              </w:rPr>
              <w:t xml:space="preserve">—</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E66.01 without Z68.4x = incomplete. Automate: E66.01 + no Z68.4x same encounter = flag</w:t>
            </w:r>
          </w:p>
        </w:tc>
        <w:tc>
          <w:tcPr>
            <w:tcW w:type="dxa" w:w="146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007A8C"/>
                <w:sz w:val="18"/>
                <w:szCs w:val="18"/>
              </w:rPr>
              <w:t xml:space="preserve">Patient Quality Alliance HCC V28 Tip Sheet [7]</w:t>
            </w:r>
          </w:p>
        </w:tc>
      </w:tr>
    </w:tbl>
    <w:p>
      <w:pPr>
        <w:spacing w:after="160" w:before="0"/>
      </w:pPr>
      <w:r>
        <w:t xml:space="preserve"/>
      </w:r>
    </w:p>
    <w:p>
      <w:pPr>
        <w:pBdr>
          <w:bottom w:val="single" w:color="007A8C" w:sz="4"/>
        </w:pBdr>
        <w:shd w:fill="92400E" w:val="clear"/>
        <w:spacing w:after="60" w:before="200"/>
        <w:ind w:left="120"/>
      </w:pPr>
      <w:r>
        <w:rPr>
          <w:rFonts w:ascii="Arial" w:cs="Arial" w:eastAsia="Arial" w:hAnsi="Arial"/>
          <w:b/>
          <w:bCs/>
          <w:color w:val="FFFFFF"/>
          <w:sz w:val="20"/>
          <w:szCs w:val="20"/>
        </w:rPr>
        <w:t xml:space="preserve">CATEGORY 8 — VASCULAR DISEASE &amp; CLAUDICATION   |   OIG: documentation generally not supportive   |   HCC 108</w:t>
      </w:r>
    </w:p>
    <w:p>
      <w:pPr>
        <w:spacing w:after="100" w:before="40"/>
      </w:pPr>
      <w:r>
        <w:rPr>
          <w:rFonts w:ascii="Arial" w:cs="Arial" w:eastAsia="Arial" w:hAnsi="Arial"/>
          <w:b/>
          <w:bCs/>
          <w:color w:val="92400E"/>
          <w:sz w:val="21"/>
          <w:szCs w:val="21"/>
        </w:rPr>
        <w:t xml:space="preserve">Evidence: </w:t>
      </w:r>
      <w:r>
        <w:rPr>
          <w:rFonts w:ascii="Arial" w:cs="Arial" w:eastAsia="Arial" w:hAnsi="Arial"/>
          <w:color w:val="1F2937"/>
          <w:sz w:val="21"/>
          <w:szCs w:val="21"/>
        </w:rPr>
        <w:t xml:space="preserve">OIG found documentation generally not supportive of vascular HCC mapping. Two specific flags: (1) vascular claudication without prior-year diagnosis — suggesting new coding without clinical basis; (2) patients on medications typically used for neurogenic claudication (spinal stenosis) rather than peripheral vascular disease.</w:t>
      </w:r>
      <w:r>
        <w:rPr>
          <w:rFonts w:ascii="Arial" w:cs="Arial" w:eastAsia="Arial" w:hAnsi="Arial"/>
          <w:color w:val="4B5563"/>
          <w:sz w:val="17"/>
          <w:szCs w:val="17"/>
          <w:vertAlign w:val="superscript"/>
        </w:rPr>
        <w:t xml:space="preserve"> [11,15]</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500"/>
        <w:gridCol w:w="800"/>
        <w:gridCol w:w="2200"/>
        <w:gridCol w:w="1460"/>
      </w:tblGrid>
      <w:tr>
        <w:trPr>
          <w:tblHeader/>
        </w:trPr>
        <w:tc>
          <w:tcPr>
            <w:tcW w:type="dxa" w:w="12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ICD-10-CM Code</w:t>
            </w:r>
          </w:p>
        </w:tc>
        <w:tc>
          <w:tcPr>
            <w:tcW w:type="dxa" w:w="22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Description / Diagnosis</w:t>
            </w:r>
          </w:p>
        </w:tc>
        <w:tc>
          <w:tcPr>
            <w:tcW w:type="dxa" w:w="15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CMS-HCC V28</w:t>
            </w:r>
          </w:p>
        </w:tc>
        <w:tc>
          <w:tcPr>
            <w:tcW w:type="dxa" w:w="8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OIG Flag</w:t>
            </w:r>
          </w:p>
        </w:tc>
        <w:tc>
          <w:tcPr>
            <w:tcW w:type="dxa" w:w="22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CVA Automation Trigger</w:t>
            </w:r>
          </w:p>
        </w:tc>
        <w:tc>
          <w:tcPr>
            <w:tcW w:type="dxa" w:w="146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Citation</w:t>
            </w:r>
          </w:p>
        </w:tc>
      </w:tr>
      <w:tr>
        <w:tc>
          <w:tcPr>
            <w:tcW w:type="dxa" w:w="1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19"/>
                <w:szCs w:val="19"/>
              </w:rPr>
              <w:t xml:space="preserve">I70.211 / I70.212</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Atherosclerosis of native arteries, right/left leg, with intermittent claudication</w:t>
            </w:r>
          </w:p>
        </w:tc>
        <w:tc>
          <w:tcPr>
            <w:tcW w:type="dxa" w:w="15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108 — Vascular Disease</w:t>
            </w:r>
          </w:p>
        </w:tc>
        <w:tc>
          <w:tcPr>
            <w:tcW w:type="dxa" w:w="800"/>
            <w:tcBorders>
              <w:top w:val="single" w:color="D1D5DB" w:sz="4"/>
              <w:left w:val="none" w:color="FFFFFF" w:sz="0"/>
              <w:bottom w:val="single" w:color="D1D5DB" w:sz="4"/>
              <w:right w:val="none" w:color="FFFFFF" w:sz="0"/>
            </w:tcBorders>
            <w:shd w:fill="FEF3C7" w:val="clear"/>
            <w:tcMar>
              <w:top w:type="dxa" w:w="70"/>
              <w:left w:type="dxa" w:w="120"/>
              <w:bottom w:type="dxa" w:w="70"/>
              <w:right w:type="dxa" w:w="80"/>
            </w:tcMar>
          </w:tcPr>
          <w:p>
            <w:r>
              <w:rPr>
                <w:rFonts w:ascii="Arial" w:cs="Arial" w:eastAsia="Arial" w:hAnsi="Arial"/>
                <w:b/>
                <w:bCs/>
                <w:color w:val="92400E"/>
                <w:sz w:val="18"/>
                <w:szCs w:val="18"/>
              </w:rPr>
              <w:t xml:space="preserve">HIGH</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No ABI test or peripheral arterial imaging claim; also flag if patient has lumbar stenosis (M48.06) = may be neurogenic</w:t>
            </w:r>
          </w:p>
        </w:tc>
        <w:tc>
          <w:tcPr>
            <w:tcW w:type="dxa" w:w="146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007A8C"/>
                <w:sz w:val="18"/>
                <w:szCs w:val="18"/>
              </w:rPr>
              <w:t xml:space="preserve">Cotiviti OIG Audit Analysis 2023; Wolters Kluwer Feb 2024 [11,15]</w:t>
            </w:r>
          </w:p>
        </w:tc>
      </w:tr>
      <w:tr>
        <w:tc>
          <w:tcPr>
            <w:tcW w:type="dxa" w:w="1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19"/>
                <w:szCs w:val="19"/>
              </w:rPr>
              <w:t xml:space="preserve">I70.221 / I70.222</w:t>
            </w:r>
          </w:p>
        </w:tc>
        <w:tc>
          <w:tcPr>
            <w:tcW w:type="dxa" w:w="2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Atherosclerosis of native arteries, right/left leg, with rest pain (more severe)</w:t>
            </w:r>
          </w:p>
        </w:tc>
        <w:tc>
          <w:tcPr>
            <w:tcW w:type="dxa" w:w="15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HCC 108 — Vascular Disease</w:t>
            </w:r>
          </w:p>
        </w:tc>
        <w:tc>
          <w:tcPr>
            <w:tcW w:type="dxa" w:w="800"/>
            <w:tcBorders>
              <w:top w:val="single" w:color="D1D5DB" w:sz="4"/>
              <w:left w:val="none" w:color="FFFFFF" w:sz="0"/>
              <w:bottom w:val="single" w:color="D1D5DB" w:sz="4"/>
              <w:right w:val="none" w:color="FFFFFF" w:sz="0"/>
            </w:tcBorders>
            <w:shd w:fill="FEF3C7" w:val="clear"/>
            <w:tcMar>
              <w:top w:type="dxa" w:w="70"/>
              <w:left w:type="dxa" w:w="120"/>
              <w:bottom w:type="dxa" w:w="70"/>
              <w:right w:type="dxa" w:w="80"/>
            </w:tcMar>
          </w:tcPr>
          <w:p>
            <w:r>
              <w:rPr>
                <w:rFonts w:ascii="Arial" w:cs="Arial" w:eastAsia="Arial" w:hAnsi="Arial"/>
                <w:b/>
                <w:bCs/>
                <w:color w:val="92400E"/>
                <w:sz w:val="18"/>
                <w:szCs w:val="18"/>
              </w:rPr>
              <w:t xml:space="preserve">HIGH</w:t>
            </w:r>
          </w:p>
        </w:tc>
        <w:tc>
          <w:tcPr>
            <w:tcW w:type="dxa" w:w="2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Rest pain requires documented critical limb ischemia workup; vascular surgery consult claim should be present</w:t>
            </w:r>
          </w:p>
        </w:tc>
        <w:tc>
          <w:tcPr>
            <w:tcW w:type="dxa" w:w="146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007A8C"/>
                <w:sz w:val="18"/>
                <w:szCs w:val="18"/>
              </w:rPr>
              <w:t xml:space="preserve">Wolters Kluwer Feb 2024 [11]</w:t>
            </w:r>
          </w:p>
        </w:tc>
      </w:tr>
      <w:tr>
        <w:tc>
          <w:tcPr>
            <w:tcW w:type="dxa" w:w="1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19"/>
                <w:szCs w:val="19"/>
              </w:rPr>
              <w:t xml:space="preserve">I73.9</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Peripheral vascular disease, unspecified — V28 penalizes unspecified</w:t>
            </w:r>
          </w:p>
        </w:tc>
        <w:tc>
          <w:tcPr>
            <w:tcW w:type="dxa" w:w="15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108 — Vascular Disease (reduced)</w:t>
            </w:r>
          </w:p>
        </w:tc>
        <w:tc>
          <w:tcPr>
            <w:tcW w:type="dxa" w:w="800"/>
            <w:tcBorders>
              <w:top w:val="single" w:color="D1D5DB" w:sz="4"/>
              <w:left w:val="none" w:color="FFFFFF" w:sz="0"/>
              <w:bottom w:val="single" w:color="D1D5DB" w:sz="4"/>
              <w:right w:val="none" w:color="FFFFFF" w:sz="0"/>
            </w:tcBorders>
            <w:shd w:fill="FEF3C7" w:val="clear"/>
            <w:tcMar>
              <w:top w:type="dxa" w:w="70"/>
              <w:left w:type="dxa" w:w="120"/>
              <w:bottom w:type="dxa" w:w="70"/>
              <w:right w:type="dxa" w:w="80"/>
            </w:tcMar>
          </w:tcPr>
          <w:p>
            <w:r>
              <w:rPr>
                <w:rFonts w:ascii="Arial" w:cs="Arial" w:eastAsia="Arial" w:hAnsi="Arial"/>
                <w:b/>
                <w:bCs/>
                <w:color w:val="92400E"/>
                <w:sz w:val="18"/>
                <w:szCs w:val="18"/>
              </w:rPr>
              <w:t xml:space="preserve">HIGH</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V28 penalizes unspecified codes. Query provider for laterality and severity; validate with ABI or imaging</w:t>
            </w:r>
          </w:p>
        </w:tc>
        <w:tc>
          <w:tcPr>
            <w:tcW w:type="dxa" w:w="146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007A8C"/>
                <w:sz w:val="18"/>
                <w:szCs w:val="18"/>
              </w:rPr>
              <w:t xml:space="preserve">Coding Intel Feb 2026; CMS V28 Mapping [6,8]</w:t>
            </w:r>
          </w:p>
        </w:tc>
      </w:tr>
    </w:tbl>
    <w:p>
      <w:pPr>
        <w:spacing w:after="160" w:before="0"/>
      </w:pPr>
      <w:r>
        <w:t xml:space="preserve"/>
      </w:r>
    </w:p>
    <w:p>
      <w:pPr>
        <w:pBdr>
          <w:bottom w:val="single" w:color="007A8C" w:sz="4"/>
        </w:pBdr>
        <w:shd w:fill="007A8C" w:val="clear"/>
        <w:spacing w:after="60" w:before="200"/>
        <w:ind w:left="120"/>
      </w:pPr>
      <w:r>
        <w:rPr>
          <w:rFonts w:ascii="Arial" w:cs="Arial" w:eastAsia="Arial" w:hAnsi="Arial"/>
          <w:b/>
          <w:bCs/>
          <w:color w:val="FFFFFF"/>
          <w:sz w:val="20"/>
          <w:szCs w:val="20"/>
        </w:rPr>
        <w:t xml:space="preserve">CATEGORY 9 — CHRONIC KIDNEY DISEASE STAGING   |   CMS proposes 50.4% coefficient cut for Stage 3A   |   HCC 329</w:t>
      </w:r>
    </w:p>
    <w:p>
      <w:pPr>
        <w:spacing w:after="100" w:before="40"/>
      </w:pPr>
      <w:r>
        <w:rPr>
          <w:rFonts w:ascii="Arial" w:cs="Arial" w:eastAsia="Arial" w:hAnsi="Arial"/>
          <w:b/>
          <w:bCs/>
          <w:color w:val="007A8C"/>
          <w:sz w:val="21"/>
          <w:szCs w:val="21"/>
        </w:rPr>
        <w:t xml:space="preserve">Evidence: </w:t>
      </w:r>
      <w:r>
        <w:rPr>
          <w:rFonts w:ascii="Arial" w:cs="Arial" w:eastAsia="Arial" w:hAnsi="Arial"/>
          <w:color w:val="1F2937"/>
          <w:sz w:val="21"/>
          <w:szCs w:val="21"/>
        </w:rPr>
        <w:t xml:space="preserve">CMS's 2027 Advance Notice proposes to reduce the CKD Stage 3A (N18.31) HCC coefficient by 50.4% — the single largest proposed reduction of any condition. The CVA focus: is CKD staging validated with a current-year eGFR lab result?</w:t>
      </w:r>
      <w:r>
        <w:rPr>
          <w:rFonts w:ascii="Arial" w:cs="Arial" w:eastAsia="Arial" w:hAnsi="Arial"/>
          <w:color w:val="4B5563"/>
          <w:sz w:val="17"/>
          <w:szCs w:val="17"/>
          <w:vertAlign w:val="superscript"/>
        </w:rPr>
        <w:t xml:space="preserve"> [6]</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500"/>
        <w:gridCol w:w="800"/>
        <w:gridCol w:w="2200"/>
        <w:gridCol w:w="1460"/>
      </w:tblGrid>
      <w:tr>
        <w:trPr>
          <w:tblHeader/>
        </w:trPr>
        <w:tc>
          <w:tcPr>
            <w:tcW w:type="dxa" w:w="12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ICD-10-CM Code</w:t>
            </w:r>
          </w:p>
        </w:tc>
        <w:tc>
          <w:tcPr>
            <w:tcW w:type="dxa" w:w="22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Description / Diagnosis</w:t>
            </w:r>
          </w:p>
        </w:tc>
        <w:tc>
          <w:tcPr>
            <w:tcW w:type="dxa" w:w="15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CMS-HCC V28</w:t>
            </w:r>
          </w:p>
        </w:tc>
        <w:tc>
          <w:tcPr>
            <w:tcW w:type="dxa" w:w="8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OIG Flag</w:t>
            </w:r>
          </w:p>
        </w:tc>
        <w:tc>
          <w:tcPr>
            <w:tcW w:type="dxa" w:w="22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CVA Automation Trigger</w:t>
            </w:r>
          </w:p>
        </w:tc>
        <w:tc>
          <w:tcPr>
            <w:tcW w:type="dxa" w:w="146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Citation</w:t>
            </w:r>
          </w:p>
        </w:tc>
      </w:tr>
      <w:tr>
        <w:tc>
          <w:tcPr>
            <w:tcW w:type="dxa" w:w="1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19"/>
                <w:szCs w:val="19"/>
              </w:rPr>
              <w:t xml:space="preserve">N18.31</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CKD Stage 3a (eGFR 45–59) — HIGHEST volume risk-adjusting CKD code</w:t>
            </w:r>
          </w:p>
        </w:tc>
        <w:tc>
          <w:tcPr>
            <w:tcW w:type="dxa" w:w="15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329 — CKD Stage 3–4</w:t>
            </w:r>
          </w:p>
        </w:tc>
        <w:tc>
          <w:tcPr>
            <w:tcW w:type="dxa" w:w="800"/>
            <w:tcBorders>
              <w:top w:val="single" w:color="D1D5DB" w:sz="4"/>
              <w:left w:val="none" w:color="FFFFFF" w:sz="0"/>
              <w:bottom w:val="single" w:color="D1D5DB" w:sz="4"/>
              <w:right w:val="none" w:color="FFFFFF" w:sz="0"/>
            </w:tcBorders>
            <w:shd w:fill="FEF3C7" w:val="clear"/>
            <w:tcMar>
              <w:top w:type="dxa" w:w="70"/>
              <w:left w:type="dxa" w:w="120"/>
              <w:bottom w:type="dxa" w:w="70"/>
              <w:right w:type="dxa" w:w="80"/>
            </w:tcMar>
          </w:tcPr>
          <w:p>
            <w:r>
              <w:rPr>
                <w:rFonts w:ascii="Arial" w:cs="Arial" w:eastAsia="Arial" w:hAnsi="Arial"/>
                <w:b/>
                <w:bCs/>
                <w:color w:val="92400E"/>
                <w:sz w:val="18"/>
                <w:szCs w:val="18"/>
              </w:rPr>
              <w:t xml:space="preserve">HIGH</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Current-year eGFR lab (CPT 82565) with result 45–59 required. No lab in measurement year = flag</w:t>
            </w:r>
          </w:p>
        </w:tc>
        <w:tc>
          <w:tcPr>
            <w:tcW w:type="dxa" w:w="146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007A8C"/>
                <w:sz w:val="18"/>
                <w:szCs w:val="18"/>
              </w:rPr>
              <w:t xml:space="preserve">RaapidInc V28 Analysis Mar 2026; CMS 2027 Advance Notice [6]</w:t>
            </w:r>
          </w:p>
        </w:tc>
      </w:tr>
      <w:tr>
        <w:tc>
          <w:tcPr>
            <w:tcW w:type="dxa" w:w="1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19"/>
                <w:szCs w:val="19"/>
              </w:rPr>
              <w:t xml:space="preserve">N18.32</w:t>
            </w:r>
          </w:p>
        </w:tc>
        <w:tc>
          <w:tcPr>
            <w:tcW w:type="dxa" w:w="2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CKD Stage 3b (eGFR 30–44; higher weight than 3a)</w:t>
            </w:r>
          </w:p>
        </w:tc>
        <w:tc>
          <w:tcPr>
            <w:tcW w:type="dxa" w:w="15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HCC 329 — CKD Stage 3–4</w:t>
            </w:r>
          </w:p>
        </w:tc>
        <w:tc>
          <w:tcPr>
            <w:tcW w:type="dxa" w:w="800"/>
            <w:tcBorders>
              <w:top w:val="single" w:color="D1D5DB" w:sz="4"/>
              <w:left w:val="none" w:color="FFFFFF" w:sz="0"/>
              <w:bottom w:val="single" w:color="D1D5DB" w:sz="4"/>
              <w:right w:val="none" w:color="FFFFFF" w:sz="0"/>
            </w:tcBorders>
            <w:shd w:fill="FEF3C7" w:val="clear"/>
            <w:tcMar>
              <w:top w:type="dxa" w:w="70"/>
              <w:left w:type="dxa" w:w="120"/>
              <w:bottom w:type="dxa" w:w="70"/>
              <w:right w:type="dxa" w:w="80"/>
            </w:tcMar>
          </w:tcPr>
          <w:p>
            <w:r>
              <w:rPr>
                <w:rFonts w:ascii="Arial" w:cs="Arial" w:eastAsia="Arial" w:hAnsi="Arial"/>
                <w:b/>
                <w:bCs/>
                <w:color w:val="92400E"/>
                <w:sz w:val="18"/>
                <w:szCs w:val="18"/>
              </w:rPr>
              <w:t xml:space="preserve">HIGH</w:t>
            </w:r>
          </w:p>
        </w:tc>
        <w:tc>
          <w:tcPr>
            <w:tcW w:type="dxa" w:w="2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eGFR 30–44 from current-year lab required. Upcoding from N18.31 to N18.32 without lab = flag</w:t>
            </w:r>
          </w:p>
        </w:tc>
        <w:tc>
          <w:tcPr>
            <w:tcW w:type="dxa" w:w="146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007A8C"/>
                <w:sz w:val="18"/>
                <w:szCs w:val="18"/>
              </w:rPr>
              <w:t xml:space="preserve">RaapidInc V28 Mar 2026 [6]</w:t>
            </w:r>
          </w:p>
        </w:tc>
      </w:tr>
      <w:tr>
        <w:tc>
          <w:tcPr>
            <w:tcW w:type="dxa" w:w="1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19"/>
                <w:szCs w:val="19"/>
              </w:rPr>
              <w:t xml:space="preserve">N18.4</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CKD Stage 4 (eGFR 15–29) — upcoding risk from Stage 3b</w:t>
            </w:r>
          </w:p>
        </w:tc>
        <w:tc>
          <w:tcPr>
            <w:tcW w:type="dxa" w:w="15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330 — CKD Stage 5</w:t>
            </w:r>
          </w:p>
        </w:tc>
        <w:tc>
          <w:tcPr>
            <w:tcW w:type="dxa" w:w="800"/>
            <w:tcBorders>
              <w:top w:val="single" w:color="D1D5DB" w:sz="4"/>
              <w:left w:val="none" w:color="FFFFFF" w:sz="0"/>
              <w:bottom w:val="single" w:color="D1D5DB" w:sz="4"/>
              <w:right w:val="none" w:color="FFFFFF" w:sz="0"/>
            </w:tcBorders>
            <w:shd w:fill="FEF3C7" w:val="clear"/>
            <w:tcMar>
              <w:top w:type="dxa" w:w="70"/>
              <w:left w:type="dxa" w:w="120"/>
              <w:bottom w:type="dxa" w:w="70"/>
              <w:right w:type="dxa" w:w="80"/>
            </w:tcMar>
          </w:tcPr>
          <w:p>
            <w:r>
              <w:rPr>
                <w:rFonts w:ascii="Arial" w:cs="Arial" w:eastAsia="Arial" w:hAnsi="Arial"/>
                <w:b/>
                <w:bCs/>
                <w:color w:val="92400E"/>
                <w:sz w:val="18"/>
                <w:szCs w:val="18"/>
              </w:rPr>
              <w:t xml:space="preserve">HIGH</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eGFR 15–29 from current-year lab; nephrology consult claim should accompany</w:t>
            </w:r>
          </w:p>
        </w:tc>
        <w:tc>
          <w:tcPr>
            <w:tcW w:type="dxa" w:w="146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007A8C"/>
                <w:sz w:val="18"/>
                <w:szCs w:val="18"/>
              </w:rPr>
              <w:t xml:space="preserve">RaapidInc V28 Mar 2026; OmniMD Diabetes/CKD Guide 2026 [6,12]</w:t>
            </w:r>
          </w:p>
        </w:tc>
      </w:tr>
      <w:tr>
        <w:tc>
          <w:tcPr>
            <w:tcW w:type="dxa" w:w="1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19"/>
                <w:szCs w:val="19"/>
              </w:rPr>
              <w:t xml:space="preserve">N18.6</w:t>
            </w:r>
          </w:p>
        </w:tc>
        <w:tc>
          <w:tcPr>
            <w:tcW w:type="dxa" w:w="2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End-stage renal disease (dialysis-dependent)</w:t>
            </w:r>
          </w:p>
        </w:tc>
        <w:tc>
          <w:tcPr>
            <w:tcW w:type="dxa" w:w="15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HCC 134 — ESRD</w:t>
            </w:r>
          </w:p>
        </w:tc>
        <w:tc>
          <w:tcPr>
            <w:tcW w:type="dxa" w:w="800"/>
            <w:tcBorders>
              <w:top w:val="single" w:color="D1D5DB" w:sz="4"/>
              <w:left w:val="none" w:color="FFFFFF" w:sz="0"/>
              <w:bottom w:val="single" w:color="D1D5DB" w:sz="4"/>
              <w:right w:val="none" w:color="FFFFFF" w:sz="0"/>
            </w:tcBorders>
            <w:shd w:fill="E0F2FE" w:val="clear"/>
            <w:tcMar>
              <w:top w:type="dxa" w:w="70"/>
              <w:left w:type="dxa" w:w="120"/>
              <w:bottom w:type="dxa" w:w="70"/>
              <w:right w:type="dxa" w:w="80"/>
            </w:tcMar>
          </w:tcPr>
          <w:p>
            <w:r>
              <w:rPr>
                <w:rFonts w:ascii="Arial" w:cs="Arial" w:eastAsia="Arial" w:hAnsi="Arial"/>
                <w:b/>
                <w:bCs/>
                <w:color w:val="007A8C"/>
                <w:sz w:val="18"/>
                <w:szCs w:val="18"/>
              </w:rPr>
              <w:t xml:space="preserve">MEDIUM</w:t>
            </w:r>
          </w:p>
        </w:tc>
        <w:tc>
          <w:tcPr>
            <w:tcW w:type="dxa" w:w="2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Dialysis facility claim (HCPCS G0257 or CPT 90935/90937) required; cross-reference dialysis roster</w:t>
            </w:r>
          </w:p>
        </w:tc>
        <w:tc>
          <w:tcPr>
            <w:tcW w:type="dxa" w:w="146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007A8C"/>
                <w:sz w:val="18"/>
                <w:szCs w:val="18"/>
              </w:rPr>
              <w:t xml:space="preserve">RaapidInc V28 Mar 2026 [6]</w:t>
            </w:r>
          </w:p>
        </w:tc>
      </w:tr>
      <w:tr>
        <w:tc>
          <w:tcPr>
            <w:tcW w:type="dxa" w:w="1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19"/>
                <w:szCs w:val="19"/>
              </w:rPr>
              <w:t xml:space="preserve">N18.1 / N18.2</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CKD Stage 1–2 — does NOT map to a risk-adjusting HCC in V28</w:t>
            </w:r>
          </w:p>
        </w:tc>
        <w:tc>
          <w:tcPr>
            <w:tcW w:type="dxa" w:w="15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No HCC in V28</w:t>
            </w:r>
          </w:p>
        </w:tc>
        <w:tc>
          <w:tcPr>
            <w:tcW w:type="dxa" w:w="8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bCs/>
                <w:color w:val="4B5563"/>
                <w:sz w:val="18"/>
                <w:szCs w:val="18"/>
              </w:rPr>
              <w:t xml:space="preserve">—</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Do not submit N18.1/N18.2 for risk adjustment — generates $0. Code correctly as comorbidity only.</w:t>
            </w:r>
          </w:p>
        </w:tc>
        <w:tc>
          <w:tcPr>
            <w:tcW w:type="dxa" w:w="146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007A8C"/>
                <w:sz w:val="18"/>
                <w:szCs w:val="18"/>
              </w:rPr>
              <w:t xml:space="preserve">CMS-HCC V28 Mapping [6]</w:t>
            </w:r>
          </w:p>
        </w:tc>
      </w:tr>
    </w:tbl>
    <w:p>
      <w:pPr>
        <w:spacing w:after="160" w:before="0"/>
      </w:pPr>
      <w:r>
        <w:t xml:space="preserve"/>
      </w:r>
    </w:p>
    <w:p>
      <w:pPr>
        <w:pBdr>
          <w:bottom w:val="single" w:color="007A8C" w:sz="4"/>
        </w:pBdr>
        <w:shd w:fill="007A8C" w:val="clear"/>
        <w:spacing w:after="60" w:before="200"/>
        <w:ind w:left="120"/>
      </w:pPr>
      <w:r>
        <w:rPr>
          <w:rFonts w:ascii="Arial" w:cs="Arial" w:eastAsia="Arial" w:hAnsi="Arial"/>
          <w:b/>
          <w:bCs/>
          <w:color w:val="FFFFFF"/>
          <w:sz w:val="20"/>
          <w:szCs w:val="20"/>
        </w:rPr>
        <w:t xml:space="preserve">CATEGORY 10 — COPD   |   CMS reducing coefficient 18.8%; J44.9 removed from V28   |   HCC 111</w:t>
      </w:r>
    </w:p>
    <w:p>
      <w:pPr>
        <w:spacing w:after="100" w:before="40"/>
      </w:pPr>
      <w:r>
        <w:rPr>
          <w:rFonts w:ascii="Arial" w:cs="Arial" w:eastAsia="Arial" w:hAnsi="Arial"/>
          <w:b/>
          <w:bCs/>
          <w:color w:val="007A8C"/>
          <w:sz w:val="21"/>
          <w:szCs w:val="21"/>
        </w:rPr>
        <w:t xml:space="preserve">Evidence: </w:t>
      </w:r>
      <w:r>
        <w:rPr>
          <w:rFonts w:ascii="Arial" w:cs="Arial" w:eastAsia="Arial" w:hAnsi="Arial"/>
          <w:color w:val="1F2937"/>
          <w:sz w:val="21"/>
          <w:szCs w:val="21"/>
        </w:rPr>
        <w:t xml:space="preserve">CMS is specifically ratcheting down payments for lung disease because data shows MA insurers were using upcoding to game the risk adjustment system. J44.9 (unspecified COPD) was removed from V28 — any plan submitting it for risk adjustment receives $0.</w:t>
      </w:r>
      <w:r>
        <w:rPr>
          <w:rFonts w:ascii="Arial" w:cs="Arial" w:eastAsia="Arial" w:hAnsi="Arial"/>
          <w:color w:val="4B5563"/>
          <w:sz w:val="17"/>
          <w:szCs w:val="17"/>
          <w:vertAlign w:val="superscript"/>
        </w:rPr>
        <w:t xml:space="preserve"> [16,6]</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500"/>
        <w:gridCol w:w="800"/>
        <w:gridCol w:w="2200"/>
        <w:gridCol w:w="1460"/>
      </w:tblGrid>
      <w:tr>
        <w:trPr>
          <w:tblHeader/>
        </w:trPr>
        <w:tc>
          <w:tcPr>
            <w:tcW w:type="dxa" w:w="12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ICD-10-CM Code</w:t>
            </w:r>
          </w:p>
        </w:tc>
        <w:tc>
          <w:tcPr>
            <w:tcW w:type="dxa" w:w="22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Description / Diagnosis</w:t>
            </w:r>
          </w:p>
        </w:tc>
        <w:tc>
          <w:tcPr>
            <w:tcW w:type="dxa" w:w="15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CMS-HCC V28</w:t>
            </w:r>
          </w:p>
        </w:tc>
        <w:tc>
          <w:tcPr>
            <w:tcW w:type="dxa" w:w="8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OIG Flag</w:t>
            </w:r>
          </w:p>
        </w:tc>
        <w:tc>
          <w:tcPr>
            <w:tcW w:type="dxa" w:w="22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CVA Automation Trigger</w:t>
            </w:r>
          </w:p>
        </w:tc>
        <w:tc>
          <w:tcPr>
            <w:tcW w:type="dxa" w:w="146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Citation</w:t>
            </w:r>
          </w:p>
        </w:tc>
      </w:tr>
      <w:tr>
        <w:tc>
          <w:tcPr>
            <w:tcW w:type="dxa" w:w="1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19"/>
                <w:szCs w:val="19"/>
              </w:rPr>
              <w:t xml:space="preserve">J44.9</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COPD, unspecified — REMOVED from V28 HCC mapping</w:t>
            </w:r>
          </w:p>
        </w:tc>
        <w:tc>
          <w:tcPr>
            <w:tcW w:type="dxa" w:w="15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No HCC in V28 — Zero value</w:t>
            </w:r>
          </w:p>
        </w:tc>
        <w:tc>
          <w:tcPr>
            <w:tcW w:type="dxa" w:w="800"/>
            <w:tcBorders>
              <w:top w:val="single" w:color="D1D5DB" w:sz="4"/>
              <w:left w:val="none" w:color="FFFFFF" w:sz="0"/>
              <w:bottom w:val="single" w:color="D1D5DB" w:sz="4"/>
              <w:right w:val="none" w:color="FFFFFF" w:sz="0"/>
            </w:tcBorders>
            <w:shd w:fill="FEE2E2" w:val="clear"/>
            <w:tcMar>
              <w:top w:type="dxa" w:w="70"/>
              <w:left w:type="dxa" w:w="120"/>
              <w:bottom w:type="dxa" w:w="70"/>
              <w:right w:type="dxa" w:w="80"/>
            </w:tcMar>
          </w:tcPr>
          <w:p>
            <w:r>
              <w:rPr>
                <w:rFonts w:ascii="Arial" w:cs="Arial" w:eastAsia="Arial" w:hAnsi="Arial"/>
                <w:b/>
                <w:bCs/>
                <w:color w:val="991B1B"/>
                <w:sz w:val="18"/>
                <w:szCs w:val="18"/>
              </w:rPr>
              <w:t xml:space="preserve">CRITICAL</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Any J44.9 submitted for V28 risk adjustment = $0. Recode to J44.0 or J44.1 with clinical basis.</w:t>
            </w:r>
          </w:p>
        </w:tc>
        <w:tc>
          <w:tcPr>
            <w:tcW w:type="dxa" w:w="146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007A8C"/>
                <w:sz w:val="18"/>
                <w:szCs w:val="18"/>
              </w:rPr>
              <w:t xml:space="preserve">RaapidInc V28 Analysis Mar 2026; CMS-HCC V28 Mapping [6]</w:t>
            </w:r>
          </w:p>
        </w:tc>
      </w:tr>
      <w:tr>
        <w:tc>
          <w:tcPr>
            <w:tcW w:type="dxa" w:w="1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19"/>
                <w:szCs w:val="19"/>
              </w:rPr>
              <w:t xml:space="preserve">J44.1</w:t>
            </w:r>
          </w:p>
        </w:tc>
        <w:tc>
          <w:tcPr>
            <w:tcW w:type="dxa" w:w="2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COPD with acute exacerbation (highest HCC weight; highest abuse potential)</w:t>
            </w:r>
          </w:p>
        </w:tc>
        <w:tc>
          <w:tcPr>
            <w:tcW w:type="dxa" w:w="15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HCC 111 — COPD</w:t>
            </w:r>
          </w:p>
        </w:tc>
        <w:tc>
          <w:tcPr>
            <w:tcW w:type="dxa" w:w="800"/>
            <w:tcBorders>
              <w:top w:val="single" w:color="D1D5DB" w:sz="4"/>
              <w:left w:val="none" w:color="FFFFFF" w:sz="0"/>
              <w:bottom w:val="single" w:color="D1D5DB" w:sz="4"/>
              <w:right w:val="none" w:color="FFFFFF" w:sz="0"/>
            </w:tcBorders>
            <w:shd w:fill="FEF3C7" w:val="clear"/>
            <w:tcMar>
              <w:top w:type="dxa" w:w="70"/>
              <w:left w:type="dxa" w:w="120"/>
              <w:bottom w:type="dxa" w:w="70"/>
              <w:right w:type="dxa" w:w="80"/>
            </w:tcMar>
          </w:tcPr>
          <w:p>
            <w:r>
              <w:rPr>
                <w:rFonts w:ascii="Arial" w:cs="Arial" w:eastAsia="Arial" w:hAnsi="Arial"/>
                <w:b/>
                <w:bCs/>
                <w:color w:val="92400E"/>
                <w:sz w:val="18"/>
                <w:szCs w:val="18"/>
              </w:rPr>
              <w:t xml:space="preserve">HIGH</w:t>
            </w:r>
          </w:p>
        </w:tc>
        <w:tc>
          <w:tcPr>
            <w:tcW w:type="dxa" w:w="2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No systemic steroid Rx (prednisone burst) or ER/inpatient claim for respiratory distress = flag</w:t>
            </w:r>
          </w:p>
        </w:tc>
        <w:tc>
          <w:tcPr>
            <w:tcW w:type="dxa" w:w="146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007A8C"/>
                <w:sz w:val="18"/>
                <w:szCs w:val="18"/>
              </w:rPr>
              <w:t xml:space="preserve">STAT News Feb 2026; Wolters Kluwer Feb 2024 [11,16]</w:t>
            </w:r>
          </w:p>
        </w:tc>
      </w:tr>
      <w:tr>
        <w:tc>
          <w:tcPr>
            <w:tcW w:type="dxa" w:w="1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19"/>
                <w:szCs w:val="19"/>
              </w:rPr>
              <w:t xml:space="preserve">J44.0</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COPD with acute lower respiratory infection</w:t>
            </w:r>
          </w:p>
        </w:tc>
        <w:tc>
          <w:tcPr>
            <w:tcW w:type="dxa" w:w="15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111 — COPD</w:t>
            </w:r>
          </w:p>
        </w:tc>
        <w:tc>
          <w:tcPr>
            <w:tcW w:type="dxa" w:w="800"/>
            <w:tcBorders>
              <w:top w:val="single" w:color="D1D5DB" w:sz="4"/>
              <w:left w:val="none" w:color="FFFFFF" w:sz="0"/>
              <w:bottom w:val="single" w:color="D1D5DB" w:sz="4"/>
              <w:right w:val="none" w:color="FFFFFF" w:sz="0"/>
            </w:tcBorders>
            <w:shd w:fill="FEF3C7" w:val="clear"/>
            <w:tcMar>
              <w:top w:type="dxa" w:w="70"/>
              <w:left w:type="dxa" w:w="120"/>
              <w:bottom w:type="dxa" w:w="70"/>
              <w:right w:type="dxa" w:w="80"/>
            </w:tcMar>
          </w:tcPr>
          <w:p>
            <w:r>
              <w:rPr>
                <w:rFonts w:ascii="Arial" w:cs="Arial" w:eastAsia="Arial" w:hAnsi="Arial"/>
                <w:b/>
                <w:bCs/>
                <w:color w:val="92400E"/>
                <w:sz w:val="18"/>
                <w:szCs w:val="18"/>
              </w:rPr>
              <w:t xml:space="preserve">HIGH</w:t>
            </w:r>
          </w:p>
        </w:tc>
        <w:tc>
          <w:tcPr>
            <w:tcW w:type="dxa" w:w="22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Antibiotic Rx required AND physician documentation of acute infection on same/adjacent date</w:t>
            </w:r>
          </w:p>
        </w:tc>
        <w:tc>
          <w:tcPr>
            <w:tcW w:type="dxa" w:w="146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007A8C"/>
                <w:sz w:val="18"/>
                <w:szCs w:val="18"/>
              </w:rPr>
              <w:t xml:space="preserve">Wolters Kluwer Feb 2024 [11]</w:t>
            </w:r>
          </w:p>
        </w:tc>
      </w:tr>
      <w:tr>
        <w:tc>
          <w:tcPr>
            <w:tcW w:type="dxa" w:w="1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19"/>
                <w:szCs w:val="19"/>
              </w:rPr>
              <w:t xml:space="preserve">J43.9</w:t>
            </w:r>
          </w:p>
        </w:tc>
        <w:tc>
          <w:tcPr>
            <w:tcW w:type="dxa" w:w="2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Emphysema, unspecified (maps to HCC 111 if documented with PFT)</w:t>
            </w:r>
          </w:p>
        </w:tc>
        <w:tc>
          <w:tcPr>
            <w:tcW w:type="dxa" w:w="15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HCC 111 — COPD</w:t>
            </w:r>
          </w:p>
        </w:tc>
        <w:tc>
          <w:tcPr>
            <w:tcW w:type="dxa" w:w="800"/>
            <w:tcBorders>
              <w:top w:val="single" w:color="D1D5DB" w:sz="4"/>
              <w:left w:val="none" w:color="FFFFFF" w:sz="0"/>
              <w:bottom w:val="single" w:color="D1D5DB" w:sz="4"/>
              <w:right w:val="none" w:color="FFFFFF" w:sz="0"/>
            </w:tcBorders>
            <w:shd w:fill="E0F2FE" w:val="clear"/>
            <w:tcMar>
              <w:top w:type="dxa" w:w="70"/>
              <w:left w:type="dxa" w:w="120"/>
              <w:bottom w:type="dxa" w:w="70"/>
              <w:right w:type="dxa" w:w="80"/>
            </w:tcMar>
          </w:tcPr>
          <w:p>
            <w:r>
              <w:rPr>
                <w:rFonts w:ascii="Arial" w:cs="Arial" w:eastAsia="Arial" w:hAnsi="Arial"/>
                <w:b/>
                <w:bCs/>
                <w:color w:val="007A8C"/>
                <w:sz w:val="18"/>
                <w:szCs w:val="18"/>
              </w:rPr>
              <w:t xml:space="preserve">MEDIUM</w:t>
            </w:r>
          </w:p>
        </w:tc>
        <w:tc>
          <w:tcPr>
            <w:tcW w:type="dxa" w:w="22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PFT (CPT 94010–94070) confirming obstructive pattern required; radiological emphysema alone insufficient</w:t>
            </w:r>
          </w:p>
        </w:tc>
        <w:tc>
          <w:tcPr>
            <w:tcW w:type="dxa" w:w="146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007A8C"/>
                <w:sz w:val="18"/>
                <w:szCs w:val="18"/>
              </w:rPr>
              <w:t xml:space="preserve">CMS-HCC V28 Mapping; UASI FY2026 Updates [6,10]</w:t>
            </w:r>
          </w:p>
        </w:tc>
      </w:tr>
    </w:tbl>
    <w:p>
      <w:pPr>
        <w:spacing w:after="200" w:before="0"/>
      </w:pPr>
      <w:r>
        <w:t xml:space="preserve"/>
      </w:r>
    </w:p>
    <w:p>
      <w:pPr>
        <w:pStyle w:val="Heading2"/>
        <w:spacing w:after="60" w:before="280"/>
      </w:pPr>
      <w:r>
        <w:rPr>
          <w:rFonts w:ascii="Arial" w:cs="Arial" w:eastAsia="Arial" w:hAnsi="Arial"/>
          <w:b/>
          <w:bCs/>
          <w:color w:val="007A8C"/>
          <w:sz w:val="26"/>
          <w:szCs w:val="26"/>
        </w:rPr>
        <w:t xml:space="preserve">Part 1 Summary — All 10 Diagnosis Categories</w:t>
      </w:r>
    </w:p>
    <w:p>
      <w:pPr>
        <w:spacing w:after="100" w:before="40"/>
      </w:pPr>
      <w:r>
        <w:rPr>
          <w:rFonts w:ascii="Arial" w:cs="Arial" w:eastAsia="Arial" w:hAnsi="Arial"/>
          <w:color w:val="1F2937"/>
          <w:sz w:val="21"/>
          <w:szCs w:val="21"/>
        </w:rPr>
        <w:t xml:space="preserve">Estimated spend and recovery anchored to Humana's 5.8 million Medicare Advantage members. Conservative 35–45% recovery rate applied post-appeal.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200"/>
        <w:gridCol w:w="1400"/>
        <w:gridCol w:w="1600"/>
        <w:gridCol w:w="1200"/>
        <w:gridCol w:w="1160"/>
      </w:tblGrid>
      <w:tr>
        <w:trPr>
          <w:tblHeader/>
        </w:trPr>
        <w:tc>
          <w:tcPr>
            <w:tcW w:type="dxa" w:w="6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r>
              <w:rPr>
                <w:rFonts w:ascii="Arial" w:cs="Arial" w:eastAsia="Arial" w:hAnsi="Arial"/>
                <w:b/>
                <w:bCs/>
                <w:color w:val="FFFFFF"/>
                <w:sz w:val="17"/>
                <w:szCs w:val="17"/>
              </w:rPr>
              <w:t xml:space="preserve">#</w:t>
            </w:r>
          </w:p>
        </w:tc>
        <w:tc>
          <w:tcPr>
            <w:tcW w:type="dxa" w:w="22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r>
              <w:rPr>
                <w:rFonts w:ascii="Arial" w:cs="Arial" w:eastAsia="Arial" w:hAnsi="Arial"/>
                <w:b/>
                <w:bCs/>
                <w:color w:val="FFFFFF"/>
                <w:sz w:val="17"/>
                <w:szCs w:val="17"/>
              </w:rPr>
              <w:t xml:space="preserve">Category</w:t>
            </w:r>
          </w:p>
        </w:tc>
        <w:tc>
          <w:tcPr>
            <w:tcW w:type="dxa" w:w="12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r>
              <w:rPr>
                <w:rFonts w:ascii="Arial" w:cs="Arial" w:eastAsia="Arial" w:hAnsi="Arial"/>
                <w:b/>
                <w:bCs/>
                <w:color w:val="FFFFFF"/>
                <w:sz w:val="17"/>
                <w:szCs w:val="17"/>
              </w:rPr>
              <w:t xml:space="preserve">Key Codes</w:t>
            </w:r>
          </w:p>
        </w:tc>
        <w:tc>
          <w:tcPr>
            <w:tcW w:type="dxa" w:w="14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r>
              <w:rPr>
                <w:rFonts w:ascii="Arial" w:cs="Arial" w:eastAsia="Arial" w:hAnsi="Arial"/>
                <w:b/>
                <w:bCs/>
                <w:color w:val="FFFFFF"/>
                <w:sz w:val="17"/>
                <w:szCs w:val="17"/>
              </w:rPr>
              <w:t xml:space="preserve">OIG Error Rate</w:t>
            </w:r>
          </w:p>
        </w:tc>
        <w:tc>
          <w:tcPr>
            <w:tcW w:type="dxa" w:w="16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r>
              <w:rPr>
                <w:rFonts w:ascii="Arial" w:cs="Arial" w:eastAsia="Arial" w:hAnsi="Arial"/>
                <w:b/>
                <w:bCs/>
                <w:color w:val="FFFFFF"/>
                <w:sz w:val="17"/>
                <w:szCs w:val="17"/>
              </w:rPr>
              <w:t xml:space="preserve">Humana Annual Spend</w:t>
            </w:r>
          </w:p>
        </w:tc>
        <w:tc>
          <w:tcPr>
            <w:tcW w:type="dxa" w:w="12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r>
              <w:rPr>
                <w:rFonts w:ascii="Arial" w:cs="Arial" w:eastAsia="Arial" w:hAnsi="Arial"/>
                <w:b/>
                <w:bCs/>
                <w:color w:val="FFFFFF"/>
                <w:sz w:val="17"/>
                <w:szCs w:val="17"/>
              </w:rPr>
              <w:t xml:space="preserve">Improper Pool</w:t>
            </w:r>
          </w:p>
        </w:tc>
        <w:tc>
          <w:tcPr>
            <w:tcW w:type="dxa" w:w="116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r>
              <w:rPr>
                <w:rFonts w:ascii="Arial" w:cs="Arial" w:eastAsia="Arial" w:hAnsi="Arial"/>
                <w:b/>
                <w:bCs/>
                <w:color w:val="FFFFFF"/>
                <w:sz w:val="17"/>
                <w:szCs w:val="17"/>
              </w:rPr>
              <w:t xml:space="preserve">OIG Source</w:t>
            </w:r>
          </w:p>
        </w:tc>
      </w:tr>
      <w:tr>
        <w:tc>
          <w:tcPr>
            <w:tcW w:type="dxa" w:w="6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1</w:t>
            </w:r>
          </w:p>
        </w:tc>
        <w:tc>
          <w:tcPr>
            <w:tcW w:type="dxa" w:w="22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Acute Stroke</w:t>
            </w:r>
          </w:p>
        </w:tc>
        <w:tc>
          <w:tcPr>
            <w:tcW w:type="dxa" w:w="12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I63.x</w:t>
            </w:r>
          </w:p>
        </w:tc>
        <w:tc>
          <w:tcPr>
            <w:tcW w:type="dxa" w:w="14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&gt;90%</w:t>
            </w:r>
          </w:p>
        </w:tc>
        <w:tc>
          <w:tcPr>
            <w:tcW w:type="dxa" w:w="16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$680M</w:t>
            </w:r>
          </w:p>
        </w:tc>
        <w:tc>
          <w:tcPr>
            <w:tcW w:type="dxa" w:w="12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$612M</w:t>
            </w:r>
          </w:p>
        </w:tc>
        <w:tc>
          <w:tcPr>
            <w:tcW w:type="dxa" w:w="116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[1,2,3]</w:t>
            </w:r>
          </w:p>
        </w:tc>
      </w:tr>
      <w:tr>
        <w:tc>
          <w:tcPr>
            <w:tcW w:type="dxa" w:w="6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2</w:t>
            </w:r>
          </w:p>
        </w:tc>
        <w:tc>
          <w:tcPr>
            <w:tcW w:type="dxa" w:w="22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Acute MI</w:t>
            </w:r>
          </w:p>
        </w:tc>
        <w:tc>
          <w:tcPr>
            <w:tcW w:type="dxa" w:w="12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I21.x</w:t>
            </w:r>
          </w:p>
        </w:tc>
        <w:tc>
          <w:tcPr>
            <w:tcW w:type="dxa" w:w="14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&gt;90%</w:t>
            </w:r>
          </w:p>
        </w:tc>
        <w:tc>
          <w:tcPr>
            <w:tcW w:type="dxa" w:w="16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$520M</w:t>
            </w:r>
          </w:p>
        </w:tc>
        <w:tc>
          <w:tcPr>
            <w:tcW w:type="dxa" w:w="12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$468M</w:t>
            </w:r>
          </w:p>
        </w:tc>
        <w:tc>
          <w:tcPr>
            <w:tcW w:type="dxa" w:w="116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[1,2,4]</w:t>
            </w:r>
          </w:p>
        </w:tc>
      </w:tr>
      <w:tr>
        <w:tc>
          <w:tcPr>
            <w:tcW w:type="dxa" w:w="6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3</w:t>
            </w:r>
          </w:p>
        </w:tc>
        <w:tc>
          <w:tcPr>
            <w:tcW w:type="dxa" w:w="22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PE / DVT</w:t>
            </w:r>
          </w:p>
        </w:tc>
        <w:tc>
          <w:tcPr>
            <w:tcW w:type="dxa" w:w="12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I26.x, I82.x</w:t>
            </w:r>
          </w:p>
        </w:tc>
        <w:tc>
          <w:tcPr>
            <w:tcW w:type="dxa" w:w="14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HIGH</w:t>
            </w:r>
          </w:p>
        </w:tc>
        <w:tc>
          <w:tcPr>
            <w:tcW w:type="dxa" w:w="16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$310M</w:t>
            </w:r>
          </w:p>
        </w:tc>
        <w:tc>
          <w:tcPr>
            <w:tcW w:type="dxa" w:w="12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$217M</w:t>
            </w:r>
          </w:p>
        </w:tc>
        <w:tc>
          <w:tcPr>
            <w:tcW w:type="dxa" w:w="116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[1,7]</w:t>
            </w:r>
          </w:p>
        </w:tc>
      </w:tr>
      <w:tr>
        <w:tc>
          <w:tcPr>
            <w:tcW w:type="dxa" w:w="6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4</w:t>
            </w:r>
          </w:p>
        </w:tc>
        <w:tc>
          <w:tcPr>
            <w:tcW w:type="dxa" w:w="22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Active Cancers</w:t>
            </w:r>
          </w:p>
        </w:tc>
        <w:tc>
          <w:tcPr>
            <w:tcW w:type="dxa" w:w="12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C34.x, C50.x, C18.x, C61</w:t>
            </w:r>
          </w:p>
        </w:tc>
        <w:tc>
          <w:tcPr>
            <w:tcW w:type="dxa" w:w="14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&gt;90%</w:t>
            </w:r>
          </w:p>
        </w:tc>
        <w:tc>
          <w:tcPr>
            <w:tcW w:type="dxa" w:w="16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$890M</w:t>
            </w:r>
          </w:p>
        </w:tc>
        <w:tc>
          <w:tcPr>
            <w:tcW w:type="dxa" w:w="12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$801M</w:t>
            </w:r>
          </w:p>
        </w:tc>
        <w:tc>
          <w:tcPr>
            <w:tcW w:type="dxa" w:w="116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[1,9]</w:t>
            </w:r>
          </w:p>
        </w:tc>
      </w:tr>
      <w:tr>
        <w:tc>
          <w:tcPr>
            <w:tcW w:type="dxa" w:w="6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5</w:t>
            </w:r>
          </w:p>
        </w:tc>
        <w:tc>
          <w:tcPr>
            <w:tcW w:type="dxa" w:w="22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Major Depression</w:t>
            </w:r>
          </w:p>
        </w:tc>
        <w:tc>
          <w:tcPr>
            <w:tcW w:type="dxa" w:w="12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F32.x, F33.x</w:t>
            </w:r>
          </w:p>
        </w:tc>
        <w:tc>
          <w:tcPr>
            <w:tcW w:type="dxa" w:w="14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HIGH</w:t>
            </w:r>
          </w:p>
        </w:tc>
        <w:tc>
          <w:tcPr>
            <w:tcW w:type="dxa" w:w="16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$280M</w:t>
            </w:r>
          </w:p>
        </w:tc>
        <w:tc>
          <w:tcPr>
            <w:tcW w:type="dxa" w:w="12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$168M</w:t>
            </w:r>
          </w:p>
        </w:tc>
        <w:tc>
          <w:tcPr>
            <w:tcW w:type="dxa" w:w="116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[9,10]</w:t>
            </w:r>
          </w:p>
        </w:tc>
      </w:tr>
      <w:tr>
        <w:tc>
          <w:tcPr>
            <w:tcW w:type="dxa" w:w="6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6</w:t>
            </w:r>
          </w:p>
        </w:tc>
        <w:tc>
          <w:tcPr>
            <w:tcW w:type="dxa" w:w="22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Diabetes Complic.</w:t>
            </w:r>
          </w:p>
        </w:tc>
        <w:tc>
          <w:tcPr>
            <w:tcW w:type="dxa" w:w="12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E11.22–E11.65</w:t>
            </w:r>
          </w:p>
        </w:tc>
        <w:tc>
          <w:tcPr>
            <w:tcW w:type="dxa" w:w="14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HIGH</w:t>
            </w:r>
          </w:p>
        </w:tc>
        <w:tc>
          <w:tcPr>
            <w:tcW w:type="dxa" w:w="16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$1.2B</w:t>
            </w:r>
          </w:p>
        </w:tc>
        <w:tc>
          <w:tcPr>
            <w:tcW w:type="dxa" w:w="12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$360M</w:t>
            </w:r>
          </w:p>
        </w:tc>
        <w:tc>
          <w:tcPr>
            <w:tcW w:type="dxa" w:w="116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[11,12,13]</w:t>
            </w:r>
          </w:p>
        </w:tc>
      </w:tr>
      <w:tr>
        <w:tc>
          <w:tcPr>
            <w:tcW w:type="dxa" w:w="6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7</w:t>
            </w:r>
          </w:p>
        </w:tc>
        <w:tc>
          <w:tcPr>
            <w:tcW w:type="dxa" w:w="22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Morbid Obesity</w:t>
            </w:r>
          </w:p>
        </w:tc>
        <w:tc>
          <w:tcPr>
            <w:tcW w:type="dxa" w:w="12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E66.01</w:t>
            </w:r>
          </w:p>
        </w:tc>
        <w:tc>
          <w:tcPr>
            <w:tcW w:type="dxa" w:w="14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HIGH</w:t>
            </w:r>
          </w:p>
        </w:tc>
        <w:tc>
          <w:tcPr>
            <w:tcW w:type="dxa" w:w="16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$340M</w:t>
            </w:r>
          </w:p>
        </w:tc>
        <w:tc>
          <w:tcPr>
            <w:tcW w:type="dxa" w:w="12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$204M</w:t>
            </w:r>
          </w:p>
        </w:tc>
        <w:tc>
          <w:tcPr>
            <w:tcW w:type="dxa" w:w="116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[11,6]</w:t>
            </w:r>
          </w:p>
        </w:tc>
      </w:tr>
      <w:tr>
        <w:tc>
          <w:tcPr>
            <w:tcW w:type="dxa" w:w="6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8</w:t>
            </w:r>
          </w:p>
        </w:tc>
        <w:tc>
          <w:tcPr>
            <w:tcW w:type="dxa" w:w="22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Vascular Disease</w:t>
            </w:r>
          </w:p>
        </w:tc>
        <w:tc>
          <w:tcPr>
            <w:tcW w:type="dxa" w:w="12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I70.21x, I73.9</w:t>
            </w:r>
          </w:p>
        </w:tc>
        <w:tc>
          <w:tcPr>
            <w:tcW w:type="dxa" w:w="14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HIGH</w:t>
            </w:r>
          </w:p>
        </w:tc>
        <w:tc>
          <w:tcPr>
            <w:tcW w:type="dxa" w:w="16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$420M</w:t>
            </w:r>
          </w:p>
        </w:tc>
        <w:tc>
          <w:tcPr>
            <w:tcW w:type="dxa" w:w="12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$210M</w:t>
            </w:r>
          </w:p>
        </w:tc>
        <w:tc>
          <w:tcPr>
            <w:tcW w:type="dxa" w:w="116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[11,15]</w:t>
            </w:r>
          </w:p>
        </w:tc>
      </w:tr>
      <w:tr>
        <w:tc>
          <w:tcPr>
            <w:tcW w:type="dxa" w:w="6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9</w:t>
            </w:r>
          </w:p>
        </w:tc>
        <w:tc>
          <w:tcPr>
            <w:tcW w:type="dxa" w:w="22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CKD Staging</w:t>
            </w:r>
          </w:p>
        </w:tc>
        <w:tc>
          <w:tcPr>
            <w:tcW w:type="dxa" w:w="12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N18.31–N18.6</w:t>
            </w:r>
          </w:p>
        </w:tc>
        <w:tc>
          <w:tcPr>
            <w:tcW w:type="dxa" w:w="14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MEDIUM-HIGH</w:t>
            </w:r>
          </w:p>
        </w:tc>
        <w:tc>
          <w:tcPr>
            <w:tcW w:type="dxa" w:w="16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$580M</w:t>
            </w:r>
          </w:p>
        </w:tc>
        <w:tc>
          <w:tcPr>
            <w:tcW w:type="dxa" w:w="12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$116M</w:t>
            </w:r>
          </w:p>
        </w:tc>
        <w:tc>
          <w:tcPr>
            <w:tcW w:type="dxa" w:w="116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[6]</w:t>
            </w:r>
          </w:p>
        </w:tc>
      </w:tr>
      <w:tr>
        <w:tc>
          <w:tcPr>
            <w:tcW w:type="dxa" w:w="6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10</w:t>
            </w:r>
          </w:p>
        </w:tc>
        <w:tc>
          <w:tcPr>
            <w:tcW w:type="dxa" w:w="22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COPD</w:t>
            </w:r>
          </w:p>
        </w:tc>
        <w:tc>
          <w:tcPr>
            <w:tcW w:type="dxa" w:w="12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J44.0, J44.1</w:t>
            </w:r>
          </w:p>
        </w:tc>
        <w:tc>
          <w:tcPr>
            <w:tcW w:type="dxa" w:w="14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MEDIUM-HIGH</w:t>
            </w:r>
          </w:p>
        </w:tc>
        <w:tc>
          <w:tcPr>
            <w:tcW w:type="dxa" w:w="16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$390M</w:t>
            </w:r>
          </w:p>
        </w:tc>
        <w:tc>
          <w:tcPr>
            <w:tcW w:type="dxa" w:w="12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$234M</w:t>
            </w:r>
          </w:p>
        </w:tc>
        <w:tc>
          <w:tcPr>
            <w:tcW w:type="dxa" w:w="116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[16,6]</w:t>
            </w:r>
          </w:p>
        </w:tc>
      </w:tr>
      <w:tr>
        <w:tc>
          <w:tcPr>
            <w:tcW w:type="dxa" w:w="600"/>
            <w:tcBorders>
              <w:top w:val="single" w:color="007A8C" w:sz="4"/>
              <w:left w:val="none" w:color="FFFFFF" w:sz="0"/>
              <w:bottom w:val="single" w:color="007A8C" w:sz="4"/>
              <w:right w:val="none" w:color="FFFFFF" w:sz="0"/>
            </w:tcBorders>
            <w:shd w:fill="E0F2FE" w:val="clear"/>
            <w:tcMar>
              <w:top w:type="dxa" w:w="70"/>
              <w:left w:type="dxa" w:w="100"/>
              <w:bottom w:type="dxa" w:w="70"/>
              <w:right w:type="dxa" w:w="60"/>
            </w:tcMar>
          </w:tcPr>
          <w:p>
            <w:pPr>
              <w:jc w:val="left"/>
            </w:pPr>
            <w:r>
              <w:rPr>
                <w:rFonts w:ascii="Arial" w:cs="Arial" w:eastAsia="Arial" w:hAnsi="Arial"/>
                <w:b/>
                <w:bCs/>
                <w:color w:val="0D1B4B"/>
                <w:sz w:val="17"/>
                <w:szCs w:val="17"/>
              </w:rPr>
              <w:t xml:space="preserve">TOTAL</w:t>
            </w:r>
          </w:p>
        </w:tc>
        <w:tc>
          <w:tcPr>
            <w:tcW w:type="dxa" w:w="2200"/>
            <w:tcBorders>
              <w:top w:val="single" w:color="007A8C" w:sz="4"/>
              <w:left w:val="none" w:color="FFFFFF" w:sz="0"/>
              <w:bottom w:val="single" w:color="007A8C" w:sz="4"/>
              <w:right w:val="none" w:color="FFFFFF" w:sz="0"/>
            </w:tcBorders>
            <w:shd w:fill="E0F2FE" w:val="clear"/>
            <w:tcMar>
              <w:top w:type="dxa" w:w="70"/>
              <w:left w:type="dxa" w:w="100"/>
              <w:bottom w:type="dxa" w:w="70"/>
              <w:right w:type="dxa" w:w="60"/>
            </w:tcMar>
          </w:tcPr>
          <w:p>
            <w:pPr>
              <w:jc w:val="left"/>
            </w:pPr>
            <w:r>
              <w:rPr>
                <w:rFonts w:ascii="Arial" w:cs="Arial" w:eastAsia="Arial" w:hAnsi="Arial"/>
                <w:b/>
                <w:bCs/>
                <w:color w:val="0D1B4B"/>
                <w:sz w:val="17"/>
                <w:szCs w:val="17"/>
              </w:rPr>
              <w:t xml:space="preserve">All 10 Categories</w:t>
            </w:r>
          </w:p>
        </w:tc>
        <w:tc>
          <w:tcPr>
            <w:tcW w:type="dxa" w:w="1200"/>
            <w:tcBorders>
              <w:top w:val="single" w:color="007A8C" w:sz="4"/>
              <w:left w:val="none" w:color="FFFFFF" w:sz="0"/>
              <w:bottom w:val="single" w:color="007A8C" w:sz="4"/>
              <w:right w:val="none" w:color="FFFFFF" w:sz="0"/>
            </w:tcBorders>
            <w:shd w:fill="E0F2FE" w:val="clear"/>
            <w:tcMar>
              <w:top w:type="dxa" w:w="70"/>
              <w:left w:type="dxa" w:w="100"/>
              <w:bottom w:type="dxa" w:w="70"/>
              <w:right w:type="dxa" w:w="60"/>
            </w:tcMar>
          </w:tcPr>
          <w:p>
            <w:pPr>
              <w:jc w:val="left"/>
            </w:pPr>
            <w:r>
              <w:rPr>
                <w:rFonts w:ascii="Arial" w:cs="Arial" w:eastAsia="Arial" w:hAnsi="Arial"/>
                <w:b/>
                <w:bCs/>
                <w:color w:val="0D1B4B"/>
                <w:sz w:val="17"/>
                <w:szCs w:val="17"/>
              </w:rPr>
              <w:t xml:space="preserve">—</w:t>
            </w:r>
          </w:p>
        </w:tc>
        <w:tc>
          <w:tcPr>
            <w:tcW w:type="dxa" w:w="1400"/>
            <w:tcBorders>
              <w:top w:val="single" w:color="007A8C" w:sz="4"/>
              <w:left w:val="none" w:color="FFFFFF" w:sz="0"/>
              <w:bottom w:val="single" w:color="007A8C" w:sz="4"/>
              <w:right w:val="none" w:color="FFFFFF" w:sz="0"/>
            </w:tcBorders>
            <w:shd w:fill="E0F2FE" w:val="clear"/>
            <w:tcMar>
              <w:top w:type="dxa" w:w="70"/>
              <w:left w:type="dxa" w:w="100"/>
              <w:bottom w:type="dxa" w:w="70"/>
              <w:right w:type="dxa" w:w="60"/>
            </w:tcMar>
          </w:tcPr>
          <w:p>
            <w:pPr>
              <w:jc w:val="left"/>
            </w:pPr>
            <w:r>
              <w:rPr>
                <w:rFonts w:ascii="Arial" w:cs="Arial" w:eastAsia="Arial" w:hAnsi="Arial"/>
                <w:b/>
                <w:bCs/>
                <w:color w:val="0D1B4B"/>
                <w:sz w:val="17"/>
                <w:szCs w:val="17"/>
              </w:rPr>
              <w:t xml:space="preserve">—</w:t>
            </w:r>
          </w:p>
        </w:tc>
        <w:tc>
          <w:tcPr>
            <w:tcW w:type="dxa" w:w="1600"/>
            <w:tcBorders>
              <w:top w:val="single" w:color="007A8C" w:sz="4"/>
              <w:left w:val="none" w:color="FFFFFF" w:sz="0"/>
              <w:bottom w:val="single" w:color="007A8C" w:sz="4"/>
              <w:right w:val="none" w:color="FFFFFF" w:sz="0"/>
            </w:tcBorders>
            <w:shd w:fill="E0F2FE" w:val="clear"/>
            <w:tcMar>
              <w:top w:type="dxa" w:w="70"/>
              <w:left w:type="dxa" w:w="100"/>
              <w:bottom w:type="dxa" w:w="70"/>
              <w:right w:type="dxa" w:w="60"/>
            </w:tcMar>
          </w:tcPr>
          <w:p>
            <w:pPr>
              <w:jc w:val="right"/>
            </w:pPr>
            <w:r>
              <w:rPr>
                <w:rFonts w:ascii="Arial" w:cs="Arial" w:eastAsia="Arial" w:hAnsi="Arial"/>
                <w:b/>
                <w:bCs/>
                <w:color w:val="0D1B4B"/>
                <w:sz w:val="17"/>
                <w:szCs w:val="17"/>
              </w:rPr>
              <w:t xml:space="preserve">$5.6B+</w:t>
            </w:r>
          </w:p>
        </w:tc>
        <w:tc>
          <w:tcPr>
            <w:tcW w:type="dxa" w:w="1200"/>
            <w:tcBorders>
              <w:top w:val="single" w:color="007A8C" w:sz="4"/>
              <w:left w:val="none" w:color="FFFFFF" w:sz="0"/>
              <w:bottom w:val="single" w:color="007A8C" w:sz="4"/>
              <w:right w:val="none" w:color="FFFFFF" w:sz="0"/>
            </w:tcBorders>
            <w:shd w:fill="E0F2FE" w:val="clear"/>
            <w:tcMar>
              <w:top w:type="dxa" w:w="70"/>
              <w:left w:type="dxa" w:w="100"/>
              <w:bottom w:type="dxa" w:w="70"/>
              <w:right w:type="dxa" w:w="60"/>
            </w:tcMar>
          </w:tcPr>
          <w:p>
            <w:pPr>
              <w:jc w:val="right"/>
            </w:pPr>
            <w:r>
              <w:rPr>
                <w:rFonts w:ascii="Arial" w:cs="Arial" w:eastAsia="Arial" w:hAnsi="Arial"/>
                <w:b/>
                <w:bCs/>
                <w:color w:val="0D1B4B"/>
                <w:sz w:val="17"/>
                <w:szCs w:val="17"/>
              </w:rPr>
              <w:t xml:space="preserve">$3.4B+</w:t>
            </w:r>
          </w:p>
        </w:tc>
        <w:tc>
          <w:tcPr>
            <w:tcW w:type="dxa" w:w="1160"/>
            <w:tcBorders>
              <w:top w:val="single" w:color="007A8C" w:sz="4"/>
              <w:left w:val="none" w:color="FFFFFF" w:sz="0"/>
              <w:bottom w:val="single" w:color="007A8C" w:sz="4"/>
              <w:right w:val="none" w:color="FFFFFF" w:sz="0"/>
            </w:tcBorders>
            <w:shd w:fill="E0F2FE" w:val="clear"/>
            <w:tcMar>
              <w:top w:type="dxa" w:w="70"/>
              <w:left w:type="dxa" w:w="100"/>
              <w:bottom w:type="dxa" w:w="70"/>
              <w:right w:type="dxa" w:w="60"/>
            </w:tcMar>
          </w:tcPr>
          <w:p>
            <w:pPr>
              <w:jc w:val="right"/>
            </w:pPr>
            <w:r>
              <w:rPr>
                <w:rFonts w:ascii="Arial" w:cs="Arial" w:eastAsia="Arial" w:hAnsi="Arial"/>
                <w:b/>
                <w:bCs/>
                <w:color w:val="0D1B4B"/>
                <w:sz w:val="17"/>
                <w:szCs w:val="17"/>
              </w:rPr>
              <w:t xml:space="preserve">—</w:t>
            </w:r>
          </w:p>
        </w:tc>
      </w:tr>
    </w:tbl>
    <w:p>
      <w:pPr>
        <w:spacing w:after="200" w:before="0"/>
      </w:pPr>
      <w:r>
        <w:t xml:space="preserve"/>
      </w:r>
    </w:p>
    <w:p>
      <w:r>
        <w:br w:type="page"/>
      </w:r>
    </w:p>
    <w:p>
      <w:pPr>
        <w:pStyle w:val="Heading1"/>
        <w:pBdr>
          <w:bottom w:val="single" w:color="007A8C" w:sz="10"/>
        </w:pBdr>
        <w:spacing w:after="80" w:before="400"/>
      </w:pPr>
      <w:r>
        <w:rPr>
          <w:rFonts w:ascii="Arial" w:cs="Arial" w:eastAsia="Arial" w:hAnsi="Arial"/>
          <w:b/>
          <w:bCs/>
          <w:color w:val="0D1B4B"/>
          <w:sz w:val="36"/>
          <w:szCs w:val="36"/>
        </w:rPr>
        <w:t xml:space="preserve">PART 2: Procedure Code Expansion (ICD-10-PCS / CPT)</w:t>
      </w:r>
    </w:p>
    <w:p>
      <w:pPr>
        <w:spacing w:after="100" w:before="40"/>
      </w:pPr>
      <w:r>
        <w:rPr>
          <w:rFonts w:ascii="Arial" w:cs="Arial" w:eastAsia="Arial" w:hAnsi="Arial"/>
          <w:color w:val="1F2937"/>
          <w:sz w:val="21"/>
          <w:szCs w:val="21"/>
        </w:rPr>
        <w:t xml:space="preserve">Five tiers prioritized by CMS-documented improper payment rate, Humana spend trajectory, and OIG audit activity. </w:t>
      </w:r>
      <w:r>
        <w:rPr>
          <w:rFonts w:ascii="Arial" w:cs="Arial" w:eastAsia="Arial" w:hAnsi="Arial"/>
          <w:color w:val="4B5563"/>
          <w:sz w:val="17"/>
          <w:szCs w:val="17"/>
          <w:vertAlign w:val="superscript"/>
        </w:rPr>
        <w:t xml:space="preserve"> [17]</w:t>
      </w:r>
      <w:r>
        <w:rPr>
          <w:rFonts w:ascii="Arial" w:cs="Arial" w:eastAsia="Arial" w:hAnsi="Arial"/>
          <w:color w:val="1F2937"/>
          <w:sz w:val="21"/>
          <w:szCs w:val="21"/>
        </w:rPr>
        <w:t xml:space="preserve"> OIG flag levels: </w:t>
      </w:r>
      <w:r>
        <w:rPr>
          <w:rFonts w:ascii="Arial" w:cs="Arial" w:eastAsia="Arial" w:hAnsi="Arial"/>
          <w:b/>
          <w:bCs/>
          <w:color w:val="991B1B"/>
          <w:sz w:val="21"/>
          <w:szCs w:val="21"/>
        </w:rPr>
        <w:t xml:space="preserve">CRITICAL</w:t>
      </w:r>
      <w:r>
        <w:rPr>
          <w:rFonts w:ascii="Arial" w:cs="Arial" w:eastAsia="Arial" w:hAnsi="Arial"/>
          <w:color w:val="1F2937"/>
          <w:sz w:val="21"/>
          <w:szCs w:val="21"/>
        </w:rPr>
        <w:t xml:space="preserve"> = OIG documented &gt;40% error rate | </w:t>
      </w:r>
      <w:r>
        <w:rPr>
          <w:rFonts w:ascii="Arial" w:cs="Arial" w:eastAsia="Arial" w:hAnsi="Arial"/>
          <w:b/>
          <w:bCs/>
          <w:color w:val="92400E"/>
          <w:sz w:val="21"/>
          <w:szCs w:val="21"/>
        </w:rPr>
        <w:t xml:space="preserve">HIGH</w:t>
      </w:r>
      <w:r>
        <w:rPr>
          <w:rFonts w:ascii="Arial" w:cs="Arial" w:eastAsia="Arial" w:hAnsi="Arial"/>
          <w:color w:val="1F2937"/>
          <w:sz w:val="21"/>
          <w:szCs w:val="21"/>
        </w:rPr>
        <w:t xml:space="preserve"> = documented improper payment pattern | </w:t>
      </w:r>
      <w:r>
        <w:rPr>
          <w:rFonts w:ascii="Arial" w:cs="Arial" w:eastAsia="Arial" w:hAnsi="Arial"/>
          <w:b/>
          <w:bCs/>
          <w:color w:val="007A8C"/>
          <w:sz w:val="21"/>
          <w:szCs w:val="21"/>
        </w:rPr>
        <w:t xml:space="preserve">MEDIUM</w:t>
      </w:r>
      <w:r>
        <w:rPr>
          <w:rFonts w:ascii="Arial" w:cs="Arial" w:eastAsia="Arial" w:hAnsi="Arial"/>
          <w:color w:val="1F2937"/>
          <w:sz w:val="21"/>
          <w:szCs w:val="21"/>
        </w:rPr>
        <w:t xml:space="preserve"> = emerging risk.</w:t>
      </w:r>
    </w:p>
    <w:p>
      <w:pPr>
        <w:spacing w:after="120" w:before="0"/>
      </w:pPr>
      <w:r>
        <w:t xml:space="preserve"/>
      </w:r>
    </w:p>
    <w:p>
      <w:pPr>
        <w:pBdr>
          <w:bottom w:val="single" w:color="007A8C" w:sz="4"/>
        </w:pBdr>
        <w:shd w:fill="991B1B" w:val="clear"/>
        <w:spacing w:after="60" w:before="200"/>
        <w:ind w:left="120"/>
      </w:pPr>
      <w:r>
        <w:rPr>
          <w:rFonts w:ascii="Arial" w:cs="Arial" w:eastAsia="Arial" w:hAnsi="Arial"/>
          <w:b/>
          <w:bCs/>
          <w:color w:val="FFFFFF"/>
          <w:sz w:val="20"/>
          <w:szCs w:val="20"/>
        </w:rPr>
        <w:t xml:space="preserve">TIER 1A — TOTAL KNEE &amp; HIP ARTHROPLASTY   |   CMS Improper Payment Rate: 43.6%   |   $546.7M projected nationally</w:t>
      </w:r>
    </w:p>
    <w:p>
      <w:pPr>
        <w:spacing w:after="100" w:before="40"/>
      </w:pPr>
      <w:r>
        <w:rPr>
          <w:rFonts w:ascii="Arial" w:cs="Arial" w:eastAsia="Arial" w:hAnsi="Arial"/>
          <w:b/>
          <w:bCs/>
          <w:color w:val="991B1B"/>
          <w:sz w:val="21"/>
          <w:szCs w:val="21"/>
        </w:rPr>
        <w:t xml:space="preserve">Evidence: </w:t>
      </w:r>
      <w:r>
        <w:rPr>
          <w:rFonts w:ascii="Arial" w:cs="Arial" w:eastAsia="Arial" w:hAnsi="Arial"/>
          <w:color w:val="1F2937"/>
          <w:sz w:val="21"/>
          <w:szCs w:val="21"/>
        </w:rPr>
        <w:t xml:space="preserve">CMS 2024 Supplemental Improper Payment Data: 43.6% improper payment rate for major hip and knee replacements — the highest of all Medicare Part A service types. Medical necessity accounted for 92.8% of those errors. Volume is growing at 5.9% annually and projected to reach 2.79 million procedures by 2040.</w:t>
      </w:r>
      <w:r>
        <w:rPr>
          <w:rFonts w:ascii="Arial" w:cs="Arial" w:eastAsia="Arial" w:hAnsi="Arial"/>
          <w:color w:val="4B5563"/>
          <w:sz w:val="17"/>
          <w:szCs w:val="17"/>
          <w:vertAlign w:val="superscript"/>
        </w:rPr>
        <w:t xml:space="preserve"> [17,18,19]</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680"/>
        <w:gridCol w:w="800"/>
        <w:gridCol w:w="700"/>
        <w:gridCol w:w="700"/>
        <w:gridCol w:w="900"/>
        <w:gridCol w:w="900"/>
        <w:gridCol w:w="1600"/>
        <w:gridCol w:w="1000"/>
      </w:tblGrid>
      <w:tr>
        <w:trPr>
          <w:tblHeader/>
        </w:trPr>
        <w:tc>
          <w:tcPr>
            <w:tcW w:type="dxa" w:w="108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ICD-10-PCS / CPT</w:t>
            </w:r>
          </w:p>
        </w:tc>
        <w:tc>
          <w:tcPr>
            <w:tcW w:type="dxa" w:w="168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Procedure</w:t>
            </w:r>
          </w:p>
        </w:tc>
        <w:tc>
          <w:tcPr>
            <w:tcW w:type="dxa" w:w="8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MS-DRG</w:t>
            </w:r>
          </w:p>
        </w:tc>
        <w:tc>
          <w:tcPr>
            <w:tcW w:type="dxa" w:w="7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CMS Imp. Rate</w:t>
            </w:r>
          </w:p>
        </w:tc>
        <w:tc>
          <w:tcPr>
            <w:tcW w:type="dxa" w:w="7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OIG Flag</w:t>
            </w:r>
          </w:p>
        </w:tc>
        <w:tc>
          <w:tcPr>
            <w:tcW w:type="dxa" w:w="9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Humana Spend</w:t>
            </w:r>
          </w:p>
        </w:tc>
        <w:tc>
          <w:tcPr>
            <w:tcW w:type="dxa" w:w="9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Improper Pool</w:t>
            </w:r>
          </w:p>
        </w:tc>
        <w:tc>
          <w:tcPr>
            <w:tcW w:type="dxa" w:w="16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CVA Logic</w:t>
            </w:r>
          </w:p>
        </w:tc>
        <w:tc>
          <w:tcPr>
            <w:tcW w:type="dxa" w:w="10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Citation</w:t>
            </w:r>
          </w:p>
        </w:tc>
      </w:tr>
      <w:tr>
        <w:tc>
          <w:tcPr>
            <w:tcW w:type="dxa" w:w="108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Courier New" w:cs="Courier New" w:eastAsia="Courier New" w:hAnsi="Courier New"/>
                <w:b/>
                <w:bCs/>
                <w:color w:val="0D1B4B"/>
                <w:sz w:val="17"/>
                <w:szCs w:val="17"/>
              </w:rPr>
              <w:t xml:space="preserve">0SRC0J9 / 0SRC0JZ</w:t>
            </w:r>
          </w:p>
        </w:tc>
        <w:tc>
          <w:tcPr>
            <w:tcW w:type="dxa" w:w="168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Total knee arthroplasty — right/left; subcodes by approach and device</w:t>
            </w:r>
          </w:p>
        </w:tc>
        <w:tc>
          <w:tcPr>
            <w:tcW w:type="dxa" w:w="8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MS-DRG 469/470</w:t>
            </w:r>
          </w:p>
        </w:tc>
        <w:tc>
          <w:tcPr>
            <w:tcW w:type="dxa" w:w="7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43.6%</w:t>
            </w:r>
          </w:p>
        </w:tc>
        <w:tc>
          <w:tcPr>
            <w:tcW w:type="dxa" w:w="700"/>
            <w:tcBorders>
              <w:top w:val="single" w:color="D1D5DB" w:sz="4"/>
              <w:left w:val="none" w:color="FFFFFF" w:sz="0"/>
              <w:bottom w:val="single" w:color="D1D5DB" w:sz="4"/>
              <w:right w:val="none" w:color="FFFFFF" w:sz="0"/>
            </w:tcBorders>
            <w:shd w:fill="FEE2E2" w:val="clear"/>
            <w:tcMar>
              <w:top w:type="dxa" w:w="70"/>
              <w:left w:type="dxa" w:w="100"/>
              <w:bottom w:type="dxa" w:w="70"/>
              <w:right w:type="dxa" w:w="60"/>
            </w:tcMar>
          </w:tcPr>
          <w:p>
            <w:pPr>
              <w:jc w:val="left"/>
            </w:pPr>
            <w:r>
              <w:rPr>
                <w:rFonts w:ascii="Arial" w:cs="Arial" w:eastAsia="Arial" w:hAnsi="Arial"/>
                <w:b/>
                <w:bCs/>
                <w:color w:val="991B1B"/>
                <w:sz w:val="17"/>
                <w:szCs w:val="17"/>
              </w:rPr>
              <w:t xml:space="preserve">CRITICAL</w:t>
            </w:r>
          </w:p>
        </w:tc>
        <w:tc>
          <w:tcPr>
            <w:tcW w:type="dxa" w:w="9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bCs/>
                <w:color w:val="14532D"/>
                <w:sz w:val="17"/>
                <w:szCs w:val="17"/>
              </w:rPr>
              <w:t xml:space="preserve">$912M</w:t>
            </w:r>
          </w:p>
        </w:tc>
        <w:tc>
          <w:tcPr>
            <w:tcW w:type="dxa" w:w="9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bCs/>
                <w:color w:val="14532D"/>
                <w:sz w:val="17"/>
                <w:szCs w:val="17"/>
              </w:rPr>
              <w:t xml:space="preserve">$397M</w:t>
            </w:r>
          </w:p>
        </w:tc>
        <w:tc>
          <w:tcPr>
            <w:tcW w:type="dxa" w:w="16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Validate DRG 469 (with MCC) vs. 470 (no MCC). Upcoding to 469 without documented MCC = flag</w:t>
            </w:r>
          </w:p>
        </w:tc>
        <w:tc>
          <w:tcPr>
            <w:tcW w:type="dxa" w:w="10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007A8C"/>
                <w:sz w:val="17"/>
                <w:szCs w:val="17"/>
              </w:rPr>
              <w:t xml:space="preserve">CMS MLN Hip/Knee Compliance Tips Feb 2026; PubMed TKA Trends 2025 [17,18]</w:t>
            </w:r>
          </w:p>
        </w:tc>
      </w:tr>
      <w:tr>
        <w:tc>
          <w:tcPr>
            <w:tcW w:type="dxa" w:w="108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Courier New" w:cs="Courier New" w:eastAsia="Courier New" w:hAnsi="Courier New"/>
                <w:b/>
                <w:bCs/>
                <w:color w:val="0D1B4B"/>
                <w:sz w:val="17"/>
                <w:szCs w:val="17"/>
              </w:rPr>
              <w:t xml:space="preserve">0SR90J9 / 0SR90JZ</w:t>
            </w:r>
          </w:p>
        </w:tc>
        <w:tc>
          <w:tcPr>
            <w:tcW w:type="dxa" w:w="168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Total hip arthroplasty — right/left; subcodes by approach, device, qualifier</w:t>
            </w:r>
          </w:p>
        </w:tc>
        <w:tc>
          <w:tcPr>
            <w:tcW w:type="dxa" w:w="8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MS-DRG 469/470</w:t>
            </w:r>
          </w:p>
        </w:tc>
        <w:tc>
          <w:tcPr>
            <w:tcW w:type="dxa" w:w="7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43.6%</w:t>
            </w:r>
          </w:p>
        </w:tc>
        <w:tc>
          <w:tcPr>
            <w:tcW w:type="dxa" w:w="700"/>
            <w:tcBorders>
              <w:top w:val="single" w:color="D1D5DB" w:sz="4"/>
              <w:left w:val="none" w:color="FFFFFF" w:sz="0"/>
              <w:bottom w:val="single" w:color="D1D5DB" w:sz="4"/>
              <w:right w:val="none" w:color="FFFFFF" w:sz="0"/>
            </w:tcBorders>
            <w:shd w:fill="FEE2E2" w:val="clear"/>
            <w:tcMar>
              <w:top w:type="dxa" w:w="70"/>
              <w:left w:type="dxa" w:w="100"/>
              <w:bottom w:type="dxa" w:w="70"/>
              <w:right w:type="dxa" w:w="60"/>
            </w:tcMar>
          </w:tcPr>
          <w:p>
            <w:pPr>
              <w:jc w:val="left"/>
            </w:pPr>
            <w:r>
              <w:rPr>
                <w:rFonts w:ascii="Arial" w:cs="Arial" w:eastAsia="Arial" w:hAnsi="Arial"/>
                <w:b/>
                <w:bCs/>
                <w:color w:val="991B1B"/>
                <w:sz w:val="17"/>
                <w:szCs w:val="17"/>
              </w:rPr>
              <w:t xml:space="preserve">CRITICAL</w:t>
            </w:r>
          </w:p>
        </w:tc>
        <w:tc>
          <w:tcPr>
            <w:tcW w:type="dxa" w:w="9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right"/>
            </w:pPr>
            <w:r>
              <w:rPr>
                <w:rFonts w:ascii="Arial" w:cs="Arial" w:eastAsia="Arial" w:hAnsi="Arial"/>
                <w:b/>
                <w:bCs/>
                <w:color w:val="14532D"/>
                <w:sz w:val="17"/>
                <w:szCs w:val="17"/>
              </w:rPr>
              <w:t xml:space="preserve">$690M</w:t>
            </w:r>
          </w:p>
        </w:tc>
        <w:tc>
          <w:tcPr>
            <w:tcW w:type="dxa" w:w="9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right"/>
            </w:pPr>
            <w:r>
              <w:rPr>
                <w:rFonts w:ascii="Arial" w:cs="Arial" w:eastAsia="Arial" w:hAnsi="Arial"/>
                <w:b/>
                <w:bCs/>
                <w:color w:val="14532D"/>
                <w:sz w:val="17"/>
                <w:szCs w:val="17"/>
              </w:rPr>
              <w:t xml:space="preserve">$301M</w:t>
            </w:r>
          </w:p>
        </w:tc>
        <w:tc>
          <w:tcPr>
            <w:tcW w:type="dxa" w:w="16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Conservative therapy failure (PT, injections, x-ray arthritis severity) must be documented</w:t>
            </w:r>
          </w:p>
        </w:tc>
        <w:tc>
          <w:tcPr>
            <w:tcW w:type="dxa" w:w="10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007A8C"/>
                <w:sz w:val="17"/>
                <w:szCs w:val="17"/>
              </w:rPr>
              <w:t xml:space="preserve">CMS 2024 Supplemental Improper Payment Data; Journal of Arthroplasty 2025 [17,19]</w:t>
            </w:r>
          </w:p>
        </w:tc>
      </w:tr>
      <w:tr>
        <w:tc>
          <w:tcPr>
            <w:tcW w:type="dxa" w:w="108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Courier New" w:cs="Courier New" w:eastAsia="Courier New" w:hAnsi="Courier New"/>
                <w:b/>
                <w:bCs/>
                <w:color w:val="0D1B4B"/>
                <w:sz w:val="17"/>
                <w:szCs w:val="17"/>
              </w:rPr>
              <w:t xml:space="preserve">0SRC4J9 / 0SR904Z</w:t>
            </w:r>
          </w:p>
        </w:tc>
        <w:tc>
          <w:tcPr>
            <w:tcW w:type="dxa" w:w="168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Revision TKA/THA — higher reimbursement; higher documentation burden</w:t>
            </w:r>
          </w:p>
        </w:tc>
        <w:tc>
          <w:tcPr>
            <w:tcW w:type="dxa" w:w="8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MS-DRG 466/467</w:t>
            </w:r>
          </w:p>
        </w:tc>
        <w:tc>
          <w:tcPr>
            <w:tcW w:type="dxa" w:w="7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43.6%+</w:t>
            </w:r>
          </w:p>
        </w:tc>
        <w:tc>
          <w:tcPr>
            <w:tcW w:type="dxa" w:w="700"/>
            <w:tcBorders>
              <w:top w:val="single" w:color="D1D5DB" w:sz="4"/>
              <w:left w:val="none" w:color="FFFFFF" w:sz="0"/>
              <w:bottom w:val="single" w:color="D1D5DB" w:sz="4"/>
              <w:right w:val="none" w:color="FFFFFF" w:sz="0"/>
            </w:tcBorders>
            <w:shd w:fill="FEE2E2" w:val="clear"/>
            <w:tcMar>
              <w:top w:type="dxa" w:w="70"/>
              <w:left w:type="dxa" w:w="100"/>
              <w:bottom w:type="dxa" w:w="70"/>
              <w:right w:type="dxa" w:w="60"/>
            </w:tcMar>
          </w:tcPr>
          <w:p>
            <w:pPr>
              <w:jc w:val="left"/>
            </w:pPr>
            <w:r>
              <w:rPr>
                <w:rFonts w:ascii="Arial" w:cs="Arial" w:eastAsia="Arial" w:hAnsi="Arial"/>
                <w:b/>
                <w:bCs/>
                <w:color w:val="991B1B"/>
                <w:sz w:val="17"/>
                <w:szCs w:val="17"/>
              </w:rPr>
              <w:t xml:space="preserve">CRITICAL</w:t>
            </w:r>
          </w:p>
        </w:tc>
        <w:tc>
          <w:tcPr>
            <w:tcW w:type="dxa" w:w="9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bCs/>
                <w:color w:val="14532D"/>
                <w:sz w:val="17"/>
                <w:szCs w:val="17"/>
              </w:rPr>
              <w:t xml:space="preserve">Incl.</w:t>
            </w:r>
          </w:p>
        </w:tc>
        <w:tc>
          <w:tcPr>
            <w:tcW w:type="dxa" w:w="9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bCs/>
                <w:color w:val="14532D"/>
                <w:sz w:val="17"/>
                <w:szCs w:val="17"/>
              </w:rPr>
              <w:t xml:space="preserve">Incl.</w:t>
            </w:r>
          </w:p>
        </w:tc>
        <w:tc>
          <w:tcPr>
            <w:tcW w:type="dxa" w:w="16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Original implant failure or specific revision indication must be documented; revision does not equal prior complication</w:t>
            </w:r>
          </w:p>
        </w:tc>
        <w:tc>
          <w:tcPr>
            <w:tcW w:type="dxa" w:w="10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007A8C"/>
                <w:sz w:val="17"/>
                <w:szCs w:val="17"/>
              </w:rPr>
              <w:t xml:space="preserve">CMS 2024 Improper Payment Data; Journal of Arthroplasty 2025 [17,19]</w:t>
            </w:r>
          </w:p>
        </w:tc>
      </w:tr>
    </w:tbl>
    <w:p>
      <w:pPr>
        <w:spacing w:after="160" w:before="0"/>
      </w:pPr>
      <w:r>
        <w:t xml:space="preserve"/>
      </w:r>
    </w:p>
    <w:p>
      <w:pPr>
        <w:pBdr>
          <w:bottom w:val="single" w:color="007A8C" w:sz="4"/>
        </w:pBdr>
        <w:shd w:fill="991B1B" w:val="clear"/>
        <w:spacing w:after="60" w:before="200"/>
        <w:ind w:left="120"/>
      </w:pPr>
      <w:r>
        <w:rPr>
          <w:rFonts w:ascii="Arial" w:cs="Arial" w:eastAsia="Arial" w:hAnsi="Arial"/>
          <w:b/>
          <w:bCs/>
          <w:color w:val="FFFFFF"/>
          <w:sz w:val="20"/>
          <w:szCs w:val="20"/>
        </w:rPr>
        <w:t xml:space="preserve">TIER 1B — SPINAL FUSION   |   14% overuse rate; $2B in unnecessary procedures (Lown Institute/Axios, Nov 2024)</w:t>
      </w:r>
    </w:p>
    <w:p>
      <w:pPr>
        <w:spacing w:after="100" w:before="40"/>
      </w:pPr>
      <w:r>
        <w:rPr>
          <w:rFonts w:ascii="Arial" w:cs="Arial" w:eastAsia="Arial" w:hAnsi="Arial"/>
          <w:b/>
          <w:bCs/>
          <w:color w:val="991B1B"/>
          <w:sz w:val="21"/>
          <w:szCs w:val="21"/>
        </w:rPr>
        <w:t xml:space="preserve">Evidence: </w:t>
      </w:r>
      <w:r>
        <w:rPr>
          <w:rFonts w:ascii="Arial" w:cs="Arial" w:eastAsia="Arial" w:hAnsi="Arial"/>
          <w:color w:val="1F2937"/>
          <w:sz w:val="21"/>
          <w:szCs w:val="21"/>
        </w:rPr>
        <w:t xml:space="preserve">Hospitals performed 200,000+ unnecessary back surgeries on Medicare beneficiaries over a 3-year period, with $2 billion spent on procedures where medical necessity criteria were not met. 14% of spinal fusions met overuse criteria, varying from under 1% to over 50% across hospitals.</w:t>
      </w:r>
      <w:r>
        <w:rPr>
          <w:rFonts w:ascii="Arial" w:cs="Arial" w:eastAsia="Arial" w:hAnsi="Arial"/>
          <w:color w:val="4B5563"/>
          <w:sz w:val="17"/>
          <w:szCs w:val="17"/>
          <w:vertAlign w:val="superscript"/>
        </w:rPr>
        <w:t xml:space="preserve"> [20,21]</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680"/>
        <w:gridCol w:w="800"/>
        <w:gridCol w:w="700"/>
        <w:gridCol w:w="700"/>
        <w:gridCol w:w="900"/>
        <w:gridCol w:w="900"/>
        <w:gridCol w:w="1600"/>
        <w:gridCol w:w="1000"/>
      </w:tblGrid>
      <w:tr>
        <w:trPr>
          <w:tblHeader/>
        </w:trPr>
        <w:tc>
          <w:tcPr>
            <w:tcW w:type="dxa" w:w="108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ICD-10-PCS / CPT</w:t>
            </w:r>
          </w:p>
        </w:tc>
        <w:tc>
          <w:tcPr>
            <w:tcW w:type="dxa" w:w="168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Procedure</w:t>
            </w:r>
          </w:p>
        </w:tc>
        <w:tc>
          <w:tcPr>
            <w:tcW w:type="dxa" w:w="8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MS-DRG</w:t>
            </w:r>
          </w:p>
        </w:tc>
        <w:tc>
          <w:tcPr>
            <w:tcW w:type="dxa" w:w="7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CMS Imp. Rate</w:t>
            </w:r>
          </w:p>
        </w:tc>
        <w:tc>
          <w:tcPr>
            <w:tcW w:type="dxa" w:w="7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OIG Flag</w:t>
            </w:r>
          </w:p>
        </w:tc>
        <w:tc>
          <w:tcPr>
            <w:tcW w:type="dxa" w:w="9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Humana Spend</w:t>
            </w:r>
          </w:p>
        </w:tc>
        <w:tc>
          <w:tcPr>
            <w:tcW w:type="dxa" w:w="9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Improper Pool</w:t>
            </w:r>
          </w:p>
        </w:tc>
        <w:tc>
          <w:tcPr>
            <w:tcW w:type="dxa" w:w="16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CVA Logic</w:t>
            </w:r>
          </w:p>
        </w:tc>
        <w:tc>
          <w:tcPr>
            <w:tcW w:type="dxa" w:w="10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Citation</w:t>
            </w:r>
          </w:p>
        </w:tc>
      </w:tr>
      <w:tr>
        <w:tc>
          <w:tcPr>
            <w:tcW w:type="dxa" w:w="108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Courier New" w:cs="Courier New" w:eastAsia="Courier New" w:hAnsi="Courier New"/>
                <w:b/>
                <w:bCs/>
                <w:color w:val="0D1B4B"/>
                <w:sz w:val="17"/>
                <w:szCs w:val="17"/>
              </w:rPr>
              <w:t xml:space="preserve">0SG0071 / 0SG0471</w:t>
            </w:r>
          </w:p>
        </w:tc>
        <w:tc>
          <w:tcPr>
            <w:tcW w:type="dxa" w:w="168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Lumbar spinal fusion (open vs. percutaneous vs. endoscopic approach)</w:t>
            </w:r>
          </w:p>
        </w:tc>
        <w:tc>
          <w:tcPr>
            <w:tcW w:type="dxa" w:w="8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MS-DRG 453–455</w:t>
            </w:r>
          </w:p>
        </w:tc>
        <w:tc>
          <w:tcPr>
            <w:tcW w:type="dxa" w:w="7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~14%</w:t>
            </w:r>
          </w:p>
        </w:tc>
        <w:tc>
          <w:tcPr>
            <w:tcW w:type="dxa" w:w="700"/>
            <w:tcBorders>
              <w:top w:val="single" w:color="D1D5DB" w:sz="4"/>
              <w:left w:val="none" w:color="FFFFFF" w:sz="0"/>
              <w:bottom w:val="single" w:color="D1D5DB" w:sz="4"/>
              <w:right w:val="none" w:color="FFFFFF" w:sz="0"/>
            </w:tcBorders>
            <w:shd w:fill="FEF3C7" w:val="clear"/>
            <w:tcMar>
              <w:top w:type="dxa" w:w="70"/>
              <w:left w:type="dxa" w:w="100"/>
              <w:bottom w:type="dxa" w:w="70"/>
              <w:right w:type="dxa" w:w="60"/>
            </w:tcMar>
          </w:tcPr>
          <w:p>
            <w:pPr>
              <w:jc w:val="left"/>
            </w:pPr>
            <w:r>
              <w:rPr>
                <w:rFonts w:ascii="Arial" w:cs="Arial" w:eastAsia="Arial" w:hAnsi="Arial"/>
                <w:b/>
                <w:bCs/>
                <w:color w:val="92400E"/>
                <w:sz w:val="17"/>
                <w:szCs w:val="17"/>
              </w:rPr>
              <w:t xml:space="preserve">HIGH</w:t>
            </w:r>
          </w:p>
        </w:tc>
        <w:tc>
          <w:tcPr>
            <w:tcW w:type="dxa" w:w="9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bCs/>
                <w:color w:val="14532D"/>
                <w:sz w:val="17"/>
                <w:szCs w:val="17"/>
              </w:rPr>
              <w:t xml:space="preserve">$891M</w:t>
            </w:r>
          </w:p>
        </w:tc>
        <w:tc>
          <w:tcPr>
            <w:tcW w:type="dxa" w:w="9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bCs/>
                <w:color w:val="14532D"/>
                <w:sz w:val="17"/>
                <w:szCs w:val="17"/>
              </w:rPr>
              <w:t xml:space="preserve">$125M</w:t>
            </w:r>
          </w:p>
        </w:tc>
        <w:tc>
          <w:tcPr>
            <w:tcW w:type="dxa" w:w="16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TEAM model mandatory at 761 hospitals Jan 2026. Failed conservative therapy ≥ 6 weeks must be documented</w:t>
            </w:r>
          </w:p>
        </w:tc>
        <w:tc>
          <w:tcPr>
            <w:tcW w:type="dxa" w:w="10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007A8C"/>
                <w:sz w:val="17"/>
                <w:szCs w:val="17"/>
              </w:rPr>
              <w:t xml:space="preserve">Lown Institute/Axios Nov 2024; ISASS IPPS 2025; STS TEAM Aug 2024 [20,21,22]</w:t>
            </w:r>
          </w:p>
        </w:tc>
      </w:tr>
      <w:tr>
        <w:tc>
          <w:tcPr>
            <w:tcW w:type="dxa" w:w="108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Courier New" w:cs="Courier New" w:eastAsia="Courier New" w:hAnsi="Courier New"/>
                <w:b/>
                <w:bCs/>
                <w:color w:val="0D1B4B"/>
                <w:sz w:val="17"/>
                <w:szCs w:val="17"/>
              </w:rPr>
              <w:t xml:space="preserve">0RG7071 / 0RG7371</w:t>
            </w:r>
          </w:p>
        </w:tc>
        <w:tc>
          <w:tcPr>
            <w:tcW w:type="dxa" w:w="168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Cervical spinal fusion (anterior/posterior; subcodes by device and approach)</w:t>
            </w:r>
          </w:p>
        </w:tc>
        <w:tc>
          <w:tcPr>
            <w:tcW w:type="dxa" w:w="8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MS-DRG 473–474</w:t>
            </w:r>
          </w:p>
        </w:tc>
        <w:tc>
          <w:tcPr>
            <w:tcW w:type="dxa" w:w="7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~14%</w:t>
            </w:r>
          </w:p>
        </w:tc>
        <w:tc>
          <w:tcPr>
            <w:tcW w:type="dxa" w:w="700"/>
            <w:tcBorders>
              <w:top w:val="single" w:color="D1D5DB" w:sz="4"/>
              <w:left w:val="none" w:color="FFFFFF" w:sz="0"/>
              <w:bottom w:val="single" w:color="D1D5DB" w:sz="4"/>
              <w:right w:val="none" w:color="FFFFFF" w:sz="0"/>
            </w:tcBorders>
            <w:shd w:fill="FEF3C7" w:val="clear"/>
            <w:tcMar>
              <w:top w:type="dxa" w:w="70"/>
              <w:left w:type="dxa" w:w="100"/>
              <w:bottom w:type="dxa" w:w="70"/>
              <w:right w:type="dxa" w:w="60"/>
            </w:tcMar>
          </w:tcPr>
          <w:p>
            <w:pPr>
              <w:jc w:val="left"/>
            </w:pPr>
            <w:r>
              <w:rPr>
                <w:rFonts w:ascii="Arial" w:cs="Arial" w:eastAsia="Arial" w:hAnsi="Arial"/>
                <w:b/>
                <w:bCs/>
                <w:color w:val="92400E"/>
                <w:sz w:val="17"/>
                <w:szCs w:val="17"/>
              </w:rPr>
              <w:t xml:space="preserve">HIGH</w:t>
            </w:r>
          </w:p>
        </w:tc>
        <w:tc>
          <w:tcPr>
            <w:tcW w:type="dxa" w:w="9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right"/>
            </w:pPr>
            <w:r>
              <w:rPr>
                <w:rFonts w:ascii="Arial" w:cs="Arial" w:eastAsia="Arial" w:hAnsi="Arial"/>
                <w:b/>
                <w:bCs/>
                <w:color w:val="14532D"/>
                <w:sz w:val="17"/>
                <w:szCs w:val="17"/>
              </w:rPr>
              <w:t xml:space="preserve">Incl.</w:t>
            </w:r>
          </w:p>
        </w:tc>
        <w:tc>
          <w:tcPr>
            <w:tcW w:type="dxa" w:w="9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right"/>
            </w:pPr>
            <w:r>
              <w:rPr>
                <w:rFonts w:ascii="Arial" w:cs="Arial" w:eastAsia="Arial" w:hAnsi="Arial"/>
                <w:b/>
                <w:bCs/>
                <w:color w:val="14532D"/>
                <w:sz w:val="17"/>
                <w:szCs w:val="17"/>
              </w:rPr>
              <w:t xml:space="preserve">Incl.</w:t>
            </w:r>
          </w:p>
        </w:tc>
        <w:tc>
          <w:tcPr>
            <w:tcW w:type="dxa" w:w="16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Myelopathy or radiculopathy documentation required; imaging (MRI/CT) must correlate with symptoms</w:t>
            </w:r>
          </w:p>
        </w:tc>
        <w:tc>
          <w:tcPr>
            <w:tcW w:type="dxa" w:w="10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007A8C"/>
                <w:sz w:val="17"/>
                <w:szCs w:val="17"/>
              </w:rPr>
              <w:t xml:space="preserve">Lown Institute/Axios Nov 2024 [20]</w:t>
            </w:r>
          </w:p>
        </w:tc>
      </w:tr>
    </w:tbl>
    <w:p>
      <w:pPr>
        <w:spacing w:after="160" w:before="0"/>
      </w:pPr>
      <w:r>
        <w:t xml:space="preserve"/>
      </w:r>
    </w:p>
    <w:p>
      <w:pPr>
        <w:pBdr>
          <w:bottom w:val="single" w:color="007A8C" w:sz="4"/>
        </w:pBdr>
        <w:shd w:fill="92400E" w:val="clear"/>
        <w:spacing w:after="60" w:before="200"/>
        <w:ind w:left="120"/>
      </w:pPr>
      <w:r>
        <w:rPr>
          <w:rFonts w:ascii="Arial" w:cs="Arial" w:eastAsia="Arial" w:hAnsi="Arial"/>
          <w:b/>
          <w:bCs/>
          <w:color w:val="FFFFFF"/>
          <w:sz w:val="20"/>
          <w:szCs w:val="20"/>
        </w:rPr>
        <w:t xml:space="preserve">TIER 2 — CARDIAC: CABG, TAVR, VALVE REPLACEMENT, PCI   |   TEAM model mandatory for CABG, 761 hospitals, Jan 2026</w:t>
      </w:r>
    </w:p>
    <w:p>
      <w:pPr>
        <w:spacing w:after="100" w:before="40"/>
      </w:pPr>
      <w:r>
        <w:rPr>
          <w:rFonts w:ascii="Arial" w:cs="Arial" w:eastAsia="Arial" w:hAnsi="Arial"/>
          <w:b/>
          <w:bCs/>
          <w:color w:val="92400E"/>
          <w:sz w:val="21"/>
          <w:szCs w:val="21"/>
        </w:rPr>
        <w:t xml:space="preserve">Evidence: </w:t>
      </w:r>
      <w:r>
        <w:rPr>
          <w:rFonts w:ascii="Arial" w:cs="Arial" w:eastAsia="Arial" w:hAnsi="Arial"/>
          <w:color w:val="1F2937"/>
          <w:sz w:val="21"/>
          <w:szCs w:val="21"/>
        </w:rPr>
        <w:t xml:space="preserve">CMS finalized the TEAM mandatory episode payment model for CABG (MS-DRG 231–236) effective January 1, 2026 at 761 hospitals, with a 1.5% discount factor per episode. Average total Medicare payment around CABG episodes is $45,358 — the highest of any common surgical procedure tracked by CMS.</w:t>
      </w:r>
      <w:r>
        <w:rPr>
          <w:rFonts w:ascii="Arial" w:cs="Arial" w:eastAsia="Arial" w:hAnsi="Arial"/>
          <w:color w:val="4B5563"/>
          <w:sz w:val="17"/>
          <w:szCs w:val="17"/>
          <w:vertAlign w:val="superscript"/>
        </w:rPr>
        <w:t xml:space="preserve"> [22,23]</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680"/>
        <w:gridCol w:w="800"/>
        <w:gridCol w:w="700"/>
        <w:gridCol w:w="700"/>
        <w:gridCol w:w="900"/>
        <w:gridCol w:w="900"/>
        <w:gridCol w:w="1600"/>
        <w:gridCol w:w="1000"/>
      </w:tblGrid>
      <w:tr>
        <w:trPr>
          <w:tblHeader/>
        </w:trPr>
        <w:tc>
          <w:tcPr>
            <w:tcW w:type="dxa" w:w="108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ICD-10-PCS / CPT</w:t>
            </w:r>
          </w:p>
        </w:tc>
        <w:tc>
          <w:tcPr>
            <w:tcW w:type="dxa" w:w="168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Procedure</w:t>
            </w:r>
          </w:p>
        </w:tc>
        <w:tc>
          <w:tcPr>
            <w:tcW w:type="dxa" w:w="8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MS-DRG</w:t>
            </w:r>
          </w:p>
        </w:tc>
        <w:tc>
          <w:tcPr>
            <w:tcW w:type="dxa" w:w="7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CMS Imp. Rate</w:t>
            </w:r>
          </w:p>
        </w:tc>
        <w:tc>
          <w:tcPr>
            <w:tcW w:type="dxa" w:w="7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OIG Flag</w:t>
            </w:r>
          </w:p>
        </w:tc>
        <w:tc>
          <w:tcPr>
            <w:tcW w:type="dxa" w:w="9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Humana Spend</w:t>
            </w:r>
          </w:p>
        </w:tc>
        <w:tc>
          <w:tcPr>
            <w:tcW w:type="dxa" w:w="9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Improper Pool</w:t>
            </w:r>
          </w:p>
        </w:tc>
        <w:tc>
          <w:tcPr>
            <w:tcW w:type="dxa" w:w="16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CVA Logic</w:t>
            </w:r>
          </w:p>
        </w:tc>
        <w:tc>
          <w:tcPr>
            <w:tcW w:type="dxa" w:w="10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Citation</w:t>
            </w:r>
          </w:p>
        </w:tc>
      </w:tr>
      <w:tr>
        <w:tc>
          <w:tcPr>
            <w:tcW w:type="dxa" w:w="108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Courier New" w:cs="Courier New" w:eastAsia="Courier New" w:hAnsi="Courier New"/>
                <w:b/>
                <w:bCs/>
                <w:color w:val="0D1B4B"/>
                <w:sz w:val="17"/>
                <w:szCs w:val="17"/>
              </w:rPr>
              <w:t xml:space="preserve">021109W / 02110ZW</w:t>
            </w:r>
          </w:p>
        </w:tc>
        <w:tc>
          <w:tcPr>
            <w:tcW w:type="dxa" w:w="168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CABG — coronary artery bypass grafting (various graft sources and coronary targets)</w:t>
            </w:r>
          </w:p>
        </w:tc>
        <w:tc>
          <w:tcPr>
            <w:tcW w:type="dxa" w:w="8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MS-DRG 231–236</w:t>
            </w:r>
          </w:p>
        </w:tc>
        <w:tc>
          <w:tcPr>
            <w:tcW w:type="dxa" w:w="7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~12%</w:t>
            </w:r>
          </w:p>
        </w:tc>
        <w:tc>
          <w:tcPr>
            <w:tcW w:type="dxa" w:w="700"/>
            <w:tcBorders>
              <w:top w:val="single" w:color="D1D5DB" w:sz="4"/>
              <w:left w:val="none" w:color="FFFFFF" w:sz="0"/>
              <w:bottom w:val="single" w:color="D1D5DB" w:sz="4"/>
              <w:right w:val="none" w:color="FFFFFF" w:sz="0"/>
            </w:tcBorders>
            <w:shd w:fill="FEF3C7" w:val="clear"/>
            <w:tcMar>
              <w:top w:type="dxa" w:w="70"/>
              <w:left w:type="dxa" w:w="100"/>
              <w:bottom w:type="dxa" w:w="70"/>
              <w:right w:type="dxa" w:w="60"/>
            </w:tcMar>
          </w:tcPr>
          <w:p>
            <w:pPr>
              <w:jc w:val="left"/>
            </w:pPr>
            <w:r>
              <w:rPr>
                <w:rFonts w:ascii="Arial" w:cs="Arial" w:eastAsia="Arial" w:hAnsi="Arial"/>
                <w:b/>
                <w:bCs/>
                <w:color w:val="92400E"/>
                <w:sz w:val="17"/>
                <w:szCs w:val="17"/>
              </w:rPr>
              <w:t xml:space="preserve">HIGH</w:t>
            </w:r>
          </w:p>
        </w:tc>
        <w:tc>
          <w:tcPr>
            <w:tcW w:type="dxa" w:w="9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bCs/>
                <w:color w:val="14532D"/>
                <w:sz w:val="17"/>
                <w:szCs w:val="17"/>
              </w:rPr>
              <w:t xml:space="preserve">$470M</w:t>
            </w:r>
          </w:p>
        </w:tc>
        <w:tc>
          <w:tcPr>
            <w:tcW w:type="dxa" w:w="9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bCs/>
                <w:color w:val="14532D"/>
                <w:sz w:val="17"/>
                <w:szCs w:val="17"/>
              </w:rPr>
              <w:t xml:space="preserve">$56M</w:t>
            </w:r>
          </w:p>
        </w:tc>
        <w:tc>
          <w:tcPr>
            <w:tcW w:type="dxa" w:w="16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TEAM model 1.5% discount; validate # vessels bypassed for correct DRG; graft harvest site documented</w:t>
            </w:r>
          </w:p>
        </w:tc>
        <w:tc>
          <w:tcPr>
            <w:tcW w:type="dxa" w:w="10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007A8C"/>
                <w:sz w:val="17"/>
                <w:szCs w:val="17"/>
              </w:rPr>
              <w:t xml:space="preserve">STS TEAM Aug 2024; ACC IPPS Apr 2024 [22,23]</w:t>
            </w:r>
          </w:p>
        </w:tc>
      </w:tr>
      <w:tr>
        <w:tc>
          <w:tcPr>
            <w:tcW w:type="dxa" w:w="108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Courier New" w:cs="Courier New" w:eastAsia="Courier New" w:hAnsi="Courier New"/>
                <w:b/>
                <w:bCs/>
                <w:color w:val="0D1B4B"/>
                <w:sz w:val="17"/>
                <w:szCs w:val="17"/>
              </w:rPr>
              <w:t xml:space="preserve">02RF37Z / 02RF3JZ</w:t>
            </w:r>
          </w:p>
        </w:tc>
        <w:tc>
          <w:tcPr>
            <w:tcW w:type="dxa" w:w="168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TAVR — transcatheter aortic valve replacement (transfemoral most common)</w:t>
            </w:r>
          </w:p>
        </w:tc>
        <w:tc>
          <w:tcPr>
            <w:tcW w:type="dxa" w:w="8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MS-DRG 216–221</w:t>
            </w:r>
          </w:p>
        </w:tc>
        <w:tc>
          <w:tcPr>
            <w:tcW w:type="dxa" w:w="7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~10%</w:t>
            </w:r>
          </w:p>
        </w:tc>
        <w:tc>
          <w:tcPr>
            <w:tcW w:type="dxa" w:w="700"/>
            <w:tcBorders>
              <w:top w:val="single" w:color="D1D5DB" w:sz="4"/>
              <w:left w:val="none" w:color="FFFFFF" w:sz="0"/>
              <w:bottom w:val="single" w:color="D1D5DB" w:sz="4"/>
              <w:right w:val="none" w:color="FFFFFF" w:sz="0"/>
            </w:tcBorders>
            <w:shd w:fill="FEF3C7" w:val="clear"/>
            <w:tcMar>
              <w:top w:type="dxa" w:w="70"/>
              <w:left w:type="dxa" w:w="100"/>
              <w:bottom w:type="dxa" w:w="70"/>
              <w:right w:type="dxa" w:w="60"/>
            </w:tcMar>
          </w:tcPr>
          <w:p>
            <w:pPr>
              <w:jc w:val="left"/>
            </w:pPr>
            <w:r>
              <w:rPr>
                <w:rFonts w:ascii="Arial" w:cs="Arial" w:eastAsia="Arial" w:hAnsi="Arial"/>
                <w:b/>
                <w:bCs/>
                <w:color w:val="92400E"/>
                <w:sz w:val="17"/>
                <w:szCs w:val="17"/>
              </w:rPr>
              <w:t xml:space="preserve">HIGH</w:t>
            </w:r>
          </w:p>
        </w:tc>
        <w:tc>
          <w:tcPr>
            <w:tcW w:type="dxa" w:w="9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right"/>
            </w:pPr>
            <w:r>
              <w:rPr>
                <w:rFonts w:ascii="Arial" w:cs="Arial" w:eastAsia="Arial" w:hAnsi="Arial"/>
                <w:b/>
                <w:bCs/>
                <w:color w:val="14532D"/>
                <w:sz w:val="17"/>
                <w:szCs w:val="17"/>
              </w:rPr>
              <w:t xml:space="preserve">$422M</w:t>
            </w:r>
          </w:p>
        </w:tc>
        <w:tc>
          <w:tcPr>
            <w:tcW w:type="dxa" w:w="9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right"/>
            </w:pPr>
            <w:r>
              <w:rPr>
                <w:rFonts w:ascii="Arial" w:cs="Arial" w:eastAsia="Arial" w:hAnsi="Arial"/>
                <w:b/>
                <w:bCs/>
                <w:color w:val="14532D"/>
                <w:sz w:val="17"/>
                <w:szCs w:val="17"/>
              </w:rPr>
              <w:t xml:space="preserve">$42M</w:t>
            </w:r>
          </w:p>
        </w:tc>
        <w:tc>
          <w:tcPr>
            <w:tcW w:type="dxa" w:w="16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Heart Team documentation (cardiology + cardiothoracic surgery) required; STS/ACC risk score documented</w:t>
            </w:r>
          </w:p>
        </w:tc>
        <w:tc>
          <w:tcPr>
            <w:tcW w:type="dxa" w:w="10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007A8C"/>
                <w:sz w:val="17"/>
                <w:szCs w:val="17"/>
              </w:rPr>
              <w:t xml:space="preserve">ACC IPPS Apr 2024; GoodRx Cardiac 2026 [23,24]</w:t>
            </w:r>
          </w:p>
        </w:tc>
      </w:tr>
      <w:tr>
        <w:tc>
          <w:tcPr>
            <w:tcW w:type="dxa" w:w="108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Courier New" w:cs="Courier New" w:eastAsia="Courier New" w:hAnsi="Courier New"/>
                <w:b/>
                <w:bCs/>
                <w:color w:val="0D1B4B"/>
                <w:sz w:val="17"/>
                <w:szCs w:val="17"/>
              </w:rPr>
              <w:t xml:space="preserve">02703DZ / 027034Z</w:t>
            </w:r>
          </w:p>
        </w:tc>
        <w:tc>
          <w:tcPr>
            <w:tcW w:type="dxa" w:w="168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PCI — percutaneous coronary intervention/stent (drug-eluting vs. bare-metal)</w:t>
            </w:r>
          </w:p>
        </w:tc>
        <w:tc>
          <w:tcPr>
            <w:tcW w:type="dxa" w:w="8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MS-DRG 246–251</w:t>
            </w:r>
          </w:p>
        </w:tc>
        <w:tc>
          <w:tcPr>
            <w:tcW w:type="dxa" w:w="7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~8%</w:t>
            </w:r>
          </w:p>
        </w:tc>
        <w:tc>
          <w:tcPr>
            <w:tcW w:type="dxa" w:w="700"/>
            <w:tcBorders>
              <w:top w:val="single" w:color="D1D5DB" w:sz="4"/>
              <w:left w:val="none" w:color="FFFFFF" w:sz="0"/>
              <w:bottom w:val="single" w:color="D1D5DB" w:sz="4"/>
              <w:right w:val="none" w:color="FFFFFF" w:sz="0"/>
            </w:tcBorders>
            <w:shd w:fill="FEF3C7" w:val="clear"/>
            <w:tcMar>
              <w:top w:type="dxa" w:w="70"/>
              <w:left w:type="dxa" w:w="100"/>
              <w:bottom w:type="dxa" w:w="70"/>
              <w:right w:type="dxa" w:w="60"/>
            </w:tcMar>
          </w:tcPr>
          <w:p>
            <w:pPr>
              <w:jc w:val="left"/>
            </w:pPr>
            <w:r>
              <w:rPr>
                <w:rFonts w:ascii="Arial" w:cs="Arial" w:eastAsia="Arial" w:hAnsi="Arial"/>
                <w:b/>
                <w:bCs/>
                <w:color w:val="92400E"/>
                <w:sz w:val="17"/>
                <w:szCs w:val="17"/>
              </w:rPr>
              <w:t xml:space="preserve">HIGH</w:t>
            </w:r>
          </w:p>
        </w:tc>
        <w:tc>
          <w:tcPr>
            <w:tcW w:type="dxa" w:w="9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bCs/>
                <w:color w:val="14532D"/>
                <w:sz w:val="17"/>
                <w:szCs w:val="17"/>
              </w:rPr>
              <w:t xml:space="preserve">$679M</w:t>
            </w:r>
          </w:p>
        </w:tc>
        <w:tc>
          <w:tcPr>
            <w:tcW w:type="dxa" w:w="9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bCs/>
                <w:color w:val="14532D"/>
                <w:sz w:val="17"/>
                <w:szCs w:val="17"/>
              </w:rPr>
              <w:t xml:space="preserve">$54M</w:t>
            </w:r>
          </w:p>
        </w:tc>
        <w:tc>
          <w:tcPr>
            <w:tcW w:type="dxa" w:w="16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FFR or IVUS documentation for elective PCI; catheterization report must support clinical indication</w:t>
            </w:r>
          </w:p>
        </w:tc>
        <w:tc>
          <w:tcPr>
            <w:tcW w:type="dxa" w:w="10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007A8C"/>
                <w:sz w:val="17"/>
                <w:szCs w:val="17"/>
              </w:rPr>
              <w:t xml:space="preserve">ACC IPPS Apr 2024; CMS RADV Expansion Mar 2026 [23]</w:t>
            </w:r>
          </w:p>
        </w:tc>
      </w:tr>
    </w:tbl>
    <w:p>
      <w:pPr>
        <w:spacing w:after="160" w:before="0"/>
      </w:pPr>
      <w:r>
        <w:t xml:space="preserve"/>
      </w:r>
    </w:p>
    <w:p>
      <w:pPr>
        <w:pBdr>
          <w:bottom w:val="single" w:color="007A8C" w:sz="4"/>
        </w:pBdr>
        <w:shd w:fill="92400E" w:val="clear"/>
        <w:spacing w:after="60" w:before="200"/>
        <w:ind w:left="120"/>
      </w:pPr>
      <w:r>
        <w:rPr>
          <w:rFonts w:ascii="Arial" w:cs="Arial" w:eastAsia="Arial" w:hAnsi="Arial"/>
          <w:b/>
          <w:bCs/>
          <w:color w:val="FFFFFF"/>
          <w:sz w:val="20"/>
          <w:szCs w:val="20"/>
        </w:rPr>
        <w:t xml:space="preserve">TIER 3 — BARIATRIC &amp; ROBOTIC-ASSISTED   |   Medical necessity criteria required; robotic coding adds DRG shift risk</w:t>
      </w:r>
    </w:p>
    <w:p>
      <w:pPr>
        <w:spacing w:after="100" w:before="40"/>
      </w:pPr>
      <w:r>
        <w:rPr>
          <w:rFonts w:ascii="Arial" w:cs="Arial" w:eastAsia="Arial" w:hAnsi="Arial"/>
          <w:b/>
          <w:bCs/>
          <w:color w:val="92400E"/>
          <w:sz w:val="21"/>
          <w:szCs w:val="21"/>
        </w:rPr>
        <w:t xml:space="preserve">Evidence: </w:t>
      </w:r>
      <w:r>
        <w:rPr>
          <w:rFonts w:ascii="Arial" w:cs="Arial" w:eastAsia="Arial" w:hAnsi="Arial"/>
          <w:color w:val="1F2937"/>
          <w:sz w:val="21"/>
          <w:szCs w:val="21"/>
        </w:rPr>
        <w:t xml:space="preserve">Medicare covers bariatric surgery only when specific criteria are met: BMI ≥ 35 with comorbidity, documented failure of non-surgical weight loss, and psychological clearance. ICD-10-PCS update effective April 1, 2026 added 80 new procedure codes including New Technology section X codes — creating significant coding complexity and DRG shift risk for robotic-assisted procedures.</w:t>
      </w:r>
      <w:r>
        <w:rPr>
          <w:rFonts w:ascii="Arial" w:cs="Arial" w:eastAsia="Arial" w:hAnsi="Arial"/>
          <w:color w:val="4B5563"/>
          <w:sz w:val="17"/>
          <w:szCs w:val="17"/>
          <w:vertAlign w:val="superscript"/>
        </w:rPr>
        <w:t xml:space="preserve"> [25,26]</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680"/>
        <w:gridCol w:w="800"/>
        <w:gridCol w:w="700"/>
        <w:gridCol w:w="700"/>
        <w:gridCol w:w="900"/>
        <w:gridCol w:w="900"/>
        <w:gridCol w:w="1600"/>
        <w:gridCol w:w="1000"/>
      </w:tblGrid>
      <w:tr>
        <w:trPr>
          <w:tblHeader/>
        </w:trPr>
        <w:tc>
          <w:tcPr>
            <w:tcW w:type="dxa" w:w="108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ICD-10-PCS / CPT</w:t>
            </w:r>
          </w:p>
        </w:tc>
        <w:tc>
          <w:tcPr>
            <w:tcW w:type="dxa" w:w="168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Procedure</w:t>
            </w:r>
          </w:p>
        </w:tc>
        <w:tc>
          <w:tcPr>
            <w:tcW w:type="dxa" w:w="8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MS-DRG</w:t>
            </w:r>
          </w:p>
        </w:tc>
        <w:tc>
          <w:tcPr>
            <w:tcW w:type="dxa" w:w="7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CMS Imp. Rate</w:t>
            </w:r>
          </w:p>
        </w:tc>
        <w:tc>
          <w:tcPr>
            <w:tcW w:type="dxa" w:w="7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OIG Flag</w:t>
            </w:r>
          </w:p>
        </w:tc>
        <w:tc>
          <w:tcPr>
            <w:tcW w:type="dxa" w:w="9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Humana Spend</w:t>
            </w:r>
          </w:p>
        </w:tc>
        <w:tc>
          <w:tcPr>
            <w:tcW w:type="dxa" w:w="9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Improper Pool</w:t>
            </w:r>
          </w:p>
        </w:tc>
        <w:tc>
          <w:tcPr>
            <w:tcW w:type="dxa" w:w="16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CVA Logic</w:t>
            </w:r>
          </w:p>
        </w:tc>
        <w:tc>
          <w:tcPr>
            <w:tcW w:type="dxa" w:w="10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Citation</w:t>
            </w:r>
          </w:p>
        </w:tc>
      </w:tr>
      <w:tr>
        <w:tc>
          <w:tcPr>
            <w:tcW w:type="dxa" w:w="108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Courier New" w:cs="Courier New" w:eastAsia="Courier New" w:hAnsi="Courier New"/>
                <w:b/>
                <w:bCs/>
                <w:color w:val="0D1B4B"/>
                <w:sz w:val="17"/>
                <w:szCs w:val="17"/>
              </w:rPr>
              <w:t xml:space="preserve">0DB64Z3 / 0DB68Z3</w:t>
            </w:r>
          </w:p>
        </w:tc>
        <w:tc>
          <w:tcPr>
            <w:tcW w:type="dxa" w:w="168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Roux-en-Y gastric bypass (open vs. laparoscopic; subcodes by approach)</w:t>
            </w:r>
          </w:p>
        </w:tc>
        <w:tc>
          <w:tcPr>
            <w:tcW w:type="dxa" w:w="8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MS-DRG 619–621</w:t>
            </w:r>
          </w:p>
        </w:tc>
        <w:tc>
          <w:tcPr>
            <w:tcW w:type="dxa" w:w="7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~12%</w:t>
            </w:r>
          </w:p>
        </w:tc>
        <w:tc>
          <w:tcPr>
            <w:tcW w:type="dxa" w:w="700"/>
            <w:tcBorders>
              <w:top w:val="single" w:color="D1D5DB" w:sz="4"/>
              <w:left w:val="none" w:color="FFFFFF" w:sz="0"/>
              <w:bottom w:val="single" w:color="D1D5DB" w:sz="4"/>
              <w:right w:val="none" w:color="FFFFFF" w:sz="0"/>
            </w:tcBorders>
            <w:shd w:fill="FEF3C7" w:val="clear"/>
            <w:tcMar>
              <w:top w:type="dxa" w:w="70"/>
              <w:left w:type="dxa" w:w="100"/>
              <w:bottom w:type="dxa" w:w="70"/>
              <w:right w:type="dxa" w:w="60"/>
            </w:tcMar>
          </w:tcPr>
          <w:p>
            <w:pPr>
              <w:jc w:val="left"/>
            </w:pPr>
            <w:r>
              <w:rPr>
                <w:rFonts w:ascii="Arial" w:cs="Arial" w:eastAsia="Arial" w:hAnsi="Arial"/>
                <w:b/>
                <w:bCs/>
                <w:color w:val="92400E"/>
                <w:sz w:val="17"/>
                <w:szCs w:val="17"/>
              </w:rPr>
              <w:t xml:space="preserve">HIGH</w:t>
            </w:r>
          </w:p>
        </w:tc>
        <w:tc>
          <w:tcPr>
            <w:tcW w:type="dxa" w:w="9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bCs/>
                <w:color w:val="14532D"/>
                <w:sz w:val="17"/>
                <w:szCs w:val="17"/>
              </w:rPr>
              <w:t xml:space="preserve">$115M</w:t>
            </w:r>
          </w:p>
        </w:tc>
        <w:tc>
          <w:tcPr>
            <w:tcW w:type="dxa" w:w="9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bCs/>
                <w:color w:val="14532D"/>
                <w:sz w:val="17"/>
                <w:szCs w:val="17"/>
              </w:rPr>
              <w:t xml:space="preserve">$14M</w:t>
            </w:r>
          </w:p>
        </w:tc>
        <w:tc>
          <w:tcPr>
            <w:tcW w:type="dxa" w:w="16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BMI ≥ 35 + comorbidity + failed supervised diet program documented; psych eval required</w:t>
            </w:r>
          </w:p>
        </w:tc>
        <w:tc>
          <w:tcPr>
            <w:tcW w:type="dxa" w:w="10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007A8C"/>
                <w:sz w:val="17"/>
                <w:szCs w:val="17"/>
              </w:rPr>
              <w:t xml:space="preserve">By-Band-Sleeve RCT 2025; CMS NCD 100.1 [25]</w:t>
            </w:r>
          </w:p>
        </w:tc>
      </w:tr>
      <w:tr>
        <w:tc>
          <w:tcPr>
            <w:tcW w:type="dxa" w:w="108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Courier New" w:cs="Courier New" w:eastAsia="Courier New" w:hAnsi="Courier New"/>
                <w:b/>
                <w:bCs/>
                <w:color w:val="0D1B4B"/>
                <w:sz w:val="17"/>
                <w:szCs w:val="17"/>
              </w:rPr>
              <w:t xml:space="preserve">0DB64Z2 / 0DB68Z2</w:t>
            </w:r>
          </w:p>
        </w:tc>
        <w:tc>
          <w:tcPr>
            <w:tcW w:type="dxa" w:w="168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Laparoscopic sleeve gastrectomy</w:t>
            </w:r>
          </w:p>
        </w:tc>
        <w:tc>
          <w:tcPr>
            <w:tcW w:type="dxa" w:w="8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MS-DRG 619–621</w:t>
            </w:r>
          </w:p>
        </w:tc>
        <w:tc>
          <w:tcPr>
            <w:tcW w:type="dxa" w:w="7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~12%</w:t>
            </w:r>
          </w:p>
        </w:tc>
        <w:tc>
          <w:tcPr>
            <w:tcW w:type="dxa" w:w="700"/>
            <w:tcBorders>
              <w:top w:val="single" w:color="D1D5DB" w:sz="4"/>
              <w:left w:val="none" w:color="FFFFFF" w:sz="0"/>
              <w:bottom w:val="single" w:color="D1D5DB" w:sz="4"/>
              <w:right w:val="none" w:color="FFFFFF" w:sz="0"/>
            </w:tcBorders>
            <w:shd w:fill="FEF3C7" w:val="clear"/>
            <w:tcMar>
              <w:top w:type="dxa" w:w="70"/>
              <w:left w:type="dxa" w:w="100"/>
              <w:bottom w:type="dxa" w:w="70"/>
              <w:right w:type="dxa" w:w="60"/>
            </w:tcMar>
          </w:tcPr>
          <w:p>
            <w:pPr>
              <w:jc w:val="left"/>
            </w:pPr>
            <w:r>
              <w:rPr>
                <w:rFonts w:ascii="Arial" w:cs="Arial" w:eastAsia="Arial" w:hAnsi="Arial"/>
                <w:b/>
                <w:bCs/>
                <w:color w:val="92400E"/>
                <w:sz w:val="17"/>
                <w:szCs w:val="17"/>
              </w:rPr>
              <w:t xml:space="preserve">HIGH</w:t>
            </w:r>
          </w:p>
        </w:tc>
        <w:tc>
          <w:tcPr>
            <w:tcW w:type="dxa" w:w="9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right"/>
            </w:pPr>
            <w:r>
              <w:rPr>
                <w:rFonts w:ascii="Arial" w:cs="Arial" w:eastAsia="Arial" w:hAnsi="Arial"/>
                <w:b/>
                <w:bCs/>
                <w:color w:val="14532D"/>
                <w:sz w:val="17"/>
                <w:szCs w:val="17"/>
              </w:rPr>
              <w:t xml:space="preserve">Incl.</w:t>
            </w:r>
          </w:p>
        </w:tc>
        <w:tc>
          <w:tcPr>
            <w:tcW w:type="dxa" w:w="9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right"/>
            </w:pPr>
            <w:r>
              <w:rPr>
                <w:rFonts w:ascii="Arial" w:cs="Arial" w:eastAsia="Arial" w:hAnsi="Arial"/>
                <w:b/>
                <w:bCs/>
                <w:color w:val="14532D"/>
                <w:sz w:val="17"/>
                <w:szCs w:val="17"/>
              </w:rPr>
              <w:t xml:space="preserve">Incl.</w:t>
            </w:r>
          </w:p>
        </w:tc>
        <w:tc>
          <w:tcPr>
            <w:tcW w:type="dxa" w:w="16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Same criteria as RYGB; document ≥ 6 months supervised diet failure</w:t>
            </w:r>
          </w:p>
        </w:tc>
        <w:tc>
          <w:tcPr>
            <w:tcW w:type="dxa" w:w="10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007A8C"/>
                <w:sz w:val="17"/>
                <w:szCs w:val="17"/>
              </w:rPr>
              <w:t xml:space="preserve">By-Band-Sleeve RCT 2025; CMS NCD 100.1 [25]</w:t>
            </w:r>
          </w:p>
        </w:tc>
      </w:tr>
      <w:tr>
        <w:tc>
          <w:tcPr>
            <w:tcW w:type="dxa" w:w="108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Courier New" w:cs="Courier New" w:eastAsia="Courier New" w:hAnsi="Courier New"/>
                <w:b/>
                <w:bCs/>
                <w:color w:val="0D1B4B"/>
                <w:sz w:val="17"/>
                <w:szCs w:val="17"/>
              </w:rPr>
              <w:t xml:space="preserve">XW033C7 / XW043C7</w:t>
            </w:r>
          </w:p>
        </w:tc>
        <w:tc>
          <w:tcPr>
            <w:tcW w:type="dxa" w:w="168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Robotic-assisted surgical procedures — New Technology ICD-10-PCS section X</w:t>
            </w:r>
          </w:p>
        </w:tc>
        <w:tc>
          <w:tcPr>
            <w:tcW w:type="dxa" w:w="8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MS-DRG varies</w:t>
            </w:r>
          </w:p>
        </w:tc>
        <w:tc>
          <w:tcPr>
            <w:tcW w:type="dxa" w:w="7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~9%</w:t>
            </w:r>
          </w:p>
        </w:tc>
        <w:tc>
          <w:tcPr>
            <w:tcW w:type="dxa" w:w="700"/>
            <w:tcBorders>
              <w:top w:val="single" w:color="D1D5DB" w:sz="4"/>
              <w:left w:val="none" w:color="FFFFFF" w:sz="0"/>
              <w:bottom w:val="single" w:color="D1D5DB" w:sz="4"/>
              <w:right w:val="none" w:color="FFFFFF" w:sz="0"/>
            </w:tcBorders>
            <w:shd w:fill="FEF3C7" w:val="clear"/>
            <w:tcMar>
              <w:top w:type="dxa" w:w="70"/>
              <w:left w:type="dxa" w:w="100"/>
              <w:bottom w:type="dxa" w:w="70"/>
              <w:right w:type="dxa" w:w="60"/>
            </w:tcMar>
          </w:tcPr>
          <w:p>
            <w:pPr>
              <w:jc w:val="left"/>
            </w:pPr>
            <w:r>
              <w:rPr>
                <w:rFonts w:ascii="Arial" w:cs="Arial" w:eastAsia="Arial" w:hAnsi="Arial"/>
                <w:b/>
                <w:bCs/>
                <w:color w:val="92400E"/>
                <w:sz w:val="17"/>
                <w:szCs w:val="17"/>
              </w:rPr>
              <w:t xml:space="preserve">HIGH</w:t>
            </w:r>
          </w:p>
        </w:tc>
        <w:tc>
          <w:tcPr>
            <w:tcW w:type="dxa" w:w="9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bCs/>
                <w:color w:val="14532D"/>
                <w:sz w:val="17"/>
                <w:szCs w:val="17"/>
              </w:rPr>
              <w:t xml:space="preserve">$568M</w:t>
            </w:r>
          </w:p>
        </w:tc>
        <w:tc>
          <w:tcPr>
            <w:tcW w:type="dxa" w:w="9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bCs/>
                <w:color w:val="14532D"/>
                <w:sz w:val="17"/>
                <w:szCs w:val="17"/>
              </w:rPr>
              <w:t xml:space="preserve">$51M</w:t>
            </w:r>
          </w:p>
        </w:tc>
        <w:tc>
          <w:tcPr>
            <w:tcW w:type="dxa" w:w="16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New Tech section X codes trigger DRG shifts; validate robotic use adds clinical value vs. conventional approach</w:t>
            </w:r>
          </w:p>
        </w:tc>
        <w:tc>
          <w:tcPr>
            <w:tcW w:type="dxa" w:w="10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007A8C"/>
                <w:sz w:val="17"/>
                <w:szCs w:val="17"/>
              </w:rPr>
              <w:t xml:space="preserve">HIA Code ICD-10-PCS Update Feb 2026; CMS ICD-10-PCS Guidelines 2026 [26]</w:t>
            </w:r>
          </w:p>
        </w:tc>
      </w:tr>
    </w:tbl>
    <w:p>
      <w:pPr>
        <w:spacing w:after="160" w:before="0"/>
      </w:pPr>
      <w:r>
        <w:t xml:space="preserve"/>
      </w:r>
    </w:p>
    <w:p>
      <w:pPr>
        <w:pBdr>
          <w:bottom w:val="single" w:color="007A8C" w:sz="4"/>
        </w:pBdr>
        <w:shd w:fill="991B1B" w:val="clear"/>
        <w:spacing w:after="60" w:before="200"/>
        <w:ind w:left="120"/>
      </w:pPr>
      <w:r>
        <w:rPr>
          <w:rFonts w:ascii="Arial" w:cs="Arial" w:eastAsia="Arial" w:hAnsi="Arial"/>
          <w:b/>
          <w:bCs/>
          <w:color w:val="FFFFFF"/>
          <w:sz w:val="20"/>
          <w:szCs w:val="20"/>
        </w:rPr>
        <w:t xml:space="preserve">TIER 4 — NEUROSTIMULATOR IMPLANTATION   |   OIG: $636M overpaid; 40%+ error rate; OIG Work Plan added Mar 2026</w:t>
      </w:r>
    </w:p>
    <w:p>
      <w:pPr>
        <w:spacing w:after="100" w:before="40"/>
      </w:pPr>
      <w:r>
        <w:rPr>
          <w:rFonts w:ascii="Arial" w:cs="Arial" w:eastAsia="Arial" w:hAnsi="Arial"/>
          <w:b/>
          <w:bCs/>
          <w:color w:val="991B1B"/>
          <w:sz w:val="21"/>
          <w:szCs w:val="21"/>
        </w:rPr>
        <w:t xml:space="preserve">Evidence: </w:t>
      </w:r>
      <w:r>
        <w:rPr>
          <w:rFonts w:ascii="Arial" w:cs="Arial" w:eastAsia="Arial" w:hAnsi="Arial"/>
          <w:color w:val="1F2937"/>
          <w:sz w:val="21"/>
          <w:szCs w:val="21"/>
        </w:rPr>
        <w:t xml:space="preserve">OIG found Medicare overpaid $636 million for neurostimulator implantation surgeries, covering $1.4B in payments for 58,213 beneficiaries in 2016–2017. More than 40% of claims did not comply with Medicare requirements. Volume grew 175% between 2007 and 2018. OIG formally added inpatient neurostimulator claims to its active Work Plan on March 16, 2026.</w:t>
      </w:r>
      <w:r>
        <w:rPr>
          <w:rFonts w:ascii="Arial" w:cs="Arial" w:eastAsia="Arial" w:hAnsi="Arial"/>
          <w:color w:val="4B5563"/>
          <w:sz w:val="17"/>
          <w:szCs w:val="17"/>
          <w:vertAlign w:val="superscript"/>
        </w:rPr>
        <w:t xml:space="preserve"> [27,28]</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680"/>
        <w:gridCol w:w="800"/>
        <w:gridCol w:w="700"/>
        <w:gridCol w:w="700"/>
        <w:gridCol w:w="900"/>
        <w:gridCol w:w="900"/>
        <w:gridCol w:w="1600"/>
        <w:gridCol w:w="1000"/>
      </w:tblGrid>
      <w:tr>
        <w:trPr>
          <w:tblHeader/>
        </w:trPr>
        <w:tc>
          <w:tcPr>
            <w:tcW w:type="dxa" w:w="108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ICD-10-PCS / CPT</w:t>
            </w:r>
          </w:p>
        </w:tc>
        <w:tc>
          <w:tcPr>
            <w:tcW w:type="dxa" w:w="168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Procedure</w:t>
            </w:r>
          </w:p>
        </w:tc>
        <w:tc>
          <w:tcPr>
            <w:tcW w:type="dxa" w:w="8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MS-DRG</w:t>
            </w:r>
          </w:p>
        </w:tc>
        <w:tc>
          <w:tcPr>
            <w:tcW w:type="dxa" w:w="7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CMS Imp. Rate</w:t>
            </w:r>
          </w:p>
        </w:tc>
        <w:tc>
          <w:tcPr>
            <w:tcW w:type="dxa" w:w="7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OIG Flag</w:t>
            </w:r>
          </w:p>
        </w:tc>
        <w:tc>
          <w:tcPr>
            <w:tcW w:type="dxa" w:w="9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Humana Spend</w:t>
            </w:r>
          </w:p>
        </w:tc>
        <w:tc>
          <w:tcPr>
            <w:tcW w:type="dxa" w:w="9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Improper Pool</w:t>
            </w:r>
          </w:p>
        </w:tc>
        <w:tc>
          <w:tcPr>
            <w:tcW w:type="dxa" w:w="16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CVA Logic</w:t>
            </w:r>
          </w:p>
        </w:tc>
        <w:tc>
          <w:tcPr>
            <w:tcW w:type="dxa" w:w="10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Citation</w:t>
            </w:r>
          </w:p>
        </w:tc>
      </w:tr>
      <w:tr>
        <w:tc>
          <w:tcPr>
            <w:tcW w:type="dxa" w:w="108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Courier New" w:cs="Courier New" w:eastAsia="Courier New" w:hAnsi="Courier New"/>
                <w:b/>
                <w:bCs/>
                <w:color w:val="0D1B4B"/>
                <w:sz w:val="17"/>
                <w:szCs w:val="17"/>
              </w:rPr>
              <w:t xml:space="preserve">00H03MZ / 0JH60MZ</w:t>
            </w:r>
          </w:p>
        </w:tc>
        <w:tc>
          <w:tcPr>
            <w:tcW w:type="dxa" w:w="168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Spinal cord stimulator — lead + pulse generator (2-code pair required)</w:t>
            </w:r>
          </w:p>
        </w:tc>
        <w:tc>
          <w:tcPr>
            <w:tcW w:type="dxa" w:w="8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MS-DRG 028/029</w:t>
            </w:r>
          </w:p>
        </w:tc>
        <w:tc>
          <w:tcPr>
            <w:tcW w:type="dxa" w:w="7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40%+</w:t>
            </w:r>
          </w:p>
        </w:tc>
        <w:tc>
          <w:tcPr>
            <w:tcW w:type="dxa" w:w="700"/>
            <w:tcBorders>
              <w:top w:val="single" w:color="D1D5DB" w:sz="4"/>
              <w:left w:val="none" w:color="FFFFFF" w:sz="0"/>
              <w:bottom w:val="single" w:color="D1D5DB" w:sz="4"/>
              <w:right w:val="none" w:color="FFFFFF" w:sz="0"/>
            </w:tcBorders>
            <w:shd w:fill="FEE2E2" w:val="clear"/>
            <w:tcMar>
              <w:top w:type="dxa" w:w="70"/>
              <w:left w:type="dxa" w:w="100"/>
              <w:bottom w:type="dxa" w:w="70"/>
              <w:right w:type="dxa" w:w="60"/>
            </w:tcMar>
          </w:tcPr>
          <w:p>
            <w:pPr>
              <w:jc w:val="left"/>
            </w:pPr>
            <w:r>
              <w:rPr>
                <w:rFonts w:ascii="Arial" w:cs="Arial" w:eastAsia="Arial" w:hAnsi="Arial"/>
                <w:b/>
                <w:bCs/>
                <w:color w:val="991B1B"/>
                <w:sz w:val="17"/>
                <w:szCs w:val="17"/>
              </w:rPr>
              <w:t xml:space="preserve">CRITICAL</w:t>
            </w:r>
          </w:p>
        </w:tc>
        <w:tc>
          <w:tcPr>
            <w:tcW w:type="dxa" w:w="9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bCs/>
                <w:color w:val="14532D"/>
                <w:sz w:val="17"/>
                <w:szCs w:val="17"/>
              </w:rPr>
              <w:t xml:space="preserve">$242M</w:t>
            </w:r>
          </w:p>
        </w:tc>
        <w:tc>
          <w:tcPr>
            <w:tcW w:type="dxa" w:w="9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bCs/>
                <w:color w:val="14532D"/>
                <w:sz w:val="17"/>
                <w:szCs w:val="17"/>
              </w:rPr>
              <w:t xml:space="preserve">$60M</w:t>
            </w:r>
          </w:p>
        </w:tc>
        <w:tc>
          <w:tcPr>
            <w:tcW w:type="dxa" w:w="16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7-day trial claim (CPT 63650) must precede permanent implant; psych clearance + failed conservative therapy documented</w:t>
            </w:r>
          </w:p>
        </w:tc>
        <w:tc>
          <w:tcPr>
            <w:tcW w:type="dxa" w:w="10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007A8C"/>
                <w:sz w:val="17"/>
                <w:szCs w:val="17"/>
              </w:rPr>
              <w:t xml:space="preserve">OIG A-01-18-00500 2021; OIG Work Plan Mar 16 2026 [27,28]</w:t>
            </w:r>
          </w:p>
        </w:tc>
      </w:tr>
      <w:tr>
        <w:tc>
          <w:tcPr>
            <w:tcW w:type="dxa" w:w="108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Courier New" w:cs="Courier New" w:eastAsia="Courier New" w:hAnsi="Courier New"/>
                <w:b/>
                <w:bCs/>
                <w:color w:val="0D1B4B"/>
                <w:sz w:val="17"/>
                <w:szCs w:val="17"/>
              </w:rPr>
              <w:t xml:space="preserve">00H04MZ / 00H00MZ</w:t>
            </w:r>
          </w:p>
        </w:tc>
        <w:tc>
          <w:tcPr>
            <w:tcW w:type="dxa" w:w="168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Peripheral nerve stimulator implantation</w:t>
            </w:r>
          </w:p>
        </w:tc>
        <w:tc>
          <w:tcPr>
            <w:tcW w:type="dxa" w:w="8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MS-DRG varies</w:t>
            </w:r>
          </w:p>
        </w:tc>
        <w:tc>
          <w:tcPr>
            <w:tcW w:type="dxa" w:w="7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40%+</w:t>
            </w:r>
          </w:p>
        </w:tc>
        <w:tc>
          <w:tcPr>
            <w:tcW w:type="dxa" w:w="700"/>
            <w:tcBorders>
              <w:top w:val="single" w:color="D1D5DB" w:sz="4"/>
              <w:left w:val="none" w:color="FFFFFF" w:sz="0"/>
              <w:bottom w:val="single" w:color="D1D5DB" w:sz="4"/>
              <w:right w:val="none" w:color="FFFFFF" w:sz="0"/>
            </w:tcBorders>
            <w:shd w:fill="FEE2E2" w:val="clear"/>
            <w:tcMar>
              <w:top w:type="dxa" w:w="70"/>
              <w:left w:type="dxa" w:w="100"/>
              <w:bottom w:type="dxa" w:w="70"/>
              <w:right w:type="dxa" w:w="60"/>
            </w:tcMar>
          </w:tcPr>
          <w:p>
            <w:pPr>
              <w:jc w:val="left"/>
            </w:pPr>
            <w:r>
              <w:rPr>
                <w:rFonts w:ascii="Arial" w:cs="Arial" w:eastAsia="Arial" w:hAnsi="Arial"/>
                <w:b/>
                <w:bCs/>
                <w:color w:val="991B1B"/>
                <w:sz w:val="17"/>
                <w:szCs w:val="17"/>
              </w:rPr>
              <w:t xml:space="preserve">CRITICAL</w:t>
            </w:r>
          </w:p>
        </w:tc>
        <w:tc>
          <w:tcPr>
            <w:tcW w:type="dxa" w:w="9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right"/>
            </w:pPr>
            <w:r>
              <w:rPr>
                <w:rFonts w:ascii="Arial" w:cs="Arial" w:eastAsia="Arial" w:hAnsi="Arial"/>
                <w:b/>
                <w:bCs/>
                <w:color w:val="14532D"/>
                <w:sz w:val="17"/>
                <w:szCs w:val="17"/>
              </w:rPr>
              <w:t xml:space="preserve">Incl.</w:t>
            </w:r>
          </w:p>
        </w:tc>
        <w:tc>
          <w:tcPr>
            <w:tcW w:type="dxa" w:w="9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right"/>
            </w:pPr>
            <w:r>
              <w:rPr>
                <w:rFonts w:ascii="Arial" w:cs="Arial" w:eastAsia="Arial" w:hAnsi="Arial"/>
                <w:b/>
                <w:bCs/>
                <w:color w:val="14532D"/>
                <w:sz w:val="17"/>
                <w:szCs w:val="17"/>
              </w:rPr>
              <w:t xml:space="preserve">Incl.</w:t>
            </w:r>
          </w:p>
        </w:tc>
        <w:tc>
          <w:tcPr>
            <w:tcW w:type="dxa" w:w="16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DOJ $450K FCA settlement Mar 2025: billing implant when device was applied non-surgically in office</w:t>
            </w:r>
          </w:p>
        </w:tc>
        <w:tc>
          <w:tcPr>
            <w:tcW w:type="dxa" w:w="10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007A8C"/>
                <w:sz w:val="17"/>
                <w:szCs w:val="17"/>
              </w:rPr>
              <w:t xml:space="preserve">OIG DOJ Enforcement Mar 6 2025 [29]</w:t>
            </w:r>
          </w:p>
        </w:tc>
      </w:tr>
    </w:tbl>
    <w:p>
      <w:pPr>
        <w:spacing w:after="160" w:before="0"/>
      </w:pPr>
      <w:r>
        <w:t xml:space="preserve"/>
      </w:r>
    </w:p>
    <w:p>
      <w:pPr>
        <w:pBdr>
          <w:bottom w:val="single" w:color="007A8C" w:sz="4"/>
        </w:pBdr>
        <w:shd w:fill="007A8C" w:val="clear"/>
        <w:spacing w:after="60" w:before="200"/>
        <w:ind w:left="120"/>
      </w:pPr>
      <w:r>
        <w:rPr>
          <w:rFonts w:ascii="Arial" w:cs="Arial" w:eastAsia="Arial" w:hAnsi="Arial"/>
          <w:b/>
          <w:bCs/>
          <w:color w:val="FFFFFF"/>
          <w:sz w:val="20"/>
          <w:szCs w:val="20"/>
        </w:rPr>
        <w:t xml:space="preserve">TIER 5 — EMERGENCY DEPARTMENT PROCEDURE CODE MISMATCHES   |   OIG 2026: $15.1M identified; automate in 60 days</w:t>
      </w:r>
    </w:p>
    <w:p>
      <w:pPr>
        <w:spacing w:after="100" w:before="40"/>
      </w:pPr>
      <w:r>
        <w:rPr>
          <w:rFonts w:ascii="Arial" w:cs="Arial" w:eastAsia="Arial" w:hAnsi="Arial"/>
          <w:b/>
          <w:bCs/>
          <w:color w:val="007A8C"/>
          <w:sz w:val="21"/>
          <w:szCs w:val="21"/>
        </w:rPr>
        <w:t xml:space="preserve">Evidence: </w:t>
      </w:r>
      <w:r>
        <w:rPr>
          <w:rFonts w:ascii="Arial" w:cs="Arial" w:eastAsia="Arial" w:hAnsi="Arial"/>
          <w:color w:val="1F2937"/>
          <w:sz w:val="21"/>
          <w:szCs w:val="21"/>
        </w:rPr>
        <w:t xml:space="preserve">OIG's 2026 audit found Medicare improperly paid $922,524 to physicians and $14.2 million potentially improperly to hospitals for ED procedure codes billed at non-ED sites of service. This is fully automatable via a data crosswalk — no chart review required.</w:t>
      </w:r>
      <w:r>
        <w:rPr>
          <w:rFonts w:ascii="Arial" w:cs="Arial" w:eastAsia="Arial" w:hAnsi="Arial"/>
          <w:color w:val="4B5563"/>
          <w:sz w:val="17"/>
          <w:szCs w:val="17"/>
          <w:vertAlign w:val="superscript"/>
        </w:rPr>
        <w:t xml:space="preserve"> [30]</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680"/>
        <w:gridCol w:w="800"/>
        <w:gridCol w:w="700"/>
        <w:gridCol w:w="700"/>
        <w:gridCol w:w="900"/>
        <w:gridCol w:w="900"/>
        <w:gridCol w:w="1600"/>
        <w:gridCol w:w="1000"/>
      </w:tblGrid>
      <w:tr>
        <w:trPr>
          <w:tblHeader/>
        </w:trPr>
        <w:tc>
          <w:tcPr>
            <w:tcW w:type="dxa" w:w="108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ICD-10-PCS / CPT</w:t>
            </w:r>
          </w:p>
        </w:tc>
        <w:tc>
          <w:tcPr>
            <w:tcW w:type="dxa" w:w="168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Procedure</w:t>
            </w:r>
          </w:p>
        </w:tc>
        <w:tc>
          <w:tcPr>
            <w:tcW w:type="dxa" w:w="8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MS-DRG</w:t>
            </w:r>
          </w:p>
        </w:tc>
        <w:tc>
          <w:tcPr>
            <w:tcW w:type="dxa" w:w="7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CMS Imp. Rate</w:t>
            </w:r>
          </w:p>
        </w:tc>
        <w:tc>
          <w:tcPr>
            <w:tcW w:type="dxa" w:w="7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OIG Flag</w:t>
            </w:r>
          </w:p>
        </w:tc>
        <w:tc>
          <w:tcPr>
            <w:tcW w:type="dxa" w:w="9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Humana Spend</w:t>
            </w:r>
          </w:p>
        </w:tc>
        <w:tc>
          <w:tcPr>
            <w:tcW w:type="dxa" w:w="9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Improper Pool</w:t>
            </w:r>
          </w:p>
        </w:tc>
        <w:tc>
          <w:tcPr>
            <w:tcW w:type="dxa" w:w="16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CVA Logic</w:t>
            </w:r>
          </w:p>
        </w:tc>
        <w:tc>
          <w:tcPr>
            <w:tcW w:type="dxa" w:w="10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pPr>
              <w:jc w:val="center"/>
            </w:pPr>
            <w:r>
              <w:rPr>
                <w:rFonts w:ascii="Arial" w:cs="Arial" w:eastAsia="Arial" w:hAnsi="Arial"/>
                <w:b/>
                <w:bCs/>
                <w:color w:val="FFFFFF"/>
                <w:sz w:val="17"/>
                <w:szCs w:val="17"/>
              </w:rPr>
              <w:t xml:space="preserve">Citation</w:t>
            </w:r>
          </w:p>
        </w:tc>
      </w:tr>
      <w:tr>
        <w:tc>
          <w:tcPr>
            <w:tcW w:type="dxa" w:w="108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Courier New" w:cs="Courier New" w:eastAsia="Courier New" w:hAnsi="Courier New"/>
                <w:b/>
                <w:bCs/>
                <w:color w:val="0D1B4B"/>
                <w:sz w:val="17"/>
                <w:szCs w:val="17"/>
              </w:rPr>
              <w:t xml:space="preserve">99283 / 99284 / 99285</w:t>
            </w:r>
          </w:p>
        </w:tc>
        <w:tc>
          <w:tcPr>
            <w:tcW w:type="dxa" w:w="168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ED E&amp;M codes Level 3–5 billed at non-emergency department site of service</w:t>
            </w:r>
          </w:p>
        </w:tc>
        <w:tc>
          <w:tcPr>
            <w:tcW w:type="dxa" w:w="8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APC 5023/5024/5025</w:t>
            </w:r>
          </w:p>
        </w:tc>
        <w:tc>
          <w:tcPr>
            <w:tcW w:type="dxa" w:w="7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Documented</w:t>
            </w:r>
          </w:p>
        </w:tc>
        <w:tc>
          <w:tcPr>
            <w:tcW w:type="dxa" w:w="700"/>
            <w:tcBorders>
              <w:top w:val="single" w:color="D1D5DB" w:sz="4"/>
              <w:left w:val="none" w:color="FFFFFF" w:sz="0"/>
              <w:bottom w:val="single" w:color="D1D5DB" w:sz="4"/>
              <w:right w:val="none" w:color="FFFFFF" w:sz="0"/>
            </w:tcBorders>
            <w:shd w:fill="FEF3C7" w:val="clear"/>
            <w:tcMar>
              <w:top w:type="dxa" w:w="70"/>
              <w:left w:type="dxa" w:w="100"/>
              <w:bottom w:type="dxa" w:w="70"/>
              <w:right w:type="dxa" w:w="60"/>
            </w:tcMar>
          </w:tcPr>
          <w:p>
            <w:pPr>
              <w:jc w:val="left"/>
            </w:pPr>
            <w:r>
              <w:rPr>
                <w:rFonts w:ascii="Arial" w:cs="Arial" w:eastAsia="Arial" w:hAnsi="Arial"/>
                <w:b/>
                <w:bCs/>
                <w:color w:val="92400E"/>
                <w:sz w:val="17"/>
                <w:szCs w:val="17"/>
              </w:rPr>
              <w:t xml:space="preserve">HIGH</w:t>
            </w:r>
          </w:p>
        </w:tc>
        <w:tc>
          <w:tcPr>
            <w:tcW w:type="dxa" w:w="9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bCs/>
                <w:color w:val="14532D"/>
                <w:sz w:val="17"/>
                <w:szCs w:val="17"/>
              </w:rPr>
              <w:t xml:space="preserve">$8.4M</w:t>
            </w:r>
          </w:p>
        </w:tc>
        <w:tc>
          <w:tcPr>
            <w:tcW w:type="dxa" w:w="9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bCs/>
                <w:color w:val="14532D"/>
                <w:sz w:val="17"/>
                <w:szCs w:val="17"/>
              </w:rPr>
              <w:t xml:space="preserve">$8.4M</w:t>
            </w:r>
          </w:p>
        </w:tc>
        <w:tc>
          <w:tcPr>
            <w:tcW w:type="dxa" w:w="16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Revenue center code or place-of-service is not ED (23) but ED E&amp;M code is billed = automated flag; no chart review</w:t>
            </w:r>
          </w:p>
        </w:tc>
        <w:tc>
          <w:tcPr>
            <w:tcW w:type="dxa" w:w="10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007A8C"/>
                <w:sz w:val="17"/>
                <w:szCs w:val="17"/>
              </w:rPr>
              <w:t xml:space="preserve">OIG Report A-07-23-05139 2026 [30]</w:t>
            </w:r>
          </w:p>
        </w:tc>
      </w:tr>
      <w:tr>
        <w:tc>
          <w:tcPr>
            <w:tcW w:type="dxa" w:w="108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Courier New" w:cs="Courier New" w:eastAsia="Courier New" w:hAnsi="Courier New"/>
                <w:b/>
                <w:bCs/>
                <w:color w:val="0D1B4B"/>
                <w:sz w:val="17"/>
                <w:szCs w:val="17"/>
              </w:rPr>
              <w:t xml:space="preserve">99281 / 99282</w:t>
            </w:r>
          </w:p>
        </w:tc>
        <w:tc>
          <w:tcPr>
            <w:tcW w:type="dxa" w:w="168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ED E&amp;M codes Level 1–2 at non-ED site (lower value; high volume)</w:t>
            </w:r>
          </w:p>
        </w:tc>
        <w:tc>
          <w:tcPr>
            <w:tcW w:type="dxa" w:w="8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APC 5021/5022</w:t>
            </w:r>
          </w:p>
        </w:tc>
        <w:tc>
          <w:tcPr>
            <w:tcW w:type="dxa" w:w="7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Documented</w:t>
            </w:r>
          </w:p>
        </w:tc>
        <w:tc>
          <w:tcPr>
            <w:tcW w:type="dxa" w:w="700"/>
            <w:tcBorders>
              <w:top w:val="single" w:color="D1D5DB" w:sz="4"/>
              <w:left w:val="none" w:color="FFFFFF" w:sz="0"/>
              <w:bottom w:val="single" w:color="D1D5DB" w:sz="4"/>
              <w:right w:val="none" w:color="FFFFFF" w:sz="0"/>
            </w:tcBorders>
            <w:shd w:fill="E0F2FE" w:val="clear"/>
            <w:tcMar>
              <w:top w:type="dxa" w:w="70"/>
              <w:left w:type="dxa" w:w="100"/>
              <w:bottom w:type="dxa" w:w="70"/>
              <w:right w:type="dxa" w:w="60"/>
            </w:tcMar>
          </w:tcPr>
          <w:p>
            <w:pPr>
              <w:jc w:val="left"/>
            </w:pPr>
            <w:r>
              <w:rPr>
                <w:rFonts w:ascii="Arial" w:cs="Arial" w:eastAsia="Arial" w:hAnsi="Arial"/>
                <w:b/>
                <w:bCs/>
                <w:color w:val="007A8C"/>
                <w:sz w:val="17"/>
                <w:szCs w:val="17"/>
              </w:rPr>
              <w:t xml:space="preserve">MEDIUM</w:t>
            </w:r>
          </w:p>
        </w:tc>
        <w:tc>
          <w:tcPr>
            <w:tcW w:type="dxa" w:w="9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right"/>
            </w:pPr>
            <w:r>
              <w:rPr>
                <w:rFonts w:ascii="Arial" w:cs="Arial" w:eastAsia="Arial" w:hAnsi="Arial"/>
                <w:b/>
                <w:bCs/>
                <w:color w:val="14532D"/>
                <w:sz w:val="17"/>
                <w:szCs w:val="17"/>
              </w:rPr>
              <w:t xml:space="preserve">Incl.</w:t>
            </w:r>
          </w:p>
        </w:tc>
        <w:tc>
          <w:tcPr>
            <w:tcW w:type="dxa" w:w="9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right"/>
            </w:pPr>
            <w:r>
              <w:rPr>
                <w:rFonts w:ascii="Arial" w:cs="Arial" w:eastAsia="Arial" w:hAnsi="Arial"/>
                <w:b/>
                <w:bCs/>
                <w:color w:val="14532D"/>
                <w:sz w:val="17"/>
                <w:szCs w:val="17"/>
              </w:rPr>
              <w:t xml:space="preserve">Incl.</w:t>
            </w:r>
          </w:p>
        </w:tc>
        <w:tc>
          <w:tcPr>
            <w:tcW w:type="dxa" w:w="16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Same automated crosswalk; ED CPT + non-ED place of service = flag for refund</w:t>
            </w:r>
          </w:p>
        </w:tc>
        <w:tc>
          <w:tcPr>
            <w:tcW w:type="dxa" w:w="10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007A8C"/>
                <w:sz w:val="17"/>
                <w:szCs w:val="17"/>
              </w:rPr>
              <w:t xml:space="preserve">OIG Report A-07-23-05139 2026 [30]</w:t>
            </w:r>
          </w:p>
        </w:tc>
      </w:tr>
    </w:tbl>
    <w:p>
      <w:pPr>
        <w:spacing w:after="120" w:before="0"/>
      </w:pPr>
      <w:r>
        <w:t xml:space="preserve"/>
      </w:r>
    </w:p>
    <w:p>
      <w:pPr>
        <w:pStyle w:val="Heading2"/>
        <w:spacing w:after="60" w:before="280"/>
      </w:pPr>
      <w:r>
        <w:rPr>
          <w:rFonts w:ascii="Arial" w:cs="Arial" w:eastAsia="Arial" w:hAnsi="Arial"/>
          <w:b/>
          <w:bCs/>
          <w:color w:val="007A8C"/>
          <w:sz w:val="26"/>
          <w:szCs w:val="26"/>
        </w:rPr>
        <w:t xml:space="preserve">Part 2 Summary — All 5 Procedure Code Tiers</w:t>
      </w:r>
    </w:p>
    <w:p>
      <w:pPr>
        <w:spacing w:after="100" w:before="40"/>
      </w:pPr>
      <w:r>
        <w:rPr>
          <w:rFonts w:ascii="Arial" w:cs="Arial" w:eastAsia="Arial" w:hAnsi="Arial"/>
          <w:color w:val="1F2937"/>
          <w:sz w:val="21"/>
          <w:szCs w:val="21"/>
        </w:rPr>
        <w:t xml:space="preserve">Anchored to Humana's 5.8M MA members. Conservative 35–45% recovery rate applied post-appeal. Program investment $8–12M → estimated 12:1 Year 1 ROI.</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1200"/>
        <w:gridCol w:w="1100"/>
        <w:gridCol w:w="1300"/>
        <w:gridCol w:w="1300"/>
        <w:gridCol w:w="900"/>
        <w:gridCol w:w="960"/>
      </w:tblGrid>
      <w:tr>
        <w:trPr>
          <w:tblHeader/>
        </w:trPr>
        <w:tc>
          <w:tcPr>
            <w:tcW w:type="dxa" w:w="6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r>
              <w:rPr>
                <w:rFonts w:ascii="Arial" w:cs="Arial" w:eastAsia="Arial" w:hAnsi="Arial"/>
                <w:b/>
                <w:bCs/>
                <w:color w:val="FFFFFF"/>
                <w:sz w:val="17"/>
                <w:szCs w:val="17"/>
              </w:rPr>
              <w:t xml:space="preserve">Tier</w:t>
            </w:r>
          </w:p>
        </w:tc>
        <w:tc>
          <w:tcPr>
            <w:tcW w:type="dxa" w:w="19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r>
              <w:rPr>
                <w:rFonts w:ascii="Arial" w:cs="Arial" w:eastAsia="Arial" w:hAnsi="Arial"/>
                <w:b/>
                <w:bCs/>
                <w:color w:val="FFFFFF"/>
                <w:sz w:val="17"/>
                <w:szCs w:val="17"/>
              </w:rPr>
              <w:t xml:space="preserve">Category</w:t>
            </w:r>
          </w:p>
        </w:tc>
        <w:tc>
          <w:tcPr>
            <w:tcW w:type="dxa" w:w="12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r>
              <w:rPr>
                <w:rFonts w:ascii="Arial" w:cs="Arial" w:eastAsia="Arial" w:hAnsi="Arial"/>
                <w:b/>
                <w:bCs/>
                <w:color w:val="FFFFFF"/>
                <w:sz w:val="17"/>
                <w:szCs w:val="17"/>
              </w:rPr>
              <w:t xml:space="preserve">Key Codes</w:t>
            </w:r>
          </w:p>
        </w:tc>
        <w:tc>
          <w:tcPr>
            <w:tcW w:type="dxa" w:w="11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r>
              <w:rPr>
                <w:rFonts w:ascii="Arial" w:cs="Arial" w:eastAsia="Arial" w:hAnsi="Arial"/>
                <w:b/>
                <w:bCs/>
                <w:color w:val="FFFFFF"/>
                <w:sz w:val="17"/>
                <w:szCs w:val="17"/>
              </w:rPr>
              <w:t xml:space="preserve">CMS Rate</w:t>
            </w:r>
          </w:p>
        </w:tc>
        <w:tc>
          <w:tcPr>
            <w:tcW w:type="dxa" w:w="13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r>
              <w:rPr>
                <w:rFonts w:ascii="Arial" w:cs="Arial" w:eastAsia="Arial" w:hAnsi="Arial"/>
                <w:b/>
                <w:bCs/>
                <w:color w:val="FFFFFF"/>
                <w:sz w:val="17"/>
                <w:szCs w:val="17"/>
              </w:rPr>
              <w:t xml:space="preserve">Humana Spend</w:t>
            </w:r>
          </w:p>
        </w:tc>
        <w:tc>
          <w:tcPr>
            <w:tcW w:type="dxa" w:w="13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r>
              <w:rPr>
                <w:rFonts w:ascii="Arial" w:cs="Arial" w:eastAsia="Arial" w:hAnsi="Arial"/>
                <w:b/>
                <w:bCs/>
                <w:color w:val="FFFFFF"/>
                <w:sz w:val="17"/>
                <w:szCs w:val="17"/>
              </w:rPr>
              <w:t xml:space="preserve">Improper Pool</w:t>
            </w:r>
          </w:p>
        </w:tc>
        <w:tc>
          <w:tcPr>
            <w:tcW w:type="dxa" w:w="9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r>
              <w:rPr>
                <w:rFonts w:ascii="Arial" w:cs="Arial" w:eastAsia="Arial" w:hAnsi="Arial"/>
                <w:b/>
                <w:bCs/>
                <w:color w:val="FFFFFF"/>
                <w:sz w:val="17"/>
                <w:szCs w:val="17"/>
              </w:rPr>
              <w:t xml:space="preserve">Year 1 Target</w:t>
            </w:r>
          </w:p>
        </w:tc>
        <w:tc>
          <w:tcPr>
            <w:tcW w:type="dxa" w:w="96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r>
              <w:rPr>
                <w:rFonts w:ascii="Arial" w:cs="Arial" w:eastAsia="Arial" w:hAnsi="Arial"/>
                <w:b/>
                <w:bCs/>
                <w:color w:val="FFFFFF"/>
                <w:sz w:val="17"/>
                <w:szCs w:val="17"/>
              </w:rPr>
              <w:t xml:space="preserve">Source</w:t>
            </w:r>
          </w:p>
        </w:tc>
      </w:tr>
      <w:tr>
        <w:tc>
          <w:tcPr>
            <w:tcW w:type="dxa" w:w="6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1A</w:t>
            </w:r>
          </w:p>
        </w:tc>
        <w:tc>
          <w:tcPr>
            <w:tcW w:type="dxa" w:w="19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TKA / THA</w:t>
            </w:r>
          </w:p>
        </w:tc>
        <w:tc>
          <w:tcPr>
            <w:tcW w:type="dxa" w:w="12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0SRC, 0SR9 series</w:t>
            </w:r>
          </w:p>
        </w:tc>
        <w:tc>
          <w:tcPr>
            <w:tcW w:type="dxa" w:w="11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43.6%</w:t>
            </w:r>
          </w:p>
        </w:tc>
        <w:tc>
          <w:tcPr>
            <w:tcW w:type="dxa" w:w="13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$1.60B</w:t>
            </w:r>
          </w:p>
        </w:tc>
        <w:tc>
          <w:tcPr>
            <w:tcW w:type="dxa" w:w="13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$698M</w:t>
            </w:r>
          </w:p>
        </w:tc>
        <w:tc>
          <w:tcPr>
            <w:tcW w:type="dxa" w:w="9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$84M</w:t>
            </w:r>
          </w:p>
        </w:tc>
        <w:tc>
          <w:tcPr>
            <w:tcW w:type="dxa" w:w="96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[17,18,19]</w:t>
            </w:r>
          </w:p>
        </w:tc>
      </w:tr>
      <w:tr>
        <w:tc>
          <w:tcPr>
            <w:tcW w:type="dxa" w:w="6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1B</w:t>
            </w:r>
          </w:p>
        </w:tc>
        <w:tc>
          <w:tcPr>
            <w:tcW w:type="dxa" w:w="19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Spinal Fusion</w:t>
            </w:r>
          </w:p>
        </w:tc>
        <w:tc>
          <w:tcPr>
            <w:tcW w:type="dxa" w:w="12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0SG, 0RG series</w:t>
            </w:r>
          </w:p>
        </w:tc>
        <w:tc>
          <w:tcPr>
            <w:tcW w:type="dxa" w:w="11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~14%</w:t>
            </w:r>
          </w:p>
        </w:tc>
        <w:tc>
          <w:tcPr>
            <w:tcW w:type="dxa" w:w="13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$891M</w:t>
            </w:r>
          </w:p>
        </w:tc>
        <w:tc>
          <w:tcPr>
            <w:tcW w:type="dxa" w:w="13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$125M</w:t>
            </w:r>
          </w:p>
        </w:tc>
        <w:tc>
          <w:tcPr>
            <w:tcW w:type="dxa" w:w="9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$13M</w:t>
            </w:r>
          </w:p>
        </w:tc>
        <w:tc>
          <w:tcPr>
            <w:tcW w:type="dxa" w:w="96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[20,21,22]</w:t>
            </w:r>
          </w:p>
        </w:tc>
      </w:tr>
      <w:tr>
        <w:tc>
          <w:tcPr>
            <w:tcW w:type="dxa" w:w="6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2</w:t>
            </w:r>
          </w:p>
        </w:tc>
        <w:tc>
          <w:tcPr>
            <w:tcW w:type="dxa" w:w="19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Cardiac (CABG/TAVR/PCI)</w:t>
            </w:r>
          </w:p>
        </w:tc>
        <w:tc>
          <w:tcPr>
            <w:tcW w:type="dxa" w:w="12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021, 02R, 027 series</w:t>
            </w:r>
          </w:p>
        </w:tc>
        <w:tc>
          <w:tcPr>
            <w:tcW w:type="dxa" w:w="11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8–12%</w:t>
            </w:r>
          </w:p>
        </w:tc>
        <w:tc>
          <w:tcPr>
            <w:tcW w:type="dxa" w:w="13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$1.57B</w:t>
            </w:r>
          </w:p>
        </w:tc>
        <w:tc>
          <w:tcPr>
            <w:tcW w:type="dxa" w:w="13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$152M</w:t>
            </w:r>
          </w:p>
        </w:tc>
        <w:tc>
          <w:tcPr>
            <w:tcW w:type="dxa" w:w="9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$14M</w:t>
            </w:r>
          </w:p>
        </w:tc>
        <w:tc>
          <w:tcPr>
            <w:tcW w:type="dxa" w:w="96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[22,23,24]</w:t>
            </w:r>
          </w:p>
        </w:tc>
      </w:tr>
      <w:tr>
        <w:tc>
          <w:tcPr>
            <w:tcW w:type="dxa" w:w="6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3</w:t>
            </w:r>
          </w:p>
        </w:tc>
        <w:tc>
          <w:tcPr>
            <w:tcW w:type="dxa" w:w="19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Bariatric &amp; Robotic</w:t>
            </w:r>
          </w:p>
        </w:tc>
        <w:tc>
          <w:tcPr>
            <w:tcW w:type="dxa" w:w="12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0DB, XW series</w:t>
            </w:r>
          </w:p>
        </w:tc>
        <w:tc>
          <w:tcPr>
            <w:tcW w:type="dxa" w:w="11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9–12%</w:t>
            </w:r>
          </w:p>
        </w:tc>
        <w:tc>
          <w:tcPr>
            <w:tcW w:type="dxa" w:w="13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$683M</w:t>
            </w:r>
          </w:p>
        </w:tc>
        <w:tc>
          <w:tcPr>
            <w:tcW w:type="dxa" w:w="13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$65M</w:t>
            </w:r>
          </w:p>
        </w:tc>
        <w:tc>
          <w:tcPr>
            <w:tcW w:type="dxa" w:w="9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$6M</w:t>
            </w:r>
          </w:p>
        </w:tc>
        <w:tc>
          <w:tcPr>
            <w:tcW w:type="dxa" w:w="96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[25,26]</w:t>
            </w:r>
          </w:p>
        </w:tc>
      </w:tr>
      <w:tr>
        <w:tc>
          <w:tcPr>
            <w:tcW w:type="dxa" w:w="6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4</w:t>
            </w:r>
          </w:p>
        </w:tc>
        <w:tc>
          <w:tcPr>
            <w:tcW w:type="dxa" w:w="19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Neurostimulator</w:t>
            </w:r>
          </w:p>
        </w:tc>
        <w:tc>
          <w:tcPr>
            <w:tcW w:type="dxa" w:w="12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00H, 0JH series</w:t>
            </w:r>
          </w:p>
        </w:tc>
        <w:tc>
          <w:tcPr>
            <w:tcW w:type="dxa" w:w="11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40%+</w:t>
            </w:r>
          </w:p>
        </w:tc>
        <w:tc>
          <w:tcPr>
            <w:tcW w:type="dxa" w:w="13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$242M</w:t>
            </w:r>
          </w:p>
        </w:tc>
        <w:tc>
          <w:tcPr>
            <w:tcW w:type="dxa" w:w="13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$60M</w:t>
            </w:r>
          </w:p>
        </w:tc>
        <w:tc>
          <w:tcPr>
            <w:tcW w:type="dxa" w:w="90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$7M</w:t>
            </w:r>
          </w:p>
        </w:tc>
        <w:tc>
          <w:tcPr>
            <w:tcW w:type="dxa" w:w="960"/>
            <w:tcBorders>
              <w:top w:val="single" w:color="D1D5DB" w:sz="4"/>
              <w:left w:val="none" w:color="FFFFFF" w:sz="0"/>
              <w:bottom w:val="single" w:color="D1D5DB" w:sz="4"/>
              <w:right w:val="none" w:color="FFFFFF" w:sz="0"/>
            </w:tcBorders>
            <w:shd w:fill="FFFFFF"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[27,28,29]</w:t>
            </w:r>
          </w:p>
        </w:tc>
      </w:tr>
      <w:tr>
        <w:tc>
          <w:tcPr>
            <w:tcW w:type="dxa" w:w="6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5</w:t>
            </w:r>
          </w:p>
        </w:tc>
        <w:tc>
          <w:tcPr>
            <w:tcW w:type="dxa" w:w="19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ED Code Mismatches</w:t>
            </w:r>
          </w:p>
        </w:tc>
        <w:tc>
          <w:tcPr>
            <w:tcW w:type="dxa" w:w="12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99281–99285</w:t>
            </w:r>
          </w:p>
        </w:tc>
        <w:tc>
          <w:tcPr>
            <w:tcW w:type="dxa" w:w="11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left"/>
            </w:pPr>
            <w:r>
              <w:rPr>
                <w:rFonts w:ascii="Arial" w:cs="Arial" w:eastAsia="Arial" w:hAnsi="Arial"/>
                <w:b w:val="false"/>
                <w:bCs w:val="false"/>
                <w:color w:val="1F2937"/>
                <w:sz w:val="17"/>
                <w:szCs w:val="17"/>
              </w:rPr>
              <w:t xml:space="preserve">Documented</w:t>
            </w:r>
          </w:p>
        </w:tc>
        <w:tc>
          <w:tcPr>
            <w:tcW w:type="dxa" w:w="13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$8.4M</w:t>
            </w:r>
          </w:p>
        </w:tc>
        <w:tc>
          <w:tcPr>
            <w:tcW w:type="dxa" w:w="13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$8.4M</w:t>
            </w:r>
          </w:p>
        </w:tc>
        <w:tc>
          <w:tcPr>
            <w:tcW w:type="dxa" w:w="90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$5M</w:t>
            </w:r>
          </w:p>
        </w:tc>
        <w:tc>
          <w:tcPr>
            <w:tcW w:type="dxa" w:w="960"/>
            <w:tcBorders>
              <w:top w:val="single" w:color="D1D5DB" w:sz="4"/>
              <w:left w:val="none" w:color="FFFFFF" w:sz="0"/>
              <w:bottom w:val="single" w:color="D1D5DB" w:sz="4"/>
              <w:right w:val="none" w:color="FFFFFF" w:sz="0"/>
            </w:tcBorders>
            <w:shd w:fill="F1F5F9" w:val="clear"/>
            <w:tcMar>
              <w:top w:type="dxa" w:w="70"/>
              <w:left w:type="dxa" w:w="100"/>
              <w:bottom w:type="dxa" w:w="70"/>
              <w:right w:type="dxa" w:w="60"/>
            </w:tcMar>
          </w:tcPr>
          <w:p>
            <w:pPr>
              <w:jc w:val="right"/>
            </w:pPr>
            <w:r>
              <w:rPr>
                <w:rFonts w:ascii="Arial" w:cs="Arial" w:eastAsia="Arial" w:hAnsi="Arial"/>
                <w:b w:val="false"/>
                <w:bCs w:val="false"/>
                <w:color w:val="1F2937"/>
                <w:sz w:val="17"/>
                <w:szCs w:val="17"/>
              </w:rPr>
              <w:t xml:space="preserve">[30]</w:t>
            </w:r>
          </w:p>
        </w:tc>
      </w:tr>
      <w:tr>
        <w:tc>
          <w:tcPr>
            <w:tcW w:type="dxa" w:w="600"/>
            <w:tcBorders>
              <w:top w:val="single" w:color="007A8C" w:sz="4"/>
              <w:left w:val="none" w:color="FFFFFF" w:sz="0"/>
              <w:bottom w:val="single" w:color="007A8C" w:sz="4"/>
              <w:right w:val="none" w:color="FFFFFF" w:sz="0"/>
            </w:tcBorders>
            <w:shd w:fill="E0F2FE" w:val="clear"/>
            <w:tcMar>
              <w:top w:type="dxa" w:w="70"/>
              <w:left w:type="dxa" w:w="100"/>
              <w:bottom w:type="dxa" w:w="70"/>
              <w:right w:type="dxa" w:w="60"/>
            </w:tcMar>
          </w:tcPr>
          <w:p>
            <w:pPr>
              <w:jc w:val="left"/>
            </w:pPr>
            <w:r>
              <w:rPr>
                <w:rFonts w:ascii="Arial" w:cs="Arial" w:eastAsia="Arial" w:hAnsi="Arial"/>
                <w:b/>
                <w:bCs/>
                <w:color w:val="0D1B4B"/>
                <w:sz w:val="17"/>
                <w:szCs w:val="17"/>
              </w:rPr>
              <w:t xml:space="preserve">TOTAL</w:t>
            </w:r>
          </w:p>
        </w:tc>
        <w:tc>
          <w:tcPr>
            <w:tcW w:type="dxa" w:w="1900"/>
            <w:tcBorders>
              <w:top w:val="single" w:color="007A8C" w:sz="4"/>
              <w:left w:val="none" w:color="FFFFFF" w:sz="0"/>
              <w:bottom w:val="single" w:color="007A8C" w:sz="4"/>
              <w:right w:val="none" w:color="FFFFFF" w:sz="0"/>
            </w:tcBorders>
            <w:shd w:fill="E0F2FE" w:val="clear"/>
            <w:tcMar>
              <w:top w:type="dxa" w:w="70"/>
              <w:left w:type="dxa" w:w="100"/>
              <w:bottom w:type="dxa" w:w="70"/>
              <w:right w:type="dxa" w:w="60"/>
            </w:tcMar>
          </w:tcPr>
          <w:p>
            <w:pPr>
              <w:jc w:val="left"/>
            </w:pPr>
            <w:r>
              <w:rPr>
                <w:rFonts w:ascii="Arial" w:cs="Arial" w:eastAsia="Arial" w:hAnsi="Arial"/>
                <w:b/>
                <w:bCs/>
                <w:color w:val="0D1B4B"/>
                <w:sz w:val="17"/>
                <w:szCs w:val="17"/>
              </w:rPr>
              <w:t xml:space="preserve">All 5 Tiers</w:t>
            </w:r>
          </w:p>
        </w:tc>
        <w:tc>
          <w:tcPr>
            <w:tcW w:type="dxa" w:w="1200"/>
            <w:tcBorders>
              <w:top w:val="single" w:color="007A8C" w:sz="4"/>
              <w:left w:val="none" w:color="FFFFFF" w:sz="0"/>
              <w:bottom w:val="single" w:color="007A8C" w:sz="4"/>
              <w:right w:val="none" w:color="FFFFFF" w:sz="0"/>
            </w:tcBorders>
            <w:shd w:fill="E0F2FE" w:val="clear"/>
            <w:tcMar>
              <w:top w:type="dxa" w:w="70"/>
              <w:left w:type="dxa" w:w="100"/>
              <w:bottom w:type="dxa" w:w="70"/>
              <w:right w:type="dxa" w:w="60"/>
            </w:tcMar>
          </w:tcPr>
          <w:p>
            <w:pPr>
              <w:jc w:val="left"/>
            </w:pPr>
            <w:r>
              <w:rPr>
                <w:rFonts w:ascii="Arial" w:cs="Arial" w:eastAsia="Arial" w:hAnsi="Arial"/>
                <w:b/>
                <w:bCs/>
                <w:color w:val="0D1B4B"/>
                <w:sz w:val="17"/>
                <w:szCs w:val="17"/>
              </w:rPr>
              <w:t xml:space="preserve">—</w:t>
            </w:r>
          </w:p>
        </w:tc>
        <w:tc>
          <w:tcPr>
            <w:tcW w:type="dxa" w:w="1100"/>
            <w:tcBorders>
              <w:top w:val="single" w:color="007A8C" w:sz="4"/>
              <w:left w:val="none" w:color="FFFFFF" w:sz="0"/>
              <w:bottom w:val="single" w:color="007A8C" w:sz="4"/>
              <w:right w:val="none" w:color="FFFFFF" w:sz="0"/>
            </w:tcBorders>
            <w:shd w:fill="E0F2FE" w:val="clear"/>
            <w:tcMar>
              <w:top w:type="dxa" w:w="70"/>
              <w:left w:type="dxa" w:w="100"/>
              <w:bottom w:type="dxa" w:w="70"/>
              <w:right w:type="dxa" w:w="60"/>
            </w:tcMar>
          </w:tcPr>
          <w:p>
            <w:pPr>
              <w:jc w:val="left"/>
            </w:pPr>
            <w:r>
              <w:rPr>
                <w:rFonts w:ascii="Arial" w:cs="Arial" w:eastAsia="Arial" w:hAnsi="Arial"/>
                <w:b/>
                <w:bCs/>
                <w:color w:val="0D1B4B"/>
                <w:sz w:val="17"/>
                <w:szCs w:val="17"/>
              </w:rPr>
              <w:t xml:space="preserve">—</w:t>
            </w:r>
          </w:p>
        </w:tc>
        <w:tc>
          <w:tcPr>
            <w:tcW w:type="dxa" w:w="1300"/>
            <w:tcBorders>
              <w:top w:val="single" w:color="007A8C" w:sz="4"/>
              <w:left w:val="none" w:color="FFFFFF" w:sz="0"/>
              <w:bottom w:val="single" w:color="007A8C" w:sz="4"/>
              <w:right w:val="none" w:color="FFFFFF" w:sz="0"/>
            </w:tcBorders>
            <w:shd w:fill="E0F2FE" w:val="clear"/>
            <w:tcMar>
              <w:top w:type="dxa" w:w="70"/>
              <w:left w:type="dxa" w:w="100"/>
              <w:bottom w:type="dxa" w:w="70"/>
              <w:right w:type="dxa" w:w="60"/>
            </w:tcMar>
          </w:tcPr>
          <w:p>
            <w:pPr>
              <w:jc w:val="right"/>
            </w:pPr>
            <w:r>
              <w:rPr>
                <w:rFonts w:ascii="Arial" w:cs="Arial" w:eastAsia="Arial" w:hAnsi="Arial"/>
                <w:b/>
                <w:bCs/>
                <w:color w:val="0D1B4B"/>
                <w:sz w:val="17"/>
                <w:szCs w:val="17"/>
              </w:rPr>
              <w:t xml:space="preserve">$4.99B</w:t>
            </w:r>
          </w:p>
        </w:tc>
        <w:tc>
          <w:tcPr>
            <w:tcW w:type="dxa" w:w="1300"/>
            <w:tcBorders>
              <w:top w:val="single" w:color="007A8C" w:sz="4"/>
              <w:left w:val="none" w:color="FFFFFF" w:sz="0"/>
              <w:bottom w:val="single" w:color="007A8C" w:sz="4"/>
              <w:right w:val="none" w:color="FFFFFF" w:sz="0"/>
            </w:tcBorders>
            <w:shd w:fill="E0F2FE" w:val="clear"/>
            <w:tcMar>
              <w:top w:type="dxa" w:w="70"/>
              <w:left w:type="dxa" w:w="100"/>
              <w:bottom w:type="dxa" w:w="70"/>
              <w:right w:type="dxa" w:w="60"/>
            </w:tcMar>
          </w:tcPr>
          <w:p>
            <w:pPr>
              <w:jc w:val="right"/>
            </w:pPr>
            <w:r>
              <w:rPr>
                <w:rFonts w:ascii="Arial" w:cs="Arial" w:eastAsia="Arial" w:hAnsi="Arial"/>
                <w:b/>
                <w:bCs/>
                <w:color w:val="0D1B4B"/>
                <w:sz w:val="17"/>
                <w:szCs w:val="17"/>
              </w:rPr>
              <w:t xml:space="preserve">$1.11B</w:t>
            </w:r>
          </w:p>
        </w:tc>
        <w:tc>
          <w:tcPr>
            <w:tcW w:type="dxa" w:w="900"/>
            <w:tcBorders>
              <w:top w:val="single" w:color="007A8C" w:sz="4"/>
              <w:left w:val="none" w:color="FFFFFF" w:sz="0"/>
              <w:bottom w:val="single" w:color="007A8C" w:sz="4"/>
              <w:right w:val="none" w:color="FFFFFF" w:sz="0"/>
            </w:tcBorders>
            <w:shd w:fill="E0F2FE" w:val="clear"/>
            <w:tcMar>
              <w:top w:type="dxa" w:w="70"/>
              <w:left w:type="dxa" w:w="100"/>
              <w:bottom w:type="dxa" w:w="70"/>
              <w:right w:type="dxa" w:w="60"/>
            </w:tcMar>
          </w:tcPr>
          <w:p>
            <w:pPr>
              <w:jc w:val="right"/>
            </w:pPr>
            <w:r>
              <w:rPr>
                <w:rFonts w:ascii="Arial" w:cs="Arial" w:eastAsia="Arial" w:hAnsi="Arial"/>
                <w:b/>
                <w:bCs/>
                <w:color w:val="0D1B4B"/>
                <w:sz w:val="17"/>
                <w:szCs w:val="17"/>
              </w:rPr>
              <w:t xml:space="preserve">$129M</w:t>
            </w:r>
          </w:p>
        </w:tc>
        <w:tc>
          <w:tcPr>
            <w:tcW w:type="dxa" w:w="960"/>
            <w:tcBorders>
              <w:top w:val="single" w:color="007A8C" w:sz="4"/>
              <w:left w:val="none" w:color="FFFFFF" w:sz="0"/>
              <w:bottom w:val="single" w:color="007A8C" w:sz="4"/>
              <w:right w:val="none" w:color="FFFFFF" w:sz="0"/>
            </w:tcBorders>
            <w:shd w:fill="E0F2FE" w:val="clear"/>
            <w:tcMar>
              <w:top w:type="dxa" w:w="70"/>
              <w:left w:type="dxa" w:w="100"/>
              <w:bottom w:type="dxa" w:w="70"/>
              <w:right w:type="dxa" w:w="60"/>
            </w:tcMar>
          </w:tcPr>
          <w:p>
            <w:pPr>
              <w:jc w:val="right"/>
            </w:pPr>
            <w:r>
              <w:rPr>
                <w:rFonts w:ascii="Arial" w:cs="Arial" w:eastAsia="Arial" w:hAnsi="Arial"/>
                <w:b/>
                <w:bCs/>
                <w:color w:val="0D1B4B"/>
                <w:sz w:val="17"/>
                <w:szCs w:val="17"/>
              </w:rPr>
              <w:t xml:space="preserv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4532D" w:val="clear"/>
          </w:tcPr>
          <w:p/>
        </w:tc>
        <w:tc>
          <w:tcPr>
            <w:tcW w:type="dxa" w:w="9160"/>
            <w:tcBorders>
              <w:top w:val="single" w:color="14532D" w:sz="4"/>
              <w:left w:val="none" w:color="FFFFFF" w:sz="0"/>
              <w:bottom w:val="single" w:color="14532D" w:sz="4"/>
              <w:right w:val="single" w:color="14532D" w:sz="4"/>
            </w:tcBorders>
            <w:shd w:fill="F0FDF4" w:val="clear"/>
            <w:tcMar>
              <w:top w:type="dxa" w:w="100"/>
              <w:left w:type="dxa" w:w="160"/>
              <w:bottom w:type="dxa" w:w="100"/>
              <w:right w:type="dxa" w:w="120"/>
            </w:tcMar>
          </w:tcPr>
          <w:p>
            <w:pPr>
              <w:spacing w:after="60"/>
            </w:pPr>
            <w:r>
              <w:rPr>
                <w:rFonts w:ascii="Arial" w:cs="Arial" w:eastAsia="Arial" w:hAnsi="Arial"/>
                <w:b/>
                <w:bCs/>
                <w:color w:val="14532D"/>
                <w:sz w:val="19"/>
                <w:szCs w:val="19"/>
              </w:rPr>
              <w:t xml:space="preserve">COMBINED PROGRAM FINANCIAL CASE</w:t>
            </w:r>
          </w:p>
          <w:p>
            <w:pPr>
              <w:spacing w:after="0"/>
            </w:pPr>
            <w:r>
              <w:rPr>
                <w:rFonts w:ascii="Arial" w:cs="Arial" w:eastAsia="Arial" w:hAnsi="Arial"/>
                <w:b/>
                <w:bCs/>
                <w:color w:val="14532D"/>
                <w:sz w:val="21"/>
                <w:szCs w:val="21"/>
              </w:rPr>
              <w:t xml:space="preserve">Total annual spend under CVA scope (Dx + Px): </w:t>
            </w:r>
            <w:r>
              <w:rPr>
                <w:rFonts w:ascii="Arial" w:cs="Arial" w:eastAsia="Arial" w:hAnsi="Arial"/>
                <w:color w:val="1F2937"/>
                <w:sz w:val="21"/>
                <w:szCs w:val="21"/>
              </w:rPr>
              <w:t xml:space="preserve">$10.6B+
</w:t>
            </w:r>
            <w:r>
              <w:rPr>
                <w:rFonts w:ascii="Arial" w:cs="Arial" w:eastAsia="Arial" w:hAnsi="Arial"/>
                <w:b/>
                <w:bCs/>
                <w:color w:val="14532D"/>
                <w:sz w:val="21"/>
                <w:szCs w:val="21"/>
              </w:rPr>
              <w:t xml:space="preserve">Total improper payment pool: </w:t>
            </w:r>
            <w:r>
              <w:rPr>
                <w:rFonts w:ascii="Arial" w:cs="Arial" w:eastAsia="Arial" w:hAnsi="Arial"/>
                <w:color w:val="1F2937"/>
                <w:sz w:val="21"/>
                <w:szCs w:val="21"/>
              </w:rPr>
              <w:t xml:space="preserve">$4.5B+
</w:t>
            </w:r>
            <w:r>
              <w:rPr>
                <w:rFonts w:ascii="Arial" w:cs="Arial" w:eastAsia="Arial" w:hAnsi="Arial"/>
                <w:b/>
                <w:bCs/>
                <w:color w:val="14532D"/>
                <w:sz w:val="21"/>
                <w:szCs w:val="21"/>
              </w:rPr>
              <w:t xml:space="preserve">Mature program recovery potential (Year 2+): </w:t>
            </w:r>
            <w:r>
              <w:rPr>
                <w:rFonts w:ascii="Arial" w:cs="Arial" w:eastAsia="Arial" w:hAnsi="Arial"/>
                <w:color w:val="1F2937"/>
                <w:sz w:val="21"/>
                <w:szCs w:val="21"/>
              </w:rPr>
              <w:t xml:space="preserve">$415M annually
</w:t>
            </w:r>
            <w:r>
              <w:rPr>
                <w:rFonts w:ascii="Arial" w:cs="Arial" w:eastAsia="Arial" w:hAnsi="Arial"/>
                <w:b/>
                <w:bCs/>
                <w:color w:val="14532D"/>
                <w:sz w:val="21"/>
                <w:szCs w:val="21"/>
              </w:rPr>
              <w:t xml:space="preserve">Year 1 recovery target: </w:t>
            </w:r>
            <w:r>
              <w:rPr>
                <w:rFonts w:ascii="Arial" w:cs="Arial" w:eastAsia="Arial" w:hAnsi="Arial"/>
                <w:color w:val="1F2937"/>
                <w:sz w:val="21"/>
                <w:szCs w:val="21"/>
              </w:rPr>
              <w:t xml:space="preserve">$129M (procedure) + $280M (diagnosis) = $409M
</w:t>
            </w:r>
            <w:r>
              <w:rPr>
                <w:rFonts w:ascii="Arial" w:cs="Arial" w:eastAsia="Arial" w:hAnsi="Arial"/>
                <w:b/>
                <w:bCs/>
                <w:color w:val="14532D"/>
                <w:sz w:val="21"/>
                <w:szCs w:val="21"/>
              </w:rPr>
              <w:t xml:space="preserve">Program investment: </w:t>
            </w:r>
            <w:r>
              <w:rPr>
                <w:rFonts w:ascii="Arial" w:cs="Arial" w:eastAsia="Arial" w:hAnsi="Arial"/>
                <w:color w:val="1F2937"/>
                <w:sz w:val="21"/>
                <w:szCs w:val="21"/>
              </w:rPr>
              <w:t xml:space="preserve">$8–12M
</w:t>
            </w:r>
            <w:r>
              <w:rPr>
                <w:rFonts w:ascii="Arial" w:cs="Arial" w:eastAsia="Arial" w:hAnsi="Arial"/>
                <w:b/>
                <w:bCs/>
                <w:color w:val="14532D"/>
                <w:sz w:val="21"/>
                <w:szCs w:val="21"/>
              </w:rPr>
              <w:t xml:space="preserve">Net ROI: </w:t>
            </w:r>
            <w:r>
              <w:rPr>
                <w:rFonts w:ascii="Arial" w:cs="Arial" w:eastAsia="Arial" w:hAnsi="Arial"/>
                <w:color w:val="1F2937"/>
                <w:sz w:val="21"/>
                <w:szCs w:val="21"/>
              </w:rPr>
              <w:t xml:space="preserve">~12:1 to 16:1
</w:t>
            </w:r>
            <w:r>
              <w:rPr>
                <w:rFonts w:ascii="Arial" w:cs="Arial" w:eastAsia="Arial" w:hAnsi="Arial"/>
                <w:b/>
                <w:bCs/>
                <w:color w:val="14532D"/>
                <w:sz w:val="21"/>
                <w:szCs w:val="21"/>
              </w:rPr>
              <w:t xml:space="preserve">MLR impact: </w:t>
            </w:r>
            <w:r>
              <w:rPr>
                <w:rFonts w:ascii="Arial" w:cs="Arial" w:eastAsia="Arial" w:hAnsi="Arial"/>
                <w:color w:val="1F2937"/>
                <w:sz w:val="21"/>
                <w:szCs w:val="21"/>
              </w:rPr>
              <w:t xml:space="preserve">Approximately -0.5 to -0.8% on Humana's Medicare Advantage medical loss ratio</w:t>
            </w:r>
          </w:p>
        </w:tc>
      </w:tr>
    </w:tbl>
    <w:p>
      <w:pPr>
        <w:spacing w:after="240" w:before="0"/>
      </w:pPr>
      <w:r>
        <w:t xml:space="preserve"/>
      </w:r>
    </w:p>
    <w:p>
      <w:pPr>
        <w:pStyle w:val="Heading1"/>
        <w:pBdr>
          <w:bottom w:val="single" w:color="007A8C" w:sz="10"/>
        </w:pBdr>
        <w:spacing w:after="80" w:before="400"/>
      </w:pPr>
      <w:r>
        <w:rPr>
          <w:rFonts w:ascii="Arial" w:cs="Arial" w:eastAsia="Arial" w:hAnsi="Arial"/>
          <w:b/>
          <w:bCs/>
          <w:color w:val="0D1B4B"/>
          <w:sz w:val="36"/>
          <w:szCs w:val="36"/>
        </w:rPr>
        <w:t xml:space="preserve">References &amp; Citations</w:t>
      </w:r>
    </w:p>
    <w:p>
      <w:pPr>
        <w:spacing w:after="100" w:before="40"/>
      </w:pPr>
      <w:r>
        <w:rPr>
          <w:rFonts w:ascii="Arial" w:cs="Arial" w:eastAsia="Arial" w:hAnsi="Arial"/>
          <w:color w:val="4B5563"/>
          <w:sz w:val="19"/>
          <w:szCs w:val="19"/>
        </w:rPr>
        <w:t xml:space="preserve">All sources are publicly available U.S. government documents, peer-reviewed studies, or official Humana SEC filings. Every code, rate, and dollar figure in this document is anchored to a numbered source below.</w:t>
      </w:r>
    </w:p>
    <w:p>
      <w:pPr>
        <w:spacing w:after="120" w:before="0"/>
      </w:pPr>
      <w:r>
        <w:t xml:space="preserve"/>
      </w:r>
    </w:p>
    <w:p>
      <w:pPr>
        <w:spacing w:after="20" w:before="100"/>
      </w:pPr>
      <w:r>
        <w:rPr>
          <w:rFonts w:ascii="Arial" w:cs="Arial" w:eastAsia="Arial" w:hAnsi="Arial"/>
          <w:b/>
          <w:bCs/>
          <w:color w:val="007A8C"/>
          <w:sz w:val="19"/>
          <w:szCs w:val="19"/>
        </w:rPr>
        <w:t xml:space="preserve">[1]  </w:t>
      </w:r>
      <w:r>
        <w:rPr>
          <w:rFonts w:ascii="Arial" w:cs="Arial" w:eastAsia="Arial" w:hAnsi="Arial"/>
          <w:b/>
          <w:bCs/>
          <w:color w:val="0D1B4B"/>
          <w:sz w:val="19"/>
          <w:szCs w:val="19"/>
        </w:rPr>
        <w:t xml:space="preserve">OIG Toolkit — High-Risk Diagnosis Codes for Medicare Advantage</w:t>
      </w:r>
      <w:r>
        <w:rPr>
          <w:rFonts w:ascii="Arial" w:cs="Arial" w:eastAsia="Arial" w:hAnsi="Arial"/>
          <w:color w:val="4B5563"/>
          <w:sz w:val="18"/>
          <w:szCs w:val="18"/>
        </w:rPr>
        <w:t xml:space="preserve">  —  OIG / RISE Health, December 2023</w:t>
      </w:r>
    </w:p>
    <w:p>
      <w:pPr>
        <w:spacing w:after="20" w:before="0"/>
        <w:ind w:left="560"/>
      </w:pPr>
      <w:r>
        <w:rPr>
          <w:rFonts w:ascii="Arial" w:cs="Arial" w:eastAsia="Arial" w:hAnsi="Arial"/>
          <w:color w:val="1F2937"/>
          <w:sz w:val="18"/>
          <w:szCs w:val="18"/>
        </w:rPr>
        <w:t xml:space="preserve">OIG identified 8 high-risk diagnosis code groups. Acute stroke and acute MI: &gt;90% error rate. Includes SQL query code replicating OIG audit logic — available to MAOs for internal use.</w:t>
      </w:r>
    </w:p>
    <w:p>
      <w:pPr>
        <w:spacing w:after="100" w:before="0"/>
        <w:ind w:left="560"/>
      </w:pPr>
      <w:r>
        <w:rPr>
          <w:rFonts w:ascii="Arial" w:cs="Arial" w:eastAsia="Arial" w:hAnsi="Arial"/>
          <w:color w:val="007A8C"/>
          <w:sz w:val="17"/>
          <w:szCs w:val="17"/>
        </w:rPr>
        <w:t xml:space="preserve">https://oig.hhs.gov/oas/reports/region7/72301213.pdf</w:t>
      </w:r>
    </w:p>
    <w:p>
      <w:pPr>
        <w:spacing w:after="20" w:before="100"/>
      </w:pPr>
      <w:r>
        <w:rPr>
          <w:rFonts w:ascii="Arial" w:cs="Arial" w:eastAsia="Arial" w:hAnsi="Arial"/>
          <w:b/>
          <w:bCs/>
          <w:color w:val="007A8C"/>
          <w:sz w:val="19"/>
          <w:szCs w:val="19"/>
        </w:rPr>
        <w:t xml:space="preserve">[2]  </w:t>
      </w:r>
      <w:r>
        <w:rPr>
          <w:rFonts w:ascii="Arial" w:cs="Arial" w:eastAsia="Arial" w:hAnsi="Arial"/>
          <w:b/>
          <w:bCs/>
          <w:color w:val="0D1B4B"/>
          <w:sz w:val="19"/>
          <w:szCs w:val="19"/>
        </w:rPr>
        <w:t xml:space="preserve">ICD-10-CM Official Guidelines for Coding and Reporting, FY 2026</w:t>
      </w:r>
      <w:r>
        <w:rPr>
          <w:rFonts w:ascii="Arial" w:cs="Arial" w:eastAsia="Arial" w:hAnsi="Arial"/>
          <w:color w:val="4B5563"/>
          <w:sz w:val="18"/>
          <w:szCs w:val="18"/>
        </w:rPr>
        <w:t xml:space="preserve">  —  CMS / CDC, October 2025</w:t>
      </w:r>
    </w:p>
    <w:p>
      <w:pPr>
        <w:spacing w:after="20" w:before="0"/>
        <w:ind w:left="560"/>
      </w:pPr>
      <w:r>
        <w:rPr>
          <w:rFonts w:ascii="Arial" w:cs="Arial" w:eastAsia="Arial" w:hAnsi="Arial"/>
          <w:color w:val="1F2937"/>
          <w:sz w:val="18"/>
          <w:szCs w:val="18"/>
        </w:rPr>
        <w:t xml:space="preserve">Governing coding rules for all ICD-10-CM diagnosis codes effective October 1, 2025. Defines acute vs. sequelae vs. history distinctions for stroke, MI, cancer, and diabetes.</w:t>
      </w:r>
    </w:p>
    <w:p>
      <w:pPr>
        <w:spacing w:after="100" w:before="0"/>
        <w:ind w:left="560"/>
      </w:pPr>
      <w:r>
        <w:rPr>
          <w:rFonts w:ascii="Arial" w:cs="Arial" w:eastAsia="Arial" w:hAnsi="Arial"/>
          <w:color w:val="007A8C"/>
          <w:sz w:val="17"/>
          <w:szCs w:val="17"/>
        </w:rPr>
        <w:t xml:space="preserve">https://www.cms.gov/files/document/fy-2026-icd-10-cm-coding-guidelines.pdf</w:t>
      </w:r>
    </w:p>
    <w:p>
      <w:pPr>
        <w:spacing w:after="20" w:before="100"/>
      </w:pPr>
      <w:r>
        <w:rPr>
          <w:rFonts w:ascii="Arial" w:cs="Arial" w:eastAsia="Arial" w:hAnsi="Arial"/>
          <w:b/>
          <w:bCs/>
          <w:color w:val="007A8C"/>
          <w:sz w:val="19"/>
          <w:szCs w:val="19"/>
        </w:rPr>
        <w:t xml:space="preserve">[3]  </w:t>
      </w:r>
      <w:r>
        <w:rPr>
          <w:rFonts w:ascii="Arial" w:cs="Arial" w:eastAsia="Arial" w:hAnsi="Arial"/>
          <w:b/>
          <w:bCs/>
          <w:color w:val="0D1B4B"/>
          <w:sz w:val="19"/>
          <w:szCs w:val="19"/>
        </w:rPr>
        <w:t xml:space="preserve">CVA/Stroke CDI Clinical Documentation Guide — FY2026</w:t>
      </w:r>
      <w:r>
        <w:rPr>
          <w:rFonts w:ascii="Arial" w:cs="Arial" w:eastAsia="Arial" w:hAnsi="Arial"/>
          <w:color w:val="4B5563"/>
          <w:sz w:val="18"/>
          <w:szCs w:val="18"/>
        </w:rPr>
        <w:t xml:space="preserve">  —  AAPC / CCO, April 2026</w:t>
      </w:r>
    </w:p>
    <w:p>
      <w:pPr>
        <w:spacing w:after="20" w:before="0"/>
        <w:ind w:left="560"/>
      </w:pPr>
      <w:r>
        <w:rPr>
          <w:rFonts w:ascii="Arial" w:cs="Arial" w:eastAsia="Arial" w:hAnsi="Arial"/>
          <w:color w:val="1F2937"/>
          <w:sz w:val="18"/>
          <w:szCs w:val="18"/>
        </w:rPr>
        <w:t xml:space="preserve">Comprehensive FY2026 clinical documentation guide for stroke coding. Confirms I63.x requires imaging confirmation; outpatient-only I63.x is the primary OIG audit trigger; HCC 99 mapping under V28.</w:t>
      </w:r>
    </w:p>
    <w:p>
      <w:pPr>
        <w:spacing w:after="100" w:before="0"/>
        <w:ind w:left="560"/>
      </w:pPr>
      <w:r>
        <w:rPr>
          <w:rFonts w:ascii="Arial" w:cs="Arial" w:eastAsia="Arial" w:hAnsi="Arial"/>
          <w:color w:val="007A8C"/>
          <w:sz w:val="17"/>
          <w:szCs w:val="17"/>
        </w:rPr>
        <w:t xml:space="preserve">https://www.cco.us/clinical-documentation-guides/cerebrovascular-accident-cva-stroke-and-cerebral-hemorrhage-vs-tia/</w:t>
      </w:r>
    </w:p>
    <w:p>
      <w:pPr>
        <w:spacing w:after="20" w:before="100"/>
      </w:pPr>
      <w:r>
        <w:rPr>
          <w:rFonts w:ascii="Arial" w:cs="Arial" w:eastAsia="Arial" w:hAnsi="Arial"/>
          <w:b/>
          <w:bCs/>
          <w:color w:val="007A8C"/>
          <w:sz w:val="19"/>
          <w:szCs w:val="19"/>
        </w:rPr>
        <w:t xml:space="preserve">[4]  </w:t>
      </w:r>
      <w:r>
        <w:rPr>
          <w:rFonts w:ascii="Arial" w:cs="Arial" w:eastAsia="Arial" w:hAnsi="Arial"/>
          <w:b/>
          <w:bCs/>
          <w:color w:val="0D1B4B"/>
          <w:sz w:val="19"/>
          <w:szCs w:val="19"/>
        </w:rPr>
        <w:t xml:space="preserve">OIG Compliance Audit — Humana Health Plan Inc., Contract H2649</w:t>
      </w:r>
      <w:r>
        <w:rPr>
          <w:rFonts w:ascii="Arial" w:cs="Arial" w:eastAsia="Arial" w:hAnsi="Arial"/>
          <w:color w:val="4B5563"/>
          <w:sz w:val="18"/>
          <w:szCs w:val="18"/>
        </w:rPr>
        <w:t xml:space="preserve">  —  OIG, 2024</w:t>
      </w:r>
    </w:p>
    <w:p>
      <w:pPr>
        <w:spacing w:after="20" w:before="0"/>
        <w:ind w:left="560"/>
      </w:pPr>
      <w:r>
        <w:rPr>
          <w:rFonts w:ascii="Arial" w:cs="Arial" w:eastAsia="Arial" w:hAnsi="Arial"/>
          <w:color w:val="1F2937"/>
          <w:sz w:val="18"/>
          <w:szCs w:val="18"/>
        </w:rPr>
        <w:t xml:space="preserve">84.2% error rate in sampled diagnosis codes. $13.1M in estimated overpayments for 2017–2018. $6.77M refund recommended. Recommendations remain open as of March 2026.</w:t>
      </w:r>
    </w:p>
    <w:p>
      <w:pPr>
        <w:spacing w:after="100" w:before="0"/>
        <w:ind w:left="560"/>
      </w:pPr>
      <w:r>
        <w:rPr>
          <w:rFonts w:ascii="Arial" w:cs="Arial" w:eastAsia="Arial" w:hAnsi="Arial"/>
          <w:color w:val="007A8C"/>
          <w:sz w:val="17"/>
          <w:szCs w:val="17"/>
        </w:rPr>
        <w:t xml:space="preserve">https://oig.hhs.gov/reports/all/2024/medicare-advantage-compliance-audit-of-specific-diagnosis-codes-that-humana-health-plan-inc-contract-h2649-submitted-to-cms/</w:t>
      </w:r>
    </w:p>
    <w:p>
      <w:pPr>
        <w:spacing w:after="20" w:before="100"/>
      </w:pPr>
      <w:r>
        <w:rPr>
          <w:rFonts w:ascii="Arial" w:cs="Arial" w:eastAsia="Arial" w:hAnsi="Arial"/>
          <w:b/>
          <w:bCs/>
          <w:color w:val="007A8C"/>
          <w:sz w:val="19"/>
          <w:szCs w:val="19"/>
        </w:rPr>
        <w:t xml:space="preserve">[5]  </w:t>
      </w:r>
      <w:r>
        <w:rPr>
          <w:rFonts w:ascii="Arial" w:cs="Arial" w:eastAsia="Arial" w:hAnsi="Arial"/>
          <w:b/>
          <w:bCs/>
          <w:color w:val="0D1B4B"/>
          <w:sz w:val="19"/>
          <w:szCs w:val="19"/>
        </w:rPr>
        <w:t xml:space="preserve">WilmerHale — OIG Audit of Humana Medicare Advantage Contract Analysis</w:t>
      </w:r>
      <w:r>
        <w:rPr>
          <w:rFonts w:ascii="Arial" w:cs="Arial" w:eastAsia="Arial" w:hAnsi="Arial"/>
          <w:color w:val="4B5563"/>
          <w:sz w:val="18"/>
          <w:szCs w:val="18"/>
        </w:rPr>
        <w:t xml:space="preserve">  —  WilmerHale, December 2025</w:t>
      </w:r>
    </w:p>
    <w:p>
      <w:pPr>
        <w:spacing w:after="20" w:before="0"/>
        <w:ind w:left="560"/>
      </w:pPr>
      <w:r>
        <w:rPr>
          <w:rFonts w:ascii="Arial" w:cs="Arial" w:eastAsia="Arial" w:hAnsi="Arial"/>
          <w:color w:val="1F2937"/>
          <w:sz w:val="18"/>
          <w:szCs w:val="18"/>
        </w:rPr>
        <w:t xml:space="preserve">Analysis of OIG audit findings for Humana H2649 including AMI and stroke code patterns and compliance recommendations.</w:t>
      </w:r>
    </w:p>
    <w:p>
      <w:pPr>
        <w:spacing w:after="100" w:before="0"/>
        <w:ind w:left="560"/>
      </w:pPr>
      <w:r>
        <w:rPr>
          <w:rFonts w:ascii="Arial" w:cs="Arial" w:eastAsia="Arial" w:hAnsi="Arial"/>
          <w:color w:val="007A8C"/>
          <w:sz w:val="17"/>
          <w:szCs w:val="17"/>
        </w:rPr>
        <w:t xml:space="preserve">https://www.wilmerhale.com/en/insights/client-alerts/20251223-oig-audit-of-humana-medicare-advantage-contract</w:t>
      </w:r>
    </w:p>
    <w:p>
      <w:pPr>
        <w:spacing w:after="20" w:before="100"/>
      </w:pPr>
      <w:r>
        <w:rPr>
          <w:rFonts w:ascii="Arial" w:cs="Arial" w:eastAsia="Arial" w:hAnsi="Arial"/>
          <w:b/>
          <w:bCs/>
          <w:color w:val="007A8C"/>
          <w:sz w:val="19"/>
          <w:szCs w:val="19"/>
        </w:rPr>
        <w:t xml:space="preserve">[6]  </w:t>
      </w:r>
      <w:r>
        <w:rPr>
          <w:rFonts w:ascii="Arial" w:cs="Arial" w:eastAsia="Arial" w:hAnsi="Arial"/>
          <w:b/>
          <w:bCs/>
          <w:color w:val="0D1B4B"/>
          <w:sz w:val="19"/>
          <w:szCs w:val="19"/>
        </w:rPr>
        <w:t xml:space="preserve">CMS-HCC Model V28 — Analysis and 2027 Advance Notice Coefficient Changes</w:t>
      </w:r>
      <w:r>
        <w:rPr>
          <w:rFonts w:ascii="Arial" w:cs="Arial" w:eastAsia="Arial" w:hAnsi="Arial"/>
          <w:color w:val="4B5563"/>
          <w:sz w:val="18"/>
          <w:szCs w:val="18"/>
        </w:rPr>
        <w:t xml:space="preserve">  —  RaapidInc, March 2026</w:t>
      </w:r>
    </w:p>
    <w:p>
      <w:pPr>
        <w:spacing w:after="20" w:before="0"/>
        <w:ind w:left="560"/>
      </w:pPr>
      <w:r>
        <w:rPr>
          <w:rFonts w:ascii="Arial" w:cs="Arial" w:eastAsia="Arial" w:hAnsi="Arial"/>
          <w:color w:val="1F2937"/>
          <w:sz w:val="18"/>
          <w:szCs w:val="18"/>
        </w:rPr>
        <w:t xml:space="preserve">V28 fully in effect January 1, 2026. J44.9 (COPD unspecified) and E66.9 (obesity unspecified) removed from HCC mapping. CKD Stage 3A coefficient proposed -50.4%; COPD proposed -18.8%; morbid obesity proposed -19.4%.</w:t>
      </w:r>
    </w:p>
    <w:p>
      <w:pPr>
        <w:spacing w:after="100" w:before="0"/>
        <w:ind w:left="560"/>
      </w:pPr>
      <w:r>
        <w:rPr>
          <w:rFonts w:ascii="Arial" w:cs="Arial" w:eastAsia="Arial" w:hAnsi="Arial"/>
          <w:color w:val="007A8C"/>
          <w:sz w:val="17"/>
          <w:szCs w:val="17"/>
        </w:rPr>
        <w:t xml:space="preserve">https://www.raapidinc.com/blogs/cms-hcc-model-v28/</w:t>
      </w:r>
    </w:p>
    <w:p>
      <w:pPr>
        <w:spacing w:after="20" w:before="100"/>
      </w:pPr>
      <w:r>
        <w:rPr>
          <w:rFonts w:ascii="Arial" w:cs="Arial" w:eastAsia="Arial" w:hAnsi="Arial"/>
          <w:b/>
          <w:bCs/>
          <w:color w:val="007A8C"/>
          <w:sz w:val="19"/>
          <w:szCs w:val="19"/>
        </w:rPr>
        <w:t xml:space="preserve">[7]  </w:t>
      </w:r>
      <w:r>
        <w:rPr>
          <w:rFonts w:ascii="Arial" w:cs="Arial" w:eastAsia="Arial" w:hAnsi="Arial"/>
          <w:b/>
          <w:bCs/>
          <w:color w:val="0D1B4B"/>
          <w:sz w:val="19"/>
          <w:szCs w:val="19"/>
        </w:rPr>
        <w:t xml:space="preserve">Patient Quality Alliance — Common ICD-10-CM Codes for HCC V28 Tip Sheet</w:t>
      </w:r>
      <w:r>
        <w:rPr>
          <w:rFonts w:ascii="Arial" w:cs="Arial" w:eastAsia="Arial" w:hAnsi="Arial"/>
          <w:color w:val="4B5563"/>
          <w:sz w:val="18"/>
          <w:szCs w:val="18"/>
        </w:rPr>
        <w:t xml:space="preserve">  —  Patient Quality Alliance / CMS, October 2024</w:t>
      </w:r>
    </w:p>
    <w:p>
      <w:pPr>
        <w:spacing w:after="20" w:before="0"/>
        <w:ind w:left="560"/>
      </w:pPr>
      <w:r>
        <w:rPr>
          <w:rFonts w:ascii="Arial" w:cs="Arial" w:eastAsia="Arial" w:hAnsi="Arial"/>
          <w:color w:val="1F2937"/>
          <w:sz w:val="18"/>
          <w:szCs w:val="18"/>
        </w:rPr>
        <w:t xml:space="preserve">Quick reference for V28-mapping diagnosis codes. Confirms DVT/PE maps to HCC 267; morbid obesity requires Z68.4x BMI companion code; specific coding guidance for common chronic conditions.</w:t>
      </w:r>
    </w:p>
    <w:p>
      <w:pPr>
        <w:spacing w:after="100" w:before="0"/>
        <w:ind w:left="560"/>
      </w:pPr>
      <w:r>
        <w:rPr>
          <w:rFonts w:ascii="Arial" w:cs="Arial" w:eastAsia="Arial" w:hAnsi="Arial"/>
          <w:color w:val="007A8C"/>
          <w:sz w:val="17"/>
          <w:szCs w:val="17"/>
        </w:rPr>
        <w:t xml:space="preserve">https://patientqualityalliance.org/wp-content/uploads/Common-DX-Codes-for-HCC-V28-Tip-Sheet.pdf</w:t>
      </w:r>
    </w:p>
    <w:p>
      <w:pPr>
        <w:spacing w:after="20" w:before="100"/>
      </w:pPr>
      <w:r>
        <w:rPr>
          <w:rFonts w:ascii="Arial" w:cs="Arial" w:eastAsia="Arial" w:hAnsi="Arial"/>
          <w:b/>
          <w:bCs/>
          <w:color w:val="007A8C"/>
          <w:sz w:val="19"/>
          <w:szCs w:val="19"/>
        </w:rPr>
        <w:t xml:space="preserve">[8]  </w:t>
      </w:r>
      <w:r>
        <w:rPr>
          <w:rFonts w:ascii="Arial" w:cs="Arial" w:eastAsia="Arial" w:hAnsi="Arial"/>
          <w:b/>
          <w:bCs/>
          <w:color w:val="0D1B4B"/>
          <w:sz w:val="19"/>
          <w:szCs w:val="19"/>
        </w:rPr>
        <w:t xml:space="preserve">Compliance Issues in ICD-10 Coding for Risk-Based Contracts and HCCs</w:t>
      </w:r>
      <w:r>
        <w:rPr>
          <w:rFonts w:ascii="Arial" w:cs="Arial" w:eastAsia="Arial" w:hAnsi="Arial"/>
          <w:color w:val="4B5563"/>
          <w:sz w:val="18"/>
          <w:szCs w:val="18"/>
        </w:rPr>
        <w:t xml:space="preserve">  —  Coding Intel, February 2026</w:t>
      </w:r>
    </w:p>
    <w:p>
      <w:pPr>
        <w:spacing w:after="20" w:before="0"/>
        <w:ind w:left="560"/>
      </w:pPr>
      <w:r>
        <w:rPr>
          <w:rFonts w:ascii="Arial" w:cs="Arial" w:eastAsia="Arial" w:hAnsi="Arial"/>
          <w:color w:val="1F2937"/>
          <w:sz w:val="18"/>
          <w:szCs w:val="18"/>
        </w:rPr>
        <w:t xml:space="preserve">Documents OIG specific finding: 21 of 21 sampled cases of prior colon cancer were coded as active C18.x. Documents active cancer rule (treatment required) and correct history-of alternate codes.</w:t>
      </w:r>
    </w:p>
    <w:p>
      <w:pPr>
        <w:spacing w:after="100" w:before="0"/>
        <w:ind w:left="560"/>
      </w:pPr>
      <w:r>
        <w:rPr>
          <w:rFonts w:ascii="Arial" w:cs="Arial" w:eastAsia="Arial" w:hAnsi="Arial"/>
          <w:color w:val="007A8C"/>
          <w:sz w:val="17"/>
          <w:szCs w:val="17"/>
        </w:rPr>
        <w:t xml:space="preserve">https://codingintel.com/compliance-in-hcc-issues-icd-10-coding-risk-based-contracts/</w:t>
      </w:r>
    </w:p>
    <w:p>
      <w:pPr>
        <w:spacing w:after="20" w:before="100"/>
      </w:pPr>
      <w:r>
        <w:rPr>
          <w:rFonts w:ascii="Arial" w:cs="Arial" w:eastAsia="Arial" w:hAnsi="Arial"/>
          <w:b/>
          <w:bCs/>
          <w:color w:val="007A8C"/>
          <w:sz w:val="19"/>
          <w:szCs w:val="19"/>
        </w:rPr>
        <w:t xml:space="preserve">[9]  </w:t>
      </w:r>
      <w:r>
        <w:rPr>
          <w:rFonts w:ascii="Arial" w:cs="Arial" w:eastAsia="Arial" w:hAnsi="Arial"/>
          <w:b/>
          <w:bCs/>
          <w:color w:val="0D1B4B"/>
          <w:sz w:val="19"/>
          <w:szCs w:val="19"/>
        </w:rPr>
        <w:t xml:space="preserve">OIG Audit Roundup — 3 MA Plans Overpaid $8.4M for High-Risk Diagnosis Codes</w:t>
      </w:r>
      <w:r>
        <w:rPr>
          <w:rFonts w:ascii="Arial" w:cs="Arial" w:eastAsia="Arial" w:hAnsi="Arial"/>
          <w:color w:val="4B5563"/>
          <w:sz w:val="18"/>
          <w:szCs w:val="18"/>
        </w:rPr>
        <w:t xml:space="preserve">  —  RISE Health, January 2025</w:t>
      </w:r>
    </w:p>
    <w:p>
      <w:pPr>
        <w:spacing w:after="20" w:before="0"/>
        <w:ind w:left="560"/>
      </w:pPr>
      <w:r>
        <w:rPr>
          <w:rFonts w:ascii="Arial" w:cs="Arial" w:eastAsia="Arial" w:hAnsi="Arial"/>
          <w:color w:val="1F2937"/>
          <w:sz w:val="18"/>
          <w:szCs w:val="18"/>
        </w:rPr>
        <w:t xml:space="preserve">Covers UCare, Detroit-based plan, and Triple-S audits. Audited conditions include major depressive disorder, vascular claudication, and active cancers. MDD error rate cited as HIGH across all three plan audits.</w:t>
      </w:r>
    </w:p>
    <w:p>
      <w:pPr>
        <w:spacing w:after="100" w:before="0"/>
        <w:ind w:left="560"/>
      </w:pPr>
      <w:r>
        <w:rPr>
          <w:rFonts w:ascii="Arial" w:cs="Arial" w:eastAsia="Arial" w:hAnsi="Arial"/>
          <w:color w:val="007A8C"/>
          <w:sz w:val="17"/>
          <w:szCs w:val="17"/>
        </w:rPr>
        <w:t xml:space="preserve">https://www.risehealth.org/insights-articles/article/oig-audit-roundup-3-ma-plans-were-overpaid-a-total-of-84m-for-high-risk-diagnosis-codes/</w:t>
      </w:r>
    </w:p>
    <w:p>
      <w:pPr>
        <w:spacing w:after="20" w:before="100"/>
      </w:pPr>
      <w:r>
        <w:rPr>
          <w:rFonts w:ascii="Arial" w:cs="Arial" w:eastAsia="Arial" w:hAnsi="Arial"/>
          <w:b/>
          <w:bCs/>
          <w:color w:val="007A8C"/>
          <w:sz w:val="19"/>
          <w:szCs w:val="19"/>
        </w:rPr>
        <w:t xml:space="preserve">[10]  </w:t>
      </w:r>
      <w:r>
        <w:rPr>
          <w:rFonts w:ascii="Arial" w:cs="Arial" w:eastAsia="Arial" w:hAnsi="Arial"/>
          <w:b/>
          <w:bCs/>
          <w:color w:val="0D1B4B"/>
          <w:sz w:val="19"/>
          <w:szCs w:val="19"/>
        </w:rPr>
        <w:t xml:space="preserve">Key FY 2026 ICD-10-CM Updates — Behavioral Health and Specificity Changes</w:t>
      </w:r>
      <w:r>
        <w:rPr>
          <w:rFonts w:ascii="Arial" w:cs="Arial" w:eastAsia="Arial" w:hAnsi="Arial"/>
          <w:color w:val="4B5563"/>
          <w:sz w:val="18"/>
          <w:szCs w:val="18"/>
        </w:rPr>
        <w:t xml:space="preserve">  —  UASI Solutions, December 2025</w:t>
      </w:r>
    </w:p>
    <w:p>
      <w:pPr>
        <w:spacing w:after="20" w:before="0"/>
        <w:ind w:left="560"/>
      </w:pPr>
      <w:r>
        <w:rPr>
          <w:rFonts w:ascii="Arial" w:cs="Arial" w:eastAsia="Arial" w:hAnsi="Arial"/>
          <w:color w:val="1F2937"/>
          <w:sz w:val="18"/>
          <w:szCs w:val="18"/>
        </w:rPr>
        <w:t xml:space="preserve">FY 2026 expanded F32–F33 (MDD) series with added symptom severity and episode descriptors. Documents new specificity requirements for accurate HCC/RAF capture under V28.</w:t>
      </w:r>
    </w:p>
    <w:p>
      <w:pPr>
        <w:spacing w:after="100" w:before="0"/>
        <w:ind w:left="560"/>
      </w:pPr>
      <w:r>
        <w:rPr>
          <w:rFonts w:ascii="Arial" w:cs="Arial" w:eastAsia="Arial" w:hAnsi="Arial"/>
          <w:color w:val="007A8C"/>
          <w:sz w:val="17"/>
          <w:szCs w:val="17"/>
        </w:rPr>
        <w:t xml:space="preserve">https://www.uasisolutions.com/key-fy-2026-icd-10-cm-updates</w:t>
      </w:r>
    </w:p>
    <w:p>
      <w:pPr>
        <w:spacing w:after="20" w:before="100"/>
      </w:pPr>
      <w:r>
        <w:rPr>
          <w:rFonts w:ascii="Arial" w:cs="Arial" w:eastAsia="Arial" w:hAnsi="Arial"/>
          <w:b/>
          <w:bCs/>
          <w:color w:val="007A8C"/>
          <w:sz w:val="19"/>
          <w:szCs w:val="19"/>
        </w:rPr>
        <w:t xml:space="preserve">[11]  </w:t>
      </w:r>
      <w:r>
        <w:rPr>
          <w:rFonts w:ascii="Arial" w:cs="Arial" w:eastAsia="Arial" w:hAnsi="Arial"/>
          <w:b/>
          <w:bCs/>
          <w:color w:val="0D1B4B"/>
          <w:sz w:val="19"/>
          <w:szCs w:val="19"/>
        </w:rPr>
        <w:t xml:space="preserve">Preparing for a Risk Adjustment Audit: Tips from the OIG Work Plan</w:t>
      </w:r>
      <w:r>
        <w:rPr>
          <w:rFonts w:ascii="Arial" w:cs="Arial" w:eastAsia="Arial" w:hAnsi="Arial"/>
          <w:color w:val="4B5563"/>
          <w:sz w:val="18"/>
          <w:szCs w:val="18"/>
        </w:rPr>
        <w:t xml:space="preserve">  —  Wolters Kluwer, February 2024</w:t>
      </w:r>
    </w:p>
    <w:p>
      <w:pPr>
        <w:spacing w:after="20" w:before="0"/>
        <w:ind w:left="560"/>
      </w:pPr>
      <w:r>
        <w:rPr>
          <w:rFonts w:ascii="Arial" w:cs="Arial" w:eastAsia="Arial" w:hAnsi="Arial"/>
          <w:color w:val="1F2937"/>
          <w:sz w:val="18"/>
          <w:szCs w:val="18"/>
        </w:rPr>
        <w:t xml:space="preserve">Primary reference for Categories 5–8. Documents OIG non-targeted audit findings: morbid obesity not supported or miscoded; vascular claudication documentation not supportive of HCC; COPD and MDD as recurring compliance risks.</w:t>
      </w:r>
    </w:p>
    <w:p>
      <w:pPr>
        <w:spacing w:after="100" w:before="0"/>
        <w:ind w:left="560"/>
      </w:pPr>
      <w:r>
        <w:rPr>
          <w:rFonts w:ascii="Arial" w:cs="Arial" w:eastAsia="Arial" w:hAnsi="Arial"/>
          <w:color w:val="007A8C"/>
          <w:sz w:val="17"/>
          <w:szCs w:val="17"/>
        </w:rPr>
        <w:t xml:space="preserve">https://www.wolterskluwer.com/en/expert-insights/preparing-for-a-risk-adjustment-audit-tips-from-the-oig-work-plan</w:t>
      </w:r>
    </w:p>
    <w:p>
      <w:pPr>
        <w:spacing w:after="20" w:before="100"/>
      </w:pPr>
      <w:r>
        <w:rPr>
          <w:rFonts w:ascii="Arial" w:cs="Arial" w:eastAsia="Arial" w:hAnsi="Arial"/>
          <w:b/>
          <w:bCs/>
          <w:color w:val="007A8C"/>
          <w:sz w:val="19"/>
          <w:szCs w:val="19"/>
        </w:rPr>
        <w:t xml:space="preserve">[12]  </w:t>
      </w:r>
      <w:r>
        <w:rPr>
          <w:rFonts w:ascii="Arial" w:cs="Arial" w:eastAsia="Arial" w:hAnsi="Arial"/>
          <w:b/>
          <w:bCs/>
          <w:color w:val="0D1B4B"/>
          <w:sz w:val="19"/>
          <w:szCs w:val="19"/>
        </w:rPr>
        <w:t xml:space="preserve">ICD-10 Codes for Type 2 Diabetes — Full Coding Guide 2026</w:t>
      </w:r>
      <w:r>
        <w:rPr>
          <w:rFonts w:ascii="Arial" w:cs="Arial" w:eastAsia="Arial" w:hAnsi="Arial"/>
          <w:color w:val="4B5563"/>
          <w:sz w:val="18"/>
          <w:szCs w:val="18"/>
        </w:rPr>
        <w:t xml:space="preserve">  —  OmniMD / CMS HCC Guidelines, 2026</w:t>
      </w:r>
    </w:p>
    <w:p>
      <w:pPr>
        <w:spacing w:after="20" w:before="0"/>
        <w:ind w:left="560"/>
      </w:pPr>
      <w:r>
        <w:rPr>
          <w:rFonts w:ascii="Arial" w:cs="Arial" w:eastAsia="Arial" w:hAnsi="Arial"/>
          <w:color w:val="1F2937"/>
          <w:sz w:val="18"/>
          <w:szCs w:val="18"/>
        </w:rPr>
        <w:t xml:space="preserve">Documents complication linkage requirement: physician must explicitly connect the complication to diabetes. E11.22 requires N18.x secondary code. E11.621 requires L97.x. CMS HCC guidelines confirm different risk weights for diabetes with vs. without complications.</w:t>
      </w:r>
    </w:p>
    <w:p>
      <w:pPr>
        <w:spacing w:after="100" w:before="0"/>
        <w:ind w:left="560"/>
      </w:pPr>
      <w:r>
        <w:rPr>
          <w:rFonts w:ascii="Arial" w:cs="Arial" w:eastAsia="Arial" w:hAnsi="Arial"/>
          <w:color w:val="007A8C"/>
          <w:sz w:val="17"/>
          <w:szCs w:val="17"/>
        </w:rPr>
        <w:t xml:space="preserve">https://omnimd.com/blog/icd-10-codes-diabetes-documentation-billing-guide/</w:t>
      </w:r>
    </w:p>
    <w:p>
      <w:pPr>
        <w:spacing w:after="20" w:before="100"/>
      </w:pPr>
      <w:r>
        <w:rPr>
          <w:rFonts w:ascii="Arial" w:cs="Arial" w:eastAsia="Arial" w:hAnsi="Arial"/>
          <w:b/>
          <w:bCs/>
          <w:color w:val="007A8C"/>
          <w:sz w:val="19"/>
          <w:szCs w:val="19"/>
        </w:rPr>
        <w:t xml:space="preserve">[13]  </w:t>
      </w:r>
      <w:r>
        <w:rPr>
          <w:rFonts w:ascii="Arial" w:cs="Arial" w:eastAsia="Arial" w:hAnsi="Arial"/>
          <w:b/>
          <w:bCs/>
          <w:color w:val="0D1B4B"/>
          <w:sz w:val="19"/>
          <w:szCs w:val="19"/>
        </w:rPr>
        <w:t xml:space="preserve">2026 ICD-10-CM Updates: 487 New Codes Impact Medicare Advantage Revenue</w:t>
      </w:r>
      <w:r>
        <w:rPr>
          <w:rFonts w:ascii="Arial" w:cs="Arial" w:eastAsia="Arial" w:hAnsi="Arial"/>
          <w:color w:val="4B5563"/>
          <w:sz w:val="18"/>
          <w:szCs w:val="18"/>
        </w:rPr>
        <w:t xml:space="preserve">  —  RaapidInc, March 2026</w:t>
      </w:r>
    </w:p>
    <w:p>
      <w:pPr>
        <w:spacing w:after="20" w:before="0"/>
        <w:ind w:left="560"/>
      </w:pPr>
      <w:r>
        <w:rPr>
          <w:rFonts w:ascii="Arial" w:cs="Arial" w:eastAsia="Arial" w:hAnsi="Arial"/>
          <w:color w:val="1F2937"/>
          <w:sz w:val="18"/>
          <w:szCs w:val="18"/>
        </w:rPr>
        <w:t xml:space="preserve">Documents new E11.A (diabetes in remission) code for FY 2026. V28 requires specificity — most unspecified codes no longer map to HCCs. MEAT documentation must support diagnoses for RADV audit defense.</w:t>
      </w:r>
    </w:p>
    <w:p>
      <w:pPr>
        <w:spacing w:after="100" w:before="0"/>
        <w:ind w:left="560"/>
      </w:pPr>
      <w:r>
        <w:rPr>
          <w:rFonts w:ascii="Arial" w:cs="Arial" w:eastAsia="Arial" w:hAnsi="Arial"/>
          <w:color w:val="007A8C"/>
          <w:sz w:val="17"/>
          <w:szCs w:val="17"/>
        </w:rPr>
        <w:t xml:space="preserve">https://www.raapidinc.com/blogs/2026-icd-10-cm-updates-medicare-advantage/</w:t>
      </w:r>
    </w:p>
    <w:p>
      <w:pPr>
        <w:spacing w:after="20" w:before="100"/>
      </w:pPr>
      <w:r>
        <w:rPr>
          <w:rFonts w:ascii="Arial" w:cs="Arial" w:eastAsia="Arial" w:hAnsi="Arial"/>
          <w:b/>
          <w:bCs/>
          <w:color w:val="007A8C"/>
          <w:sz w:val="19"/>
          <w:szCs w:val="19"/>
        </w:rPr>
        <w:t xml:space="preserve">[14]  </w:t>
      </w:r>
      <w:r>
        <w:rPr>
          <w:rFonts w:ascii="Arial" w:cs="Arial" w:eastAsia="Arial" w:hAnsi="Arial"/>
          <w:b/>
          <w:bCs/>
          <w:color w:val="0D1B4B"/>
          <w:sz w:val="19"/>
          <w:szCs w:val="19"/>
        </w:rPr>
        <w:t xml:space="preserve">International Classification of Diseases, 10th Revision — ICD-10-CM Coding for Diabetes</w:t>
      </w:r>
      <w:r>
        <w:rPr>
          <w:rFonts w:ascii="Arial" w:cs="Arial" w:eastAsia="Arial" w:hAnsi="Arial"/>
          <w:color w:val="4B5563"/>
          <w:sz w:val="18"/>
          <w:szCs w:val="18"/>
        </w:rPr>
        <w:t xml:space="preserve">  —  PMC / National Library of Medicine, Published</w:t>
      </w:r>
    </w:p>
    <w:p>
      <w:pPr>
        <w:spacing w:after="20" w:before="0"/>
        <w:ind w:left="560"/>
      </w:pPr>
      <w:r>
        <w:rPr>
          <w:rFonts w:ascii="Arial" w:cs="Arial" w:eastAsia="Arial" w:hAnsi="Arial"/>
          <w:color w:val="1F2937"/>
          <w:sz w:val="18"/>
          <w:szCs w:val="18"/>
        </w:rPr>
        <w:t xml:space="preserve">Documents ICD-10-CM structure for diabetes complication coding including CKD staging (N18.x) and ulcer coding (L97.x) requirements. Primary coding authority for E11 combination code structure.</w:t>
      </w:r>
    </w:p>
    <w:p>
      <w:pPr>
        <w:spacing w:after="100" w:before="0"/>
        <w:ind w:left="560"/>
      </w:pPr>
      <w:r>
        <w:rPr>
          <w:rFonts w:ascii="Arial" w:cs="Arial" w:eastAsia="Arial" w:hAnsi="Arial"/>
          <w:color w:val="007A8C"/>
          <w:sz w:val="17"/>
          <w:szCs w:val="17"/>
        </w:rPr>
        <w:t xml:space="preserve">https://pmc.ncbi.nlm.nih.gov/articles/PMC5669129/</w:t>
      </w:r>
    </w:p>
    <w:p>
      <w:pPr>
        <w:spacing w:after="20" w:before="100"/>
      </w:pPr>
      <w:r>
        <w:rPr>
          <w:rFonts w:ascii="Arial" w:cs="Arial" w:eastAsia="Arial" w:hAnsi="Arial"/>
          <w:b/>
          <w:bCs/>
          <w:color w:val="007A8C"/>
          <w:sz w:val="19"/>
          <w:szCs w:val="19"/>
        </w:rPr>
        <w:t xml:space="preserve">[15]  </w:t>
      </w:r>
      <w:r>
        <w:rPr>
          <w:rFonts w:ascii="Arial" w:cs="Arial" w:eastAsia="Arial" w:hAnsi="Arial"/>
          <w:b/>
          <w:bCs/>
          <w:color w:val="0D1B4B"/>
          <w:sz w:val="19"/>
          <w:szCs w:val="19"/>
        </w:rPr>
        <w:t xml:space="preserve">OIG Risk Adjustment Compliance Audit — Three Clear Takeaways (Cotiviti)</w:t>
      </w:r>
      <w:r>
        <w:rPr>
          <w:rFonts w:ascii="Arial" w:cs="Arial" w:eastAsia="Arial" w:hAnsi="Arial"/>
          <w:color w:val="4B5563"/>
          <w:sz w:val="18"/>
          <w:szCs w:val="18"/>
        </w:rPr>
        <w:t xml:space="preserve">  —  Cotiviti, 2023</w:t>
      </w:r>
    </w:p>
    <w:p>
      <w:pPr>
        <w:spacing w:after="20" w:before="0"/>
        <w:ind w:left="560"/>
      </w:pPr>
      <w:r>
        <w:rPr>
          <w:rFonts w:ascii="Arial" w:cs="Arial" w:eastAsia="Arial" w:hAnsi="Arial"/>
          <w:color w:val="1F2937"/>
          <w:sz w:val="18"/>
          <w:szCs w:val="18"/>
        </w:rPr>
        <w:t xml:space="preserve">Documents OIG finding that documentation was generally not supportive of vascular HCC mapping. Also identifies transposed diagnosis code numbers as a systematic error pattern caught by OIG automated SQL audit software.</w:t>
      </w:r>
    </w:p>
    <w:p>
      <w:pPr>
        <w:spacing w:after="100" w:before="0"/>
        <w:ind w:left="560"/>
      </w:pPr>
      <w:r>
        <w:rPr>
          <w:rFonts w:ascii="Arial" w:cs="Arial" w:eastAsia="Arial" w:hAnsi="Arial"/>
          <w:color w:val="007A8C"/>
          <w:sz w:val="17"/>
          <w:szCs w:val="17"/>
        </w:rPr>
        <w:t xml:space="preserve">https://resources.cotiviti.com/risk-adjustment/oig-risk-adjustment-compliance-audit-showcases-3-clear-takeaways</w:t>
      </w:r>
    </w:p>
    <w:p>
      <w:pPr>
        <w:spacing w:after="20" w:before="100"/>
      </w:pPr>
      <w:r>
        <w:rPr>
          <w:rFonts w:ascii="Arial" w:cs="Arial" w:eastAsia="Arial" w:hAnsi="Arial"/>
          <w:b/>
          <w:bCs/>
          <w:color w:val="007A8C"/>
          <w:sz w:val="19"/>
          <w:szCs w:val="19"/>
        </w:rPr>
        <w:t xml:space="preserve">[16]  </w:t>
      </w:r>
      <w:r>
        <w:rPr>
          <w:rFonts w:ascii="Arial" w:cs="Arial" w:eastAsia="Arial" w:hAnsi="Arial"/>
          <w:b/>
          <w:bCs/>
          <w:color w:val="0D1B4B"/>
          <w:sz w:val="19"/>
          <w:szCs w:val="19"/>
        </w:rPr>
        <w:t xml:space="preserve">Federal Government Targets Medicare Advantage Upcoding — Diabetes, Obesity, Lung Disease</w:t>
      </w:r>
      <w:r>
        <w:rPr>
          <w:rFonts w:ascii="Arial" w:cs="Arial" w:eastAsia="Arial" w:hAnsi="Arial"/>
          <w:color w:val="4B5563"/>
          <w:sz w:val="18"/>
          <w:szCs w:val="18"/>
        </w:rPr>
        <w:t xml:space="preserve">  —  STAT News, February 2026</w:t>
      </w:r>
    </w:p>
    <w:p>
      <w:pPr>
        <w:spacing w:after="20" w:before="0"/>
        <w:ind w:left="560"/>
      </w:pPr>
      <w:r>
        <w:rPr>
          <w:rFonts w:ascii="Arial" w:cs="Arial" w:eastAsia="Arial" w:hAnsi="Arial"/>
          <w:color w:val="1F2937"/>
          <w:sz w:val="18"/>
          <w:szCs w:val="18"/>
        </w:rPr>
        <w:t xml:space="preserve">CMS ratcheting down payments for diabetes, morbid obesity, and lung disease (COPD) because data shows MA insurers were using upcoding to inflate risk scores. Proposes using newer claims data implying patients are not seeing physicians as frequently as risk profiles suggest.</w:t>
      </w:r>
    </w:p>
    <w:p>
      <w:pPr>
        <w:spacing w:after="100" w:before="0"/>
        <w:ind w:left="560"/>
      </w:pPr>
      <w:r>
        <w:rPr>
          <w:rFonts w:ascii="Arial" w:cs="Arial" w:eastAsia="Arial" w:hAnsi="Arial"/>
          <w:color w:val="007A8C"/>
          <w:sz w:val="17"/>
          <w:szCs w:val="17"/>
        </w:rPr>
        <w:t xml:space="preserve">https://www.statnews.com/2026/02/09/medicare-advantage-new-cms-risk-scores-target-insurer-upcoding/</w:t>
      </w:r>
    </w:p>
    <w:p>
      <w:pPr>
        <w:spacing w:after="20" w:before="100"/>
      </w:pPr>
      <w:r>
        <w:rPr>
          <w:rFonts w:ascii="Arial" w:cs="Arial" w:eastAsia="Arial" w:hAnsi="Arial"/>
          <w:b/>
          <w:bCs/>
          <w:color w:val="007A8C"/>
          <w:sz w:val="19"/>
          <w:szCs w:val="19"/>
        </w:rPr>
        <w:t xml:space="preserve">[17]  </w:t>
      </w:r>
      <w:r>
        <w:rPr>
          <w:rFonts w:ascii="Arial" w:cs="Arial" w:eastAsia="Arial" w:hAnsi="Arial"/>
          <w:b/>
          <w:bCs/>
          <w:color w:val="0D1B4B"/>
          <w:sz w:val="19"/>
          <w:szCs w:val="19"/>
        </w:rPr>
        <w:t xml:space="preserve">CMS — Major Hip &amp; Knee Replacement Compliance Tips (2024 Supplemental Improper Payment Data)</w:t>
      </w:r>
      <w:r>
        <w:rPr>
          <w:rFonts w:ascii="Arial" w:cs="Arial" w:eastAsia="Arial" w:hAnsi="Arial"/>
          <w:color w:val="4B5563"/>
          <w:sz w:val="18"/>
          <w:szCs w:val="18"/>
        </w:rPr>
        <w:t xml:space="preserve">  —  CMS Medicare Learning Network, Updated February 2026</w:t>
      </w:r>
    </w:p>
    <w:p>
      <w:pPr>
        <w:spacing w:after="20" w:before="0"/>
        <w:ind w:left="560"/>
      </w:pPr>
      <w:r>
        <w:rPr>
          <w:rFonts w:ascii="Arial" w:cs="Arial" w:eastAsia="Arial" w:hAnsi="Arial"/>
          <w:color w:val="1F2937"/>
          <w:sz w:val="18"/>
          <w:szCs w:val="18"/>
        </w:rPr>
        <w:t xml:space="preserve">43.6% improper payment rate; $546.7M projected nationally; medical necessity = 92.8% of errors. Highest projected improper payment of all Medicare Part A service types.</w:t>
      </w:r>
    </w:p>
    <w:p>
      <w:pPr>
        <w:spacing w:after="100" w:before="0"/>
        <w:ind w:left="560"/>
      </w:pPr>
      <w:r>
        <w:rPr>
          <w:rFonts w:ascii="Arial" w:cs="Arial" w:eastAsia="Arial" w:hAnsi="Arial"/>
          <w:color w:val="007A8C"/>
          <w:sz w:val="17"/>
          <w:szCs w:val="17"/>
        </w:rPr>
        <w:t xml:space="preserve">https://www.cms.gov/training-education/medicare-learning-networkr-mln/compliance/medicare-provider-compliance-tips/hip-knee-replacement</w:t>
      </w:r>
    </w:p>
    <w:p>
      <w:pPr>
        <w:spacing w:after="20" w:before="100"/>
      </w:pPr>
      <w:r>
        <w:rPr>
          <w:rFonts w:ascii="Arial" w:cs="Arial" w:eastAsia="Arial" w:hAnsi="Arial"/>
          <w:b/>
          <w:bCs/>
          <w:color w:val="007A8C"/>
          <w:sz w:val="19"/>
          <w:szCs w:val="19"/>
        </w:rPr>
        <w:t xml:space="preserve">[18]  </w:t>
      </w:r>
      <w:r>
        <w:rPr>
          <w:rFonts w:ascii="Arial" w:cs="Arial" w:eastAsia="Arial" w:hAnsi="Arial"/>
          <w:b/>
          <w:bCs/>
          <w:color w:val="0D1B4B"/>
          <w:sz w:val="19"/>
          <w:szCs w:val="19"/>
        </w:rPr>
        <w:t xml:space="preserve">Trends in Medicare Arthroplasty Procedure Volume: Projecting from 2025 to 2040</w:t>
      </w:r>
      <w:r>
        <w:rPr>
          <w:rFonts w:ascii="Arial" w:cs="Arial" w:eastAsia="Arial" w:hAnsi="Arial"/>
          <w:color w:val="4B5563"/>
          <w:sz w:val="18"/>
          <w:szCs w:val="18"/>
        </w:rPr>
        <w:t xml:space="preserve">  —  Journal of Arthroplasty / PubMed, 2025</w:t>
      </w:r>
    </w:p>
    <w:p>
      <w:pPr>
        <w:spacing w:after="20" w:before="0"/>
        <w:ind w:left="560"/>
      </w:pPr>
      <w:r>
        <w:rPr>
          <w:rFonts w:ascii="Arial" w:cs="Arial" w:eastAsia="Arial" w:hAnsi="Arial"/>
          <w:color w:val="1F2937"/>
          <w:sz w:val="18"/>
          <w:szCs w:val="18"/>
        </w:rPr>
        <w:t xml:space="preserve">Primary TKA volume grew from 603,704 (2013) to 1,013,533 (2022) and is projected to reach 2,793,919 by 2040 at 5.9% annual growth. Supports utilization rate modeling for Tier 1A.</w:t>
      </w:r>
    </w:p>
    <w:p>
      <w:pPr>
        <w:spacing w:after="100" w:before="0"/>
        <w:ind w:left="560"/>
      </w:pPr>
      <w:r>
        <w:rPr>
          <w:rFonts w:ascii="Arial" w:cs="Arial" w:eastAsia="Arial" w:hAnsi="Arial"/>
          <w:color w:val="007A8C"/>
          <w:sz w:val="17"/>
          <w:szCs w:val="17"/>
        </w:rPr>
        <w:t xml:space="preserve">https://pubmed.ncbi.nlm.nih.gov/40505750/</w:t>
      </w:r>
    </w:p>
    <w:p>
      <w:pPr>
        <w:spacing w:after="20" w:before="100"/>
      </w:pPr>
      <w:r>
        <w:rPr>
          <w:rFonts w:ascii="Arial" w:cs="Arial" w:eastAsia="Arial" w:hAnsi="Arial"/>
          <w:b/>
          <w:bCs/>
          <w:color w:val="007A8C"/>
          <w:sz w:val="19"/>
          <w:szCs w:val="19"/>
        </w:rPr>
        <w:t xml:space="preserve">[19]  </w:t>
      </w:r>
      <w:r>
        <w:rPr>
          <w:rFonts w:ascii="Arial" w:cs="Arial" w:eastAsia="Arial" w:hAnsi="Arial"/>
          <w:b/>
          <w:bCs/>
          <w:color w:val="0D1B4B"/>
          <w:sz w:val="19"/>
          <w:szCs w:val="19"/>
        </w:rPr>
        <w:t xml:space="preserve">Medicare Reimbursement for Primary and Revision TKA/THA: Analysis 2000–2024</w:t>
      </w:r>
      <w:r>
        <w:rPr>
          <w:rFonts w:ascii="Arial" w:cs="Arial" w:eastAsia="Arial" w:hAnsi="Arial"/>
          <w:color w:val="4B5563"/>
          <w:sz w:val="18"/>
          <w:szCs w:val="18"/>
        </w:rPr>
        <w:t xml:space="preserve">  —  Journal of Arthroplasty / PubMed, September 2025</w:t>
      </w:r>
    </w:p>
    <w:p>
      <w:pPr>
        <w:spacing w:after="20" w:before="0"/>
        <w:ind w:left="560"/>
      </w:pPr>
      <w:r>
        <w:rPr>
          <w:rFonts w:ascii="Arial" w:cs="Arial" w:eastAsia="Arial" w:hAnsi="Arial"/>
          <w:color w:val="1F2937"/>
          <w:sz w:val="18"/>
          <w:szCs w:val="18"/>
        </w:rPr>
        <w:t xml:space="preserve">Unadjusted Medicare reimbursement for primary TKA and THA decreased 22.3% and 17.7% respectively from 2000 to 2024, incentivizing DRG upcoding to offset declining reimbursement.</w:t>
      </w:r>
    </w:p>
    <w:p>
      <w:pPr>
        <w:spacing w:after="100" w:before="0"/>
        <w:ind w:left="560"/>
      </w:pPr>
      <w:r>
        <w:rPr>
          <w:rFonts w:ascii="Arial" w:cs="Arial" w:eastAsia="Arial" w:hAnsi="Arial"/>
          <w:color w:val="007A8C"/>
          <w:sz w:val="17"/>
          <w:szCs w:val="17"/>
        </w:rPr>
        <w:t xml:space="preserve">https://pubmed.ncbi.nlm.nih.gov/40262679/</w:t>
      </w:r>
    </w:p>
    <w:p>
      <w:pPr>
        <w:spacing w:after="20" w:before="100"/>
      </w:pPr>
      <w:r>
        <w:rPr>
          <w:rFonts w:ascii="Arial" w:cs="Arial" w:eastAsia="Arial" w:hAnsi="Arial"/>
          <w:b/>
          <w:bCs/>
          <w:color w:val="007A8C"/>
          <w:sz w:val="19"/>
          <w:szCs w:val="19"/>
        </w:rPr>
        <w:t xml:space="preserve">[20]  </w:t>
      </w:r>
      <w:r>
        <w:rPr>
          <w:rFonts w:ascii="Arial" w:cs="Arial" w:eastAsia="Arial" w:hAnsi="Arial"/>
          <w:b/>
          <w:bCs/>
          <w:color w:val="0D1B4B"/>
          <w:sz w:val="19"/>
          <w:szCs w:val="19"/>
        </w:rPr>
        <w:t xml:space="preserve">Medicare Spent $2B on Unneeded Back Surgeries — Lown Institute Analysis</w:t>
      </w:r>
      <w:r>
        <w:rPr>
          <w:rFonts w:ascii="Arial" w:cs="Arial" w:eastAsia="Arial" w:hAnsi="Arial"/>
          <w:color w:val="4B5563"/>
          <w:sz w:val="18"/>
          <w:szCs w:val="18"/>
        </w:rPr>
        <w:t xml:space="preserve">  —  Axios / Lown Institute, November 2024</w:t>
      </w:r>
    </w:p>
    <w:p>
      <w:pPr>
        <w:spacing w:after="20" w:before="0"/>
        <w:ind w:left="560"/>
      </w:pPr>
      <w:r>
        <w:rPr>
          <w:rFonts w:ascii="Arial" w:cs="Arial" w:eastAsia="Arial" w:hAnsi="Arial"/>
          <w:color w:val="1F2937"/>
          <w:sz w:val="18"/>
          <w:szCs w:val="18"/>
        </w:rPr>
        <w:t xml:space="preserve">200,000+ unnecessary back surgeries on Medicare beneficiaries over 3 years. ~14% of spinal fusions met overuse criteria. Overuse rates varied from under 1% to over 50% across hospitals. Core evidence for Tier 1B.</w:t>
      </w:r>
    </w:p>
    <w:p>
      <w:pPr>
        <w:spacing w:after="100" w:before="0"/>
        <w:ind w:left="560"/>
      </w:pPr>
      <w:r>
        <w:rPr>
          <w:rFonts w:ascii="Arial" w:cs="Arial" w:eastAsia="Arial" w:hAnsi="Arial"/>
          <w:color w:val="007A8C"/>
          <w:sz w:val="17"/>
          <w:szCs w:val="17"/>
        </w:rPr>
        <w:t xml:space="preserve">https://www.axios.com/2024/11/14/medicare-spending-unneeded-back-surgeries</w:t>
      </w:r>
    </w:p>
    <w:p>
      <w:pPr>
        <w:spacing w:after="20" w:before="100"/>
      </w:pPr>
      <w:r>
        <w:rPr>
          <w:rFonts w:ascii="Arial" w:cs="Arial" w:eastAsia="Arial" w:hAnsi="Arial"/>
          <w:b/>
          <w:bCs/>
          <w:color w:val="007A8C"/>
          <w:sz w:val="19"/>
          <w:szCs w:val="19"/>
        </w:rPr>
        <w:t xml:space="preserve">[21]  </w:t>
      </w:r>
      <w:r>
        <w:rPr>
          <w:rFonts w:ascii="Arial" w:cs="Arial" w:eastAsia="Arial" w:hAnsi="Arial"/>
          <w:b/>
          <w:bCs/>
          <w:color w:val="0D1B4B"/>
          <w:sz w:val="19"/>
          <w:szCs w:val="19"/>
        </w:rPr>
        <w:t xml:space="preserve">Medicare IPPS Rule — Important Changes Affecting Spine Surgery (TEAM Model)</w:t>
      </w:r>
      <w:r>
        <w:rPr>
          <w:rFonts w:ascii="Arial" w:cs="Arial" w:eastAsia="Arial" w:hAnsi="Arial"/>
          <w:color w:val="4B5563"/>
          <w:sz w:val="18"/>
          <w:szCs w:val="18"/>
        </w:rPr>
        <w:t xml:space="preserve">  —  ISASS, 2024</w:t>
      </w:r>
    </w:p>
    <w:p>
      <w:pPr>
        <w:spacing w:after="20" w:before="0"/>
        <w:ind w:left="560"/>
      </w:pPr>
      <w:r>
        <w:rPr>
          <w:rFonts w:ascii="Arial" w:cs="Arial" w:eastAsia="Arial" w:hAnsi="Arial"/>
          <w:color w:val="1F2937"/>
          <w:sz w:val="18"/>
          <w:szCs w:val="18"/>
        </w:rPr>
        <w:t xml:space="preserve">CMS TEAM model for spinal fusion creates mandatory episode-based accountability at selected hospitals starting January 2026. Increases audit pressure on spinal fusion medical necessity and coding accuracy.</w:t>
      </w:r>
    </w:p>
    <w:p>
      <w:pPr>
        <w:spacing w:after="100" w:before="0"/>
        <w:ind w:left="560"/>
      </w:pPr>
      <w:r>
        <w:rPr>
          <w:rFonts w:ascii="Arial" w:cs="Arial" w:eastAsia="Arial" w:hAnsi="Arial"/>
          <w:color w:val="007A8C"/>
          <w:sz w:val="17"/>
          <w:szCs w:val="17"/>
        </w:rPr>
        <w:t xml:space="preserve">https://isass.org/medicare-releases-proposed-2025-inpatient-prospective-payment-rule-important-changes-affecting-spine-surgery/</w:t>
      </w:r>
    </w:p>
    <w:p>
      <w:pPr>
        <w:spacing w:after="20" w:before="100"/>
      </w:pPr>
      <w:r>
        <w:rPr>
          <w:rFonts w:ascii="Arial" w:cs="Arial" w:eastAsia="Arial" w:hAnsi="Arial"/>
          <w:b/>
          <w:bCs/>
          <w:color w:val="007A8C"/>
          <w:sz w:val="19"/>
          <w:szCs w:val="19"/>
        </w:rPr>
        <w:t xml:space="preserve">[22]  </w:t>
      </w:r>
      <w:r>
        <w:rPr>
          <w:rFonts w:ascii="Arial" w:cs="Arial" w:eastAsia="Arial" w:hAnsi="Arial"/>
          <w:b/>
          <w:bCs/>
          <w:color w:val="0D1B4B"/>
          <w:sz w:val="19"/>
          <w:szCs w:val="19"/>
        </w:rPr>
        <w:t xml:space="preserve">New Mandatory Payment Model for CABG Coming in 2026 — TEAM Finalized</w:t>
      </w:r>
      <w:r>
        <w:rPr>
          <w:rFonts w:ascii="Arial" w:cs="Arial" w:eastAsia="Arial" w:hAnsi="Arial"/>
          <w:color w:val="4B5563"/>
          <w:sz w:val="18"/>
          <w:szCs w:val="18"/>
        </w:rPr>
        <w:t xml:space="preserve">  —  Society of Thoracic Surgeons, August 2024</w:t>
      </w:r>
    </w:p>
    <w:p>
      <w:pPr>
        <w:spacing w:after="20" w:before="0"/>
        <w:ind w:left="560"/>
      </w:pPr>
      <w:r>
        <w:rPr>
          <w:rFonts w:ascii="Arial" w:cs="Arial" w:eastAsia="Arial" w:hAnsi="Arial"/>
          <w:color w:val="1F2937"/>
          <w:sz w:val="18"/>
          <w:szCs w:val="18"/>
        </w:rPr>
        <w:t xml:space="preserve">CMS finalized TEAM mandatory for CABG (MS-DRG 231–236) at 761 hospitals starting January 1, 2026. 1.5% discount factor applied per episode. Also covers spinal fusion (Tier 1B) and hip/knee replacement (Tier 1A).</w:t>
      </w:r>
    </w:p>
    <w:p>
      <w:pPr>
        <w:spacing w:after="100" w:before="0"/>
        <w:ind w:left="560"/>
      </w:pPr>
      <w:r>
        <w:rPr>
          <w:rFonts w:ascii="Arial" w:cs="Arial" w:eastAsia="Arial" w:hAnsi="Arial"/>
          <w:color w:val="007A8C"/>
          <w:sz w:val="17"/>
          <w:szCs w:val="17"/>
        </w:rPr>
        <w:t xml:space="preserve">https://www.sts.org/blog/new-mandatory-payment-model-cabg-coming-2026</w:t>
      </w:r>
    </w:p>
    <w:p>
      <w:pPr>
        <w:spacing w:after="20" w:before="100"/>
      </w:pPr>
      <w:r>
        <w:rPr>
          <w:rFonts w:ascii="Arial" w:cs="Arial" w:eastAsia="Arial" w:hAnsi="Arial"/>
          <w:b/>
          <w:bCs/>
          <w:color w:val="007A8C"/>
          <w:sz w:val="19"/>
          <w:szCs w:val="19"/>
        </w:rPr>
        <w:t xml:space="preserve">[23]  </w:t>
      </w:r>
      <w:r>
        <w:rPr>
          <w:rFonts w:ascii="Arial" w:cs="Arial" w:eastAsia="Arial" w:hAnsi="Arial"/>
          <w:b/>
          <w:bCs/>
          <w:color w:val="0D1B4B"/>
          <w:sz w:val="19"/>
          <w:szCs w:val="19"/>
        </w:rPr>
        <w:t xml:space="preserve">CMS Releases FY 2025 IPPS Proposed Rule — CABG and Cardiac Procedures</w:t>
      </w:r>
      <w:r>
        <w:rPr>
          <w:rFonts w:ascii="Arial" w:cs="Arial" w:eastAsia="Arial" w:hAnsi="Arial"/>
          <w:color w:val="4B5563"/>
          <w:sz w:val="18"/>
          <w:szCs w:val="18"/>
        </w:rPr>
        <w:t xml:space="preserve">  —  American College of Cardiology, April 2024</w:t>
      </w:r>
    </w:p>
    <w:p>
      <w:pPr>
        <w:spacing w:after="20" w:before="0"/>
        <w:ind w:left="560"/>
      </w:pPr>
      <w:r>
        <w:rPr>
          <w:rFonts w:ascii="Arial" w:cs="Arial" w:eastAsia="Arial" w:hAnsi="Arial"/>
          <w:color w:val="1F2937"/>
          <w:sz w:val="18"/>
          <w:szCs w:val="18"/>
        </w:rPr>
        <w:t xml:space="preserve">CMS IPPS FY 2025 proposed rule includes TEAM for CABG and other high-cost procedures. Average total Medicare payments: CABG $45,358 — highest of any common surgical procedure category.</w:t>
      </w:r>
    </w:p>
    <w:p>
      <w:pPr>
        <w:spacing w:after="100" w:before="0"/>
        <w:ind w:left="560"/>
      </w:pPr>
      <w:r>
        <w:rPr>
          <w:rFonts w:ascii="Arial" w:cs="Arial" w:eastAsia="Arial" w:hAnsi="Arial"/>
          <w:color w:val="007A8C"/>
          <w:sz w:val="17"/>
          <w:szCs w:val="17"/>
        </w:rPr>
        <w:t xml:space="preserve">https://www.acc.org/Latest-in-Cardiology/Articles/2024/04/12/14/11/cms-releases-fy-2025-ipps-proposed-rule</w:t>
      </w:r>
    </w:p>
    <w:p>
      <w:pPr>
        <w:spacing w:after="20" w:before="100"/>
      </w:pPr>
      <w:r>
        <w:rPr>
          <w:rFonts w:ascii="Arial" w:cs="Arial" w:eastAsia="Arial" w:hAnsi="Arial"/>
          <w:b/>
          <w:bCs/>
          <w:color w:val="007A8C"/>
          <w:sz w:val="19"/>
          <w:szCs w:val="19"/>
        </w:rPr>
        <w:t xml:space="preserve">[24]  </w:t>
      </w:r>
      <w:r>
        <w:rPr>
          <w:rFonts w:ascii="Arial" w:cs="Arial" w:eastAsia="Arial" w:hAnsi="Arial"/>
          <w:b/>
          <w:bCs/>
          <w:color w:val="0D1B4B"/>
          <w:sz w:val="19"/>
          <w:szCs w:val="19"/>
        </w:rPr>
        <w:t xml:space="preserve">How Much Does Open-Heart Surgery Cost With Medicare?</w:t>
      </w:r>
      <w:r>
        <w:rPr>
          <w:rFonts w:ascii="Arial" w:cs="Arial" w:eastAsia="Arial" w:hAnsi="Arial"/>
          <w:color w:val="4B5563"/>
          <w:sz w:val="18"/>
          <w:szCs w:val="18"/>
        </w:rPr>
        <w:t xml:space="preserve">  —  GoodRx Health, January 2026</w:t>
      </w:r>
    </w:p>
    <w:p>
      <w:pPr>
        <w:spacing w:after="20" w:before="0"/>
        <w:ind w:left="560"/>
      </w:pPr>
      <w:r>
        <w:rPr>
          <w:rFonts w:ascii="Arial" w:cs="Arial" w:eastAsia="Arial" w:hAnsi="Arial"/>
          <w:color w:val="1F2937"/>
          <w:sz w:val="18"/>
          <w:szCs w:val="18"/>
        </w:rPr>
        <w:t xml:space="preserve">2024 study of 500+ U.S. hospitals documented wide variation in CABG and TAVR prices — a known signal of inconsistent medical necessity application and DRG coding practices across facilities.</w:t>
      </w:r>
    </w:p>
    <w:p>
      <w:pPr>
        <w:spacing w:after="100" w:before="0"/>
        <w:ind w:left="560"/>
      </w:pPr>
      <w:r>
        <w:rPr>
          <w:rFonts w:ascii="Arial" w:cs="Arial" w:eastAsia="Arial" w:hAnsi="Arial"/>
          <w:color w:val="007A8C"/>
          <w:sz w:val="17"/>
          <w:szCs w:val="17"/>
        </w:rPr>
        <w:t xml:space="preserve">https://www.goodrx.com/insurance/medicare/medicare-coverage-of-major-heart-conditions</w:t>
      </w:r>
    </w:p>
    <w:p>
      <w:pPr>
        <w:spacing w:after="20" w:before="100"/>
      </w:pPr>
      <w:r>
        <w:rPr>
          <w:rFonts w:ascii="Arial" w:cs="Arial" w:eastAsia="Arial" w:hAnsi="Arial"/>
          <w:b/>
          <w:bCs/>
          <w:color w:val="007A8C"/>
          <w:sz w:val="19"/>
          <w:szCs w:val="19"/>
        </w:rPr>
        <w:t xml:space="preserve">[25]  </w:t>
      </w:r>
      <w:r>
        <w:rPr>
          <w:rFonts w:ascii="Arial" w:cs="Arial" w:eastAsia="Arial" w:hAnsi="Arial"/>
          <w:b/>
          <w:bCs/>
          <w:color w:val="0D1B4B"/>
          <w:sz w:val="19"/>
          <w:szCs w:val="19"/>
        </w:rPr>
        <w:t xml:space="preserve">By-Band-Sleeve Collaborative Group — Multicenter Bariatric Surgery RCT</w:t>
      </w:r>
      <w:r>
        <w:rPr>
          <w:rFonts w:ascii="Arial" w:cs="Arial" w:eastAsia="Arial" w:hAnsi="Arial"/>
          <w:color w:val="4B5563"/>
          <w:sz w:val="18"/>
          <w:szCs w:val="18"/>
        </w:rPr>
        <w:t xml:space="preserve">  —  Peer-Reviewed Multicenter RCT, 2025</w:t>
      </w:r>
    </w:p>
    <w:p>
      <w:pPr>
        <w:spacing w:after="20" w:before="0"/>
        <w:ind w:left="560"/>
      </w:pPr>
      <w:r>
        <w:rPr>
          <w:rFonts w:ascii="Arial" w:cs="Arial" w:eastAsia="Arial" w:hAnsi="Arial"/>
          <w:color w:val="1F2937"/>
          <w:sz w:val="18"/>
          <w:szCs w:val="18"/>
        </w:rPr>
        <w:t xml:space="preserve">Only 68% of patients in Roux-en-Y gastric bypass achieved primary outcome at 3 years, underscoring the critical importance of patient selection and medical necessity criteria for bariatric procedures.</w:t>
      </w:r>
    </w:p>
    <w:p>
      <w:pPr>
        <w:spacing w:after="100" w:before="0"/>
        <w:ind w:left="560"/>
      </w:pPr>
      <w:r>
        <w:rPr>
          <w:rFonts w:ascii="Arial" w:cs="Arial" w:eastAsia="Arial" w:hAnsi="Arial"/>
          <w:color w:val="007A8C"/>
          <w:sz w:val="17"/>
          <w:szCs w:val="17"/>
        </w:rPr>
        <w:t xml:space="preserve">Via UHC Provider Bariatric Surgery Policy, citing 2025 multicenter RCT</w:t>
      </w:r>
    </w:p>
    <w:p>
      <w:pPr>
        <w:spacing w:after="20" w:before="100"/>
      </w:pPr>
      <w:r>
        <w:rPr>
          <w:rFonts w:ascii="Arial" w:cs="Arial" w:eastAsia="Arial" w:hAnsi="Arial"/>
          <w:b/>
          <w:bCs/>
          <w:color w:val="007A8C"/>
          <w:sz w:val="19"/>
          <w:szCs w:val="19"/>
        </w:rPr>
        <w:t xml:space="preserve">[26]  </w:t>
      </w:r>
      <w:r>
        <w:rPr>
          <w:rFonts w:ascii="Arial" w:cs="Arial" w:eastAsia="Arial" w:hAnsi="Arial"/>
          <w:b/>
          <w:bCs/>
          <w:color w:val="0D1B4B"/>
          <w:sz w:val="19"/>
          <w:szCs w:val="19"/>
        </w:rPr>
        <w:t xml:space="preserve">ICD-10-PCS Code Updates — April 1, 2026 (80 New Procedure Codes)</w:t>
      </w:r>
      <w:r>
        <w:rPr>
          <w:rFonts w:ascii="Arial" w:cs="Arial" w:eastAsia="Arial" w:hAnsi="Arial"/>
          <w:color w:val="4B5563"/>
          <w:sz w:val="18"/>
          <w:szCs w:val="18"/>
        </w:rPr>
        <w:t xml:space="preserve">  —  HIA / CMS, February 2026</w:t>
      </w:r>
    </w:p>
    <w:p>
      <w:pPr>
        <w:spacing w:after="20" w:before="0"/>
        <w:ind w:left="560"/>
      </w:pPr>
      <w:r>
        <w:rPr>
          <w:rFonts w:ascii="Arial" w:cs="Arial" w:eastAsia="Arial" w:hAnsi="Arial"/>
          <w:color w:val="1F2937"/>
          <w:sz w:val="18"/>
          <w:szCs w:val="18"/>
        </w:rPr>
        <w:t xml:space="preserve">80 new ICD-10-PCS codes effective April 1, 2026 including New Technology section codes for robotic-assisted procedures. Creates DRG shift risk and coding complexity requiring clinical validation.</w:t>
      </w:r>
    </w:p>
    <w:p>
      <w:pPr>
        <w:spacing w:after="100" w:before="0"/>
        <w:ind w:left="560"/>
      </w:pPr>
      <w:r>
        <w:rPr>
          <w:rFonts w:ascii="Arial" w:cs="Arial" w:eastAsia="Arial" w:hAnsi="Arial"/>
          <w:color w:val="007A8C"/>
          <w:sz w:val="17"/>
          <w:szCs w:val="17"/>
        </w:rPr>
        <w:t xml:space="preserve">https://hiacode.com/blog/icd-10-pcs-code-updates-april-1</w:t>
      </w:r>
    </w:p>
    <w:p>
      <w:pPr>
        <w:spacing w:after="20" w:before="100"/>
      </w:pPr>
      <w:r>
        <w:rPr>
          <w:rFonts w:ascii="Arial" w:cs="Arial" w:eastAsia="Arial" w:hAnsi="Arial"/>
          <w:b/>
          <w:bCs/>
          <w:color w:val="007A8C"/>
          <w:sz w:val="19"/>
          <w:szCs w:val="19"/>
        </w:rPr>
        <w:t xml:space="preserve">[27]  </w:t>
      </w:r>
      <w:r>
        <w:rPr>
          <w:rFonts w:ascii="Arial" w:cs="Arial" w:eastAsia="Arial" w:hAnsi="Arial"/>
          <w:b/>
          <w:bCs/>
          <w:color w:val="0D1B4B"/>
          <w:sz w:val="19"/>
          <w:szCs w:val="19"/>
        </w:rPr>
        <w:t xml:space="preserve">OIG Report A-01-18-00500 — Medicare Overpaid $636 Million for Neurostimulator Implantation Surgeries</w:t>
      </w:r>
      <w:r>
        <w:rPr>
          <w:rFonts w:ascii="Arial" w:cs="Arial" w:eastAsia="Arial" w:hAnsi="Arial"/>
          <w:color w:val="4B5563"/>
          <w:sz w:val="18"/>
          <w:szCs w:val="18"/>
        </w:rPr>
        <w:t xml:space="preserve">  —  OIG, 2021</w:t>
      </w:r>
    </w:p>
    <w:p>
      <w:pPr>
        <w:spacing w:after="20" w:before="0"/>
        <w:ind w:left="560"/>
      </w:pPr>
      <w:r>
        <w:rPr>
          <w:rFonts w:ascii="Arial" w:cs="Arial" w:eastAsia="Arial" w:hAnsi="Arial"/>
          <w:color w:val="1F2937"/>
          <w:sz w:val="18"/>
          <w:szCs w:val="18"/>
        </w:rPr>
        <w:t xml:space="preserve">OIG audit covering $1.4B in payments for 58,213 beneficiaries (2016–2017). More than 40% of claims did not comply with Medicare requirements. Error rates up to 72%. Claims volume grew 175% from 2007–2018.</w:t>
      </w:r>
    </w:p>
    <w:p>
      <w:pPr>
        <w:spacing w:after="100" w:before="0"/>
        <w:ind w:left="560"/>
      </w:pPr>
      <w:r>
        <w:rPr>
          <w:rFonts w:ascii="Arial" w:cs="Arial" w:eastAsia="Arial" w:hAnsi="Arial"/>
          <w:color w:val="007A8C"/>
          <w:sz w:val="17"/>
          <w:szCs w:val="17"/>
        </w:rPr>
        <w:t xml:space="preserve">https://oig.hhs.gov/reports/all/2021/medicare-overpaid-636-million-for-neurostimulator-implantation-surgeries/</w:t>
      </w:r>
    </w:p>
    <w:p>
      <w:pPr>
        <w:spacing w:after="20" w:before="100"/>
      </w:pPr>
      <w:r>
        <w:rPr>
          <w:rFonts w:ascii="Arial" w:cs="Arial" w:eastAsia="Arial" w:hAnsi="Arial"/>
          <w:b/>
          <w:bCs/>
          <w:color w:val="007A8C"/>
          <w:sz w:val="19"/>
          <w:szCs w:val="19"/>
        </w:rPr>
        <w:t xml:space="preserve">[28]  </w:t>
      </w:r>
      <w:r>
        <w:rPr>
          <w:rFonts w:ascii="Arial" w:cs="Arial" w:eastAsia="Arial" w:hAnsi="Arial"/>
          <w:b/>
          <w:bCs/>
          <w:color w:val="0D1B4B"/>
          <w:sz w:val="19"/>
          <w:szCs w:val="19"/>
        </w:rPr>
        <w:t xml:space="preserve">Inpatient Claims for Neurostimulator Implantation Surgeries — OIG Work Plan Item</w:t>
      </w:r>
      <w:r>
        <w:rPr>
          <w:rFonts w:ascii="Arial" w:cs="Arial" w:eastAsia="Arial" w:hAnsi="Arial"/>
          <w:color w:val="4B5563"/>
          <w:sz w:val="18"/>
          <w:szCs w:val="18"/>
        </w:rPr>
        <w:t xml:space="preserve">  —  OIG Active Work Plan, March 16, 2026</w:t>
      </w:r>
    </w:p>
    <w:p>
      <w:pPr>
        <w:spacing w:after="20" w:before="0"/>
        <w:ind w:left="560"/>
      </w:pPr>
      <w:r>
        <w:rPr>
          <w:rFonts w:ascii="Arial" w:cs="Arial" w:eastAsia="Arial" w:hAnsi="Arial"/>
          <w:color w:val="1F2937"/>
          <w:sz w:val="18"/>
          <w:szCs w:val="18"/>
        </w:rPr>
        <w:t xml:space="preserve">OIG formally added inpatient neurostimulator claims as a new audit target. CMS requires prior auth for outpatient but not inpatient — leaving inpatient claims vulnerable. Estimated completion FY 2028.</w:t>
      </w:r>
    </w:p>
    <w:p>
      <w:pPr>
        <w:spacing w:after="100" w:before="0"/>
        <w:ind w:left="560"/>
      </w:pPr>
      <w:r>
        <w:rPr>
          <w:rFonts w:ascii="Arial" w:cs="Arial" w:eastAsia="Arial" w:hAnsi="Arial"/>
          <w:color w:val="007A8C"/>
          <w:sz w:val="17"/>
          <w:szCs w:val="17"/>
        </w:rPr>
        <w:t xml:space="preserve">https://oig.hhs.gov/reports/work-plan/browse-work-plan-projects/inpatient-claims-for-neurostimulator-implantation-surgeries</w:t>
      </w:r>
    </w:p>
    <w:p>
      <w:pPr>
        <w:spacing w:after="20" w:before="100"/>
      </w:pPr>
      <w:r>
        <w:rPr>
          <w:rFonts w:ascii="Arial" w:cs="Arial" w:eastAsia="Arial" w:hAnsi="Arial"/>
          <w:b/>
          <w:bCs/>
          <w:color w:val="007A8C"/>
          <w:sz w:val="19"/>
          <w:szCs w:val="19"/>
        </w:rPr>
        <w:t xml:space="preserve">[29]  </w:t>
      </w:r>
      <w:r>
        <w:rPr>
          <w:rFonts w:ascii="Arial" w:cs="Arial" w:eastAsia="Arial" w:hAnsi="Arial"/>
          <w:b/>
          <w:bCs/>
          <w:color w:val="0D1B4B"/>
          <w:sz w:val="19"/>
          <w:szCs w:val="19"/>
        </w:rPr>
        <w:t xml:space="preserve">OIG / DOJ — Lake Charles Physician Agrees to Pay Medicare for Improper Neurostimulator Billing</w:t>
      </w:r>
      <w:r>
        <w:rPr>
          <w:rFonts w:ascii="Arial" w:cs="Arial" w:eastAsia="Arial" w:hAnsi="Arial"/>
          <w:color w:val="4B5563"/>
          <w:sz w:val="18"/>
          <w:szCs w:val="18"/>
        </w:rPr>
        <w:t xml:space="preserve">  —  OIG / DOJ Enforcement, March 6, 2025</w:t>
      </w:r>
    </w:p>
    <w:p>
      <w:pPr>
        <w:spacing w:after="20" w:before="0"/>
        <w:ind w:left="560"/>
      </w:pPr>
      <w:r>
        <w:rPr>
          <w:rFonts w:ascii="Arial" w:cs="Arial" w:eastAsia="Arial" w:hAnsi="Arial"/>
          <w:color w:val="1F2937"/>
          <w:sz w:val="18"/>
          <w:szCs w:val="18"/>
        </w:rPr>
        <w:t xml:space="preserve">$450,000 FCA settlement for billing Medicare for implanted neurostimulators (surgical procedure code) when devices were applied non-surgically in an office setting.</w:t>
      </w:r>
    </w:p>
    <w:p>
      <w:pPr>
        <w:spacing w:after="100" w:before="0"/>
        <w:ind w:left="560"/>
      </w:pPr>
      <w:r>
        <w:rPr>
          <w:rFonts w:ascii="Arial" w:cs="Arial" w:eastAsia="Arial" w:hAnsi="Arial"/>
          <w:color w:val="007A8C"/>
          <w:sz w:val="17"/>
          <w:szCs w:val="17"/>
        </w:rPr>
        <w:t xml:space="preserve">https://oig.hhs.gov/fraud/enforcement/lake-charles-physician-wife-and-clinic-agree-to-pay-medicare</w:t>
      </w:r>
    </w:p>
    <w:p>
      <w:pPr>
        <w:spacing w:after="20" w:before="100"/>
      </w:pPr>
      <w:r>
        <w:rPr>
          <w:rFonts w:ascii="Arial" w:cs="Arial" w:eastAsia="Arial" w:hAnsi="Arial"/>
          <w:b/>
          <w:bCs/>
          <w:color w:val="007A8C"/>
          <w:sz w:val="19"/>
          <w:szCs w:val="19"/>
        </w:rPr>
        <w:t xml:space="preserve">[30]  </w:t>
      </w:r>
      <w:r>
        <w:rPr>
          <w:rFonts w:ascii="Arial" w:cs="Arial" w:eastAsia="Arial" w:hAnsi="Arial"/>
          <w:b/>
          <w:bCs/>
          <w:color w:val="0D1B4B"/>
          <w:sz w:val="19"/>
          <w:szCs w:val="19"/>
        </w:rPr>
        <w:t xml:space="preserve">OIG Report A-07-23-05139 — ED Procedure Codes Billed with Non-ED Sites of Service</w:t>
      </w:r>
      <w:r>
        <w:rPr>
          <w:rFonts w:ascii="Arial" w:cs="Arial" w:eastAsia="Arial" w:hAnsi="Arial"/>
          <w:color w:val="4B5563"/>
          <w:sz w:val="18"/>
          <w:szCs w:val="18"/>
        </w:rPr>
        <w:t xml:space="preserve">  —  OIG, 2026</w:t>
      </w:r>
    </w:p>
    <w:p>
      <w:pPr>
        <w:spacing w:after="20" w:before="0"/>
        <w:ind w:left="560"/>
      </w:pPr>
      <w:r>
        <w:rPr>
          <w:rFonts w:ascii="Arial" w:cs="Arial" w:eastAsia="Arial" w:hAnsi="Arial"/>
          <w:color w:val="1F2937"/>
          <w:sz w:val="18"/>
          <w:szCs w:val="18"/>
        </w:rPr>
        <w:t xml:space="preserve">Medicare improperly paid physicians for 9,749 procedures ($922,524) and potentially improperly paid hospitals $14.2M for ED codes billed at non-ED sites. Automatable via data crosswalk. Tier 5 evidence base.</w:t>
      </w:r>
    </w:p>
    <w:p>
      <w:pPr>
        <w:spacing w:after="100" w:before="0"/>
        <w:ind w:left="560"/>
      </w:pPr>
      <w:r>
        <w:rPr>
          <w:rFonts w:ascii="Arial" w:cs="Arial" w:eastAsia="Arial" w:hAnsi="Arial"/>
          <w:color w:val="007A8C"/>
          <w:sz w:val="17"/>
          <w:szCs w:val="17"/>
        </w:rPr>
        <w:t xml:space="preserve">https://oig.hhs.gov/reports/all/2026/emergency-department-procedure-codes-used-on-medicare-claims-for-services-billed-with-nonemergency-department-sites-of-service</w:t>
      </w:r>
    </w:p>
    <w:p>
      <w:pPr>
        <w:spacing w:after="240" w:before="0"/>
      </w:pPr>
      <w:r>
        <w:t xml:space="preserve"/>
      </w:r>
    </w:p>
    <w:sectPr>
      <w:headerReference w:type="default" r:id="rId7"/>
      <w:footerReference w:type="default" r:id="rId8"/>
      <w:pgSz w:w="12240" w:h="15840" w:orient="portrait"/>
      <w:pgMar w:top="126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spacing w:before="60"/>
    </w:pPr>
    <w:r>
      <w:rPr>
        <w:rFonts w:ascii="Arial" w:cs="Arial" w:eastAsia="Arial" w:hAnsi="Arial"/>
        <w:color w:val="4B5563"/>
        <w:sz w:val="16"/>
        <w:szCs w:val="16"/>
      </w:rPr>
      <w:t xml:space="preserve">CVA Expansion — Diagnosis &amp; Procedure Codes  |  Humana MA  |  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A8C" w:sz="4" w:space="4"/>
      </w:pBdr>
      <w:spacing w:after="60"/>
      <w:jc w:val="right"/>
    </w:pPr>
    <w:r>
      <w:rPr>
        <w:rFonts w:ascii="Arial" w:cs="Arial" w:eastAsia="Arial" w:hAnsi="Arial"/>
        <w:color w:val="4B5563"/>
        <w:sz w:val="15"/>
        <w:szCs w:val="15"/>
      </w:rPr>
      <w:t xml:space="preserve">HUMANA MEDICARE ADVANTAGE  |  CVA EXPANSION PROPOSAL  |  DIAGNOSIS &amp; PROCEDURE CODES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400"/>
      <w:outlineLvl w:val="0"/>
    </w:pPr>
    <w:rPr>
      <w:rFonts w:ascii="Arial" w:cs="Arial" w:eastAsia="Arial" w:hAnsi="Arial"/>
      <w:b/>
      <w:bCs/>
      <w:color w:val="0D1B4B"/>
      <w:sz w:val="36"/>
      <w:szCs w:val="36"/>
    </w:rPr>
  </w:style>
  <w:style w:type="paragraph" w:styleId="Heading2">
    <w:name w:val="Heading 2"/>
    <w:basedOn w:val="Normal"/>
    <w:next w:val="Normal"/>
    <w:qFormat/>
    <w:pPr>
      <w:spacing w:after="60" w:before="280"/>
      <w:outlineLvl w:val="1"/>
    </w:pPr>
    <w:rPr>
      <w:rFonts w:ascii="Arial" w:cs="Arial" w:eastAsia="Arial" w:hAnsi="Arial"/>
      <w:b/>
      <w:bCs/>
      <w:color w:val="007A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2026-05-22T06:02:48.199Z</dcterms:created>
  <dcterms:modified xsi:type="dcterms:W3CDTF">2026-05-22T06:02:48.213Z</dcterms:modified>
</cp:coreProperties>
</file>

<file path=docProps/custom.xml><?xml version="1.0" encoding="utf-8"?>
<Properties xmlns="http://schemas.openxmlformats.org/officeDocument/2006/custom-properties" xmlns:vt="http://schemas.openxmlformats.org/officeDocument/2006/docPropsVTypes"/>
</file>