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Calibri" w:cs="Calibri" w:eastAsia="Calibri" w:hAnsi="Calibri"/>
          <w:b/>
          <w:bCs/>
          <w:color w:val="1F3864"/>
          <w:sz w:val="46"/>
          <w:szCs w:val="46"/>
        </w:rPr>
        <w:t xml:space="preserve">Detecting Population Drift in DRG Claims</w:t>
      </w:r>
    </w:p>
    <w:p>
      <w:pPr>
        <w:spacing w:after="0" w:before="130"/>
        <w:jc w:val="center"/>
      </w:pPr>
      <w:r>
        <w:rPr>
          <w:rFonts w:ascii="Calibri" w:cs="Calibri" w:eastAsia="Calibri" w:hAnsi="Calibri"/>
          <w:color w:val="5A6472"/>
          <w:sz w:val="26"/>
          <w:szCs w:val="26"/>
        </w:rPr>
        <w:t xml:space="preserve">Seven Methods, Explained with Worked Medicare Examples</w:t>
      </w:r>
    </w:p>
    <w:p>
      <w:pPr>
        <w:spacing w:after="0" w:before="520"/>
        <w:jc w:val="center"/>
      </w:pPr>
      <w:r>
        <w:rPr>
          <w:rFonts w:ascii="Calibri" w:cs="Calibri" w:eastAsia="Calibri" w:hAnsi="Calibri"/>
          <w:i/>
          <w:iCs/>
          <w:color w:val="5A6472"/>
          <w:sz w:val="19"/>
          <w:szCs w:val="19"/>
        </w:rPr>
        <w:t xml:space="preserve">Model governance reference for clinical auditors, coding SMEs and data science</w:t>
      </w:r>
    </w:p>
    <w:p>
      <w:pPr>
        <w:spacing w:after="0" w:before="1500"/>
        <w:jc w:val="center"/>
      </w:pPr>
      <w:r>
        <w:rPr>
          <w:rFonts w:ascii="Calibri" w:cs="Calibri" w:eastAsia="Calibri" w:hAnsi="Calibri"/>
          <w:b/>
          <w:bCs/>
          <w:color w:val="2E5AAC"/>
          <w:sz w:val="18"/>
          <w:szCs w:val="18"/>
        </w:rPr>
        <w:t xml:space="preserve">Features covered</w:t>
      </w:r>
    </w:p>
    <w:p>
      <w:pPr>
        <w:spacing w:after="0" w:before="60"/>
        <w:jc w:val="center"/>
      </w:pPr>
      <w:r>
        <w:rPr>
          <w:rFonts w:ascii="Calibri" w:cs="Calibri" w:eastAsia="Calibri" w:hAnsi="Calibri"/>
          <w:color w:val="5A6472"/>
          <w:sz w:val="17"/>
          <w:szCs w:val="17"/>
        </w:rPr>
        <w:t xml:space="preserve">drgcode · Providertaxid · Primary_diag · Procedure_code · Losgm_ratio</w:t>
      </w:r>
    </w:p>
    <w:p>
      <w:pPr>
        <w:spacing w:after="0" w:before="20"/>
        <w:jc w:val="center"/>
      </w:pPr>
      <w:r>
        <w:rPr>
          <w:rFonts w:ascii="Calibri" w:cs="Calibri" w:eastAsia="Calibri" w:hAnsi="Calibri"/>
          <w:color w:val="5A6472"/>
          <w:sz w:val="17"/>
          <w:szCs w:val="17"/>
        </w:rPr>
        <w:t xml:space="preserve">Discharge_status · Mcc_all · Mcc_count · Cc_all · Cc_count</w:t>
      </w:r>
    </w:p>
    <w:p>
      <w:r>
        <w:br w:type="page"/>
      </w:r>
    </w:p>
    <w:p>
      <w:pPr>
        <w:pStyle w:val="Heading1"/>
        <w:spacing w:after="160" w:before="360"/>
      </w:pPr>
      <w:r>
        <w:rPr>
          <w:rFonts w:ascii="Calibri" w:cs="Calibri" w:eastAsia="Calibri" w:hAnsi="Calibri"/>
          <w:b/>
          <w:bCs/>
          <w:color w:val="1F3864"/>
          <w:sz w:val="30"/>
          <w:szCs w:val="30"/>
        </w:rPr>
        <w:t xml:space="preserve">Contents</w:t>
      </w:r>
    </w:p>
    <w:p>
      <w:pPr>
        <w:spacing w:after="100"/>
      </w:pPr>
      <w:r>
        <w:rPr>
          <w:rFonts w:ascii="Calibri" w:cs="Calibri" w:eastAsia="Calibri" w:hAnsi="Calibri"/>
          <w:color w:val="1A1A1A"/>
          <w:sz w:val="20"/>
          <w:szCs w:val="20"/>
        </w:rPr>
        <w:t xml:space="preserve"/>
      </w:r>
    </w:p>
    <w:tbl>
      <w:tblPr>
        <w:tblW w:type="dxa" w:w="9360"/>
        <w:tblBorders>
          <w:top w:val="none"/>
          <w:left w:val="none"/>
          <w:bottom w:val="none"/>
          <w:right w:val="none"/>
          <w:insideH w:val="none"/>
          <w:insideV w:val="none"/>
        </w:tblBorders>
      </w:tblPr>
      <w:tblGrid>
        <w:gridCol w:w="8460"/>
        <w:gridCol w:w="900"/>
      </w:tblGrid>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The running scenario</w:t>
            </w:r>
          </w:p>
          <w:p>
            <w:pPr>
              <w:spacing w:after="0"/>
            </w:pPr>
            <w:r>
              <w:rPr>
                <w:rFonts w:ascii="Calibri" w:cs="Calibri" w:eastAsia="Calibri" w:hAnsi="Calibri"/>
                <w:i/>
                <w:iCs/>
                <w:color w:val="5A6472"/>
                <w:sz w:val="17"/>
                <w:szCs w:val="17"/>
              </w:rPr>
              <w:t xml:space="preserve">The worked setup used by every method, and why per-feature checks miss the key failure</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3</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1 · Classifier Two-Sample Test</w:t>
            </w:r>
          </w:p>
          <w:p>
            <w:pPr>
              <w:spacing w:after="0"/>
            </w:pPr>
            <w:r>
              <w:rPr>
                <w:rFonts w:ascii="Calibri" w:cs="Calibri" w:eastAsia="Calibri" w:hAnsi="Calibri"/>
                <w:i/>
                <w:iCs/>
                <w:color w:val="5A6472"/>
                <w:sz w:val="17"/>
                <w:szCs w:val="17"/>
              </w:rPr>
              <w:t xml:space="preserve">The detective — primary detection metric</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4</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2 · Maximum Mean Discrepancy</w:t>
            </w:r>
          </w:p>
          <w:p>
            <w:pPr>
              <w:spacing w:after="0"/>
            </w:pPr>
            <w:r>
              <w:rPr>
                <w:rFonts w:ascii="Calibri" w:cs="Calibri" w:eastAsia="Calibri" w:hAnsi="Calibri"/>
                <w:i/>
                <w:iCs/>
                <w:color w:val="5A6472"/>
                <w:sz w:val="17"/>
                <w:szCs w:val="17"/>
              </w:rPr>
              <w:t xml:space="preserve">Infinite summary statistics — cross-period comparability</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7</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3 · Energy Distance</w:t>
            </w:r>
          </w:p>
          <w:p>
            <w:pPr>
              <w:spacing w:after="0"/>
            </w:pPr>
            <w:r>
              <w:rPr>
                <w:rFonts w:ascii="Calibri" w:cs="Calibri" w:eastAsia="Calibri" w:hAnsi="Calibri"/>
                <w:i/>
                <w:iCs/>
                <w:color w:val="5A6472"/>
                <w:sz w:val="17"/>
                <w:szCs w:val="17"/>
              </w:rPr>
              <w:t xml:space="preserve">Are cross-month claims farther apart — alternative to MMD</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9</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4 · Wasserstein / Optimal Transport</w:t>
            </w:r>
          </w:p>
          <w:p>
            <w:pPr>
              <w:spacing w:after="0"/>
            </w:pPr>
            <w:r>
              <w:rPr>
                <w:rFonts w:ascii="Calibri" w:cs="Calibri" w:eastAsia="Calibri" w:hAnsi="Calibri"/>
                <w:i/>
                <w:iCs/>
                <w:color w:val="5A6472"/>
                <w:sz w:val="17"/>
                <w:szCs w:val="17"/>
              </w:rPr>
              <w:t xml:space="preserve">How much shovelling — the one you show to executives</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11</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5 · Model-Aware Drift</w:t>
            </w:r>
          </w:p>
          <w:p>
            <w:pPr>
              <w:spacing w:after="0"/>
            </w:pPr>
            <w:r>
              <w:rPr>
                <w:rFonts w:ascii="Calibri" w:cs="Calibri" w:eastAsia="Calibri" w:hAnsi="Calibri"/>
                <w:i/>
                <w:iCs/>
                <w:color w:val="5A6472"/>
                <w:sz w:val="17"/>
                <w:szCs w:val="17"/>
              </w:rPr>
              <w:t xml:space="preserve">Does my model even care — the method most teams skip</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13</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6 · Copula / Dependency Drift</w:t>
            </w:r>
          </w:p>
          <w:p>
            <w:pPr>
              <w:spacing w:after="0"/>
            </w:pPr>
            <w:r>
              <w:rPr>
                <w:rFonts w:ascii="Calibri" w:cs="Calibri" w:eastAsia="Calibri" w:hAnsi="Calibri"/>
                <w:i/>
                <w:iCs/>
                <w:color w:val="5A6472"/>
                <w:sz w:val="17"/>
                <w:szCs w:val="17"/>
              </w:rPr>
              <w:t xml:space="preserve">Did relationships change, not just levels — upcoding detection</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16</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Method 7 · Density Ratio Estimation</w:t>
            </w:r>
          </w:p>
          <w:p>
            <w:pPr>
              <w:spacing w:after="0"/>
            </w:pPr>
            <w:r>
              <w:rPr>
                <w:rFonts w:ascii="Calibri" w:cs="Calibri" w:eastAsia="Calibri" w:hAnsi="Calibri"/>
                <w:i/>
                <w:iCs/>
                <w:color w:val="5A6472"/>
                <w:sz w:val="17"/>
                <w:szCs w:val="17"/>
              </w:rPr>
              <w:t xml:space="preserve">Which specific claims are new — gives a fix, not just a diagnosis</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18</w:t>
            </w:r>
          </w:p>
        </w:tc>
      </w:tr>
      <w:tr>
        <w:trPr>
          <w:cantSplit/>
        </w:trPr>
        <w:tc>
          <w:tcPr>
            <w:tcW w:type="dxa" w:w="8460"/>
            <w:tcBorders>
              <w:top w:val="none"/>
              <w:left w:val="none"/>
              <w:bottom w:val="none"/>
              <w:right w:val="none"/>
            </w:tcBorders>
            <w:tcMar>
              <w:top w:type="dxa" w:w="70"/>
              <w:left w:type="dxa" w:w="0"/>
              <w:bottom w:type="dxa" w:w="70"/>
              <w:right w:type="dxa" w:w="60"/>
            </w:tcMar>
          </w:tcPr>
          <w:p>
            <w:pPr>
              <w:pBdr>
                <w:bottom w:val="dotted" w:color="C2CBD8" w:sz="3"/>
              </w:pBdr>
              <w:spacing w:after="20"/>
            </w:pPr>
            <w:r>
              <w:rPr>
                <w:rFonts w:ascii="Calibri" w:cs="Calibri" w:eastAsia="Calibri" w:hAnsi="Calibri"/>
                <w:b/>
                <w:bCs/>
                <w:color w:val="1F3864"/>
                <w:sz w:val="21"/>
                <w:szCs w:val="21"/>
              </w:rPr>
              <w:t xml:space="preserve">Putting the seven together</w:t>
            </w:r>
          </w:p>
          <w:p>
            <w:pPr>
              <w:spacing w:after="0"/>
            </w:pPr>
            <w:r>
              <w:rPr>
                <w:rFonts w:ascii="Calibri" w:cs="Calibri" w:eastAsia="Calibri" w:hAnsi="Calibri"/>
                <w:i/>
                <w:iCs/>
                <w:color w:val="5A6472"/>
                <w:sz w:val="17"/>
                <w:szCs w:val="17"/>
              </w:rPr>
              <w:t xml:space="preserve">Method selection, monitoring stack, composite index, governance</w:t>
            </w:r>
          </w:p>
        </w:tc>
        <w:tc>
          <w:tcPr>
            <w:tcW w:type="dxa" w:w="900"/>
            <w:tcBorders>
              <w:top w:val="none"/>
              <w:left w:val="none"/>
              <w:bottom w:val="none"/>
              <w:right w:val="none"/>
            </w:tcBorders>
            <w:tcMar>
              <w:top w:type="dxa" w:w="70"/>
              <w:left w:type="dxa" w:w="0"/>
              <w:bottom w:type="dxa" w:w="70"/>
              <w:right w:type="dxa" w:w="0"/>
            </w:tcMar>
            <w:vAlign w:val="top"/>
          </w:tcPr>
          <w:p>
            <w:pPr>
              <w:jc w:val="right"/>
            </w:pPr>
            <w:r>
              <w:rPr>
                <w:rFonts w:ascii="Calibri" w:cs="Calibri" w:eastAsia="Calibri" w:hAnsi="Calibri"/>
                <w:b/>
                <w:bCs/>
                <w:color w:val="1F3864"/>
                <w:sz w:val="21"/>
                <w:szCs w:val="21"/>
              </w:rPr>
              <w:t xml:space="preserve">20</w:t>
            </w:r>
          </w:p>
        </w:tc>
      </w:tr>
    </w:tbl>
    <w:p>
      <w:r>
        <w:br w:type="page"/>
      </w:r>
    </w:p>
    <w:p>
      <w:pPr>
        <w:pStyle w:val="Heading1"/>
        <w:spacing w:after="160" w:before="360"/>
      </w:pPr>
      <w:r>
        <w:rPr>
          <w:rFonts w:ascii="Calibri" w:cs="Calibri" w:eastAsia="Calibri" w:hAnsi="Calibri"/>
          <w:b/>
          <w:bCs/>
          <w:color w:val="1F3864"/>
          <w:sz w:val="30"/>
          <w:szCs w:val="30"/>
        </w:rPr>
        <w:t xml:space="preserve">The running scenario</w:t>
      </w:r>
    </w:p>
    <w:p>
      <w:pPr>
        <w:spacing w:after="120" w:before="0" w:line="276"/>
      </w:pPr>
      <w:r>
        <w:rPr>
          <w:rFonts w:ascii="Calibri" w:cs="Calibri" w:eastAsia="Calibri" w:hAnsi="Calibri"/>
          <w:color w:val="1A1A1A"/>
          <w:sz w:val="20"/>
          <w:szCs w:val="20"/>
        </w:rPr>
        <w:t xml:space="preserve">Every method in this document is explained against the same situation, so the comparisons are like for like.</w:t>
      </w:r>
    </w:p>
    <w:p>
      <w:pPr>
        <w:spacing w:after="6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Setup used throughout</w:t>
            </w:r>
          </w:p>
          <w:p>
            <w:pPr>
              <w:spacing w:after="26" w:line="250"/>
            </w:pPr>
            <w:r>
              <w:rPr>
                <w:rFonts w:ascii="Consolas" w:cs="Consolas" w:eastAsia="Consolas" w:hAnsi="Consolas"/>
                <w:color w:val="33415C"/>
                <w:sz w:val="17"/>
                <w:szCs w:val="17"/>
              </w:rPr>
              <w:t xml:space="preserve">Baseline    12 months of Medicare inpatient claims   ~120,000 rows</w:t>
            </w:r>
          </w:p>
          <w:p>
            <w:pPr>
              <w:spacing w:after="26" w:line="250"/>
            </w:pPr>
            <w:r>
              <w:rPr>
                <w:rFonts w:ascii="Consolas" w:cs="Consolas" w:eastAsia="Consolas" w:hAnsi="Consolas"/>
                <w:color w:val="33415C"/>
                <w:sz w:val="17"/>
                <w:szCs w:val="17"/>
              </w:rPr>
              <w:t xml:space="preserve">Current     the most recent month                    ~10,000 rows</w:t>
            </w:r>
          </w:p>
          <w:p>
            <w:pPr>
              <w:spacing w:after="26" w:line="250"/>
            </w:pPr>
            <w:r>
              <w:rPr>
                <w:rFonts w:ascii="Consolas" w:cs="Consolas" w:eastAsia="Consolas" w:hAnsi="Consolas"/>
                <w:color w:val="33415C"/>
                <w:sz w:val="17"/>
                <w:szCs w:val="17"/>
              </w:rPr>
              <w:t xml:space="preserve">Model       CatBoost binary classifier, outputs P(overpayment)</w:t>
            </w:r>
          </w:p>
          <w:p>
            <w:pPr>
              <w:spacing w:after="26" w:line="250"/>
            </w:pPr>
            <w:r>
              <w:rPr>
                <w:rFonts w:ascii="Consolas" w:cs="Consolas" w:eastAsia="Consolas" w:hAnsi="Consolas"/>
                <w:color w:val="33415C"/>
                <w:sz w:val="17"/>
                <w:szCs w:val="17"/>
              </w:rPr>
              <w:t xml:space="preserve">Threshold   claims scoring above 0.65 are routed to audit</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Features    drgcode, Providertaxid, Primary_diag, Procedure_code,</w:t>
            </w:r>
          </w:p>
          <w:p>
            <w:pPr>
              <w:spacing w:after="26" w:line="250"/>
            </w:pPr>
            <w:r>
              <w:rPr>
                <w:rFonts w:ascii="Consolas" w:cs="Consolas" w:eastAsia="Consolas" w:hAnsi="Consolas"/>
                <w:color w:val="33415C"/>
                <w:sz w:val="17"/>
                <w:szCs w:val="17"/>
              </w:rPr>
              <w:t xml:space="preserve">            Losgm_ratio, Discharge_status, Mcc_all, Mcc_count,</w:t>
            </w:r>
          </w:p>
          <w:p>
            <w:pPr>
              <w:spacing w:after="26" w:line="250"/>
            </w:pPr>
            <w:r>
              <w:rPr>
                <w:rFonts w:ascii="Consolas" w:cs="Consolas" w:eastAsia="Consolas" w:hAnsi="Consolas"/>
                <w:color w:val="33415C"/>
                <w:sz w:val="17"/>
                <w:szCs w:val="17"/>
              </w:rPr>
              <w:t xml:space="preserve">            Cc_all, Cc_count</w:t>
            </w:r>
          </w:p>
        </w:tc>
      </w:tr>
    </w:tbl>
    <w:p>
      <w:pPr>
        <w:spacing w:after="16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The question the business is asking is simple: our hit rate fell from 34% to 26% this month — is the model broken, or was it just a cleaner month? Hit rate alone cannot answer that. These seven methods can.</w:t>
      </w:r>
    </w:p>
    <w:p>
      <w:pPr>
        <w:spacing w:after="8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Why univariate checks are not enough</w:t>
      </w:r>
    </w:p>
    <w:p>
      <w:pPr>
        <w:spacing w:after="120" w:before="0" w:line="276"/>
      </w:pPr>
      <w:r>
        <w:rPr>
          <w:rFonts w:ascii="Calibri" w:cs="Calibri" w:eastAsia="Calibri" w:hAnsi="Calibri"/>
          <w:color w:val="1A1A1A"/>
          <w:sz w:val="20"/>
          <w:szCs w:val="20"/>
        </w:rPr>
        <w:t xml:space="preserve">Most teams monitor drift with a Population Stability Index per feature. That catches level shifts and nothing else. Here is the failure it structurally cannot see.</w:t>
      </w:r>
    </w:p>
    <w:p>
      <w:pPr>
        <w:spacing w:after="60"/>
      </w:pPr>
      <w:r>
        <w:rPr>
          <w:rFonts w:ascii="Calibri" w:cs="Calibri" w:eastAsia="Calibri" w:hAnsi="Calibri"/>
          <w:color w:val="1A1A1A"/>
          <w:sz w:val="20"/>
          <w:szCs w:val="20"/>
        </w:rPr>
        <w:t xml:space="preserve"/>
      </w:r>
    </w:p>
    <w:tbl>
      <w:tblPr>
        <w:tblW w:type="dxa" w:w="9360"/>
        <w:tblBorders>
          <w:top w:val="single" w:color="FEF3F2" w:sz="1"/>
          <w:left w:val="single" w:color="B42318" w:sz="18"/>
          <w:bottom w:val="single" w:color="FEF3F2" w:sz="1"/>
          <w:right w:val="single" w:color="FEF3F2" w:sz="1"/>
          <w:insideH w:val="none"/>
          <w:insideV w:val="none"/>
        </w:tblBorders>
      </w:tblPr>
      <w:tblGrid>
        <w:gridCol w:w="9360"/>
      </w:tblGrid>
      <w:tr>
        <w:trPr>
          <w:cantSplit/>
        </w:trPr>
        <w:tc>
          <w:tcPr>
            <w:tcW w:type="dxa" w:w="9360"/>
            <w:shd w:fill="FEF3F2" w:val="clear"/>
            <w:tcMar>
              <w:top w:type="dxa" w:w="130"/>
              <w:left w:type="dxa" w:w="200"/>
              <w:bottom w:type="dxa" w:w="130"/>
              <w:right w:type="dxa" w:w="200"/>
            </w:tcMar>
          </w:tcPr>
          <w:p>
            <w:pPr>
              <w:spacing w:after="50"/>
            </w:pPr>
            <w:r>
              <w:rPr>
                <w:rFonts w:ascii="Calibri" w:cs="Calibri" w:eastAsia="Calibri" w:hAnsi="Calibri"/>
                <w:b/>
                <w:bCs/>
                <w:color w:val="B42318"/>
                <w:sz w:val="19"/>
                <w:szCs w:val="19"/>
              </w:rPr>
              <w:t xml:space="preserve">The case that slips through every marginal test</w:t>
            </w:r>
          </w:p>
          <w:p>
            <w:pPr>
              <w:spacing w:after="40" w:line="264"/>
            </w:pPr>
            <w:r>
              <w:rPr>
                <w:rFonts w:ascii="Calibri" w:cs="Calibri" w:eastAsia="Calibri" w:hAnsi="Calibri"/>
                <w:color w:val="2A2F3A"/>
                <w:sz w:val="19"/>
                <w:szCs w:val="19"/>
              </w:rPr>
              <w:t xml:space="preserve">In the baseline year, high-severity claims came predominantly from academic medical centres. Community hospitals mostly submitted low-severity claims.</w:t>
            </w:r>
          </w:p>
          <w:p>
            <w:pPr>
              <w:spacing w:after="40" w:line="264"/>
            </w:pPr>
            <w:r>
              <w:rPr>
                <w:rFonts w:ascii="Calibri" w:cs="Calibri" w:eastAsia="Calibri" w:hAnsi="Calibri"/>
                <w:color w:val="2A2F3A"/>
                <w:sz w:val="19"/>
                <w:szCs w:val="19"/>
              </w:rPr>
              <w:t xml:space="preserve">This month, the same volume of high-severity claims arrives — but now from a cluster of community hospitals instead.</w:t>
            </w:r>
          </w:p>
          <w:p>
            <w:pPr>
              <w:spacing w:after="40" w:line="264"/>
            </w:pPr>
            <w:r>
              <w:rPr>
                <w:rFonts w:ascii="Calibri" w:cs="Calibri" w:eastAsia="Calibri" w:hAnsi="Calibri"/>
                <w:color w:val="2A2F3A"/>
                <w:sz w:val="19"/>
                <w:szCs w:val="19"/>
              </w:rPr>
              <w:t xml:space="preserve">Check the marginals: </w:t>
            </w:r>
            <w:r>
              <w:rPr>
                <w:rFonts w:ascii="Calibri" w:cs="Calibri" w:eastAsia="Calibri" w:hAnsi="Calibri"/>
                <w:b/>
                <w:bCs/>
                <w:color w:val="2A2F3A"/>
                <w:sz w:val="19"/>
                <w:szCs w:val="19"/>
              </w:rPr>
              <w:t xml:space="preserve">Mcc_count</w:t>
            </w:r>
            <w:r>
              <w:rPr>
                <w:rFonts w:ascii="Calibri" w:cs="Calibri" w:eastAsia="Calibri" w:hAnsi="Calibri"/>
                <w:color w:val="2A2F3A"/>
                <w:sz w:val="19"/>
                <w:szCs w:val="19"/>
              </w:rPr>
              <w:t xml:space="preserve"> distribution unchanged. </w:t>
            </w:r>
            <w:r>
              <w:rPr>
                <w:rFonts w:ascii="Calibri" w:cs="Calibri" w:eastAsia="Calibri" w:hAnsi="Calibri"/>
                <w:b/>
                <w:bCs/>
                <w:color w:val="2A2F3A"/>
                <w:sz w:val="19"/>
                <w:szCs w:val="19"/>
              </w:rPr>
              <w:t xml:space="preserve">Providertaxid</w:t>
            </w:r>
            <w:r>
              <w:rPr>
                <w:rFonts w:ascii="Calibri" w:cs="Calibri" w:eastAsia="Calibri" w:hAnsi="Calibri"/>
                <w:color w:val="2A2F3A"/>
                <w:sz w:val="19"/>
                <w:szCs w:val="19"/>
              </w:rPr>
              <w:t xml:space="preserve"> distribution unchanged. </w:t>
            </w:r>
            <w:r>
              <w:rPr>
                <w:rFonts w:ascii="Calibri" w:cs="Calibri" w:eastAsia="Calibri" w:hAnsi="Calibri"/>
                <w:b/>
                <w:bCs/>
                <w:color w:val="2A2F3A"/>
                <w:sz w:val="19"/>
                <w:szCs w:val="19"/>
              </w:rPr>
              <w:t xml:space="preserve">drgcode</w:t>
            </w:r>
            <w:r>
              <w:rPr>
                <w:rFonts w:ascii="Calibri" w:cs="Calibri" w:eastAsia="Calibri" w:hAnsi="Calibri"/>
                <w:color w:val="2A2F3A"/>
                <w:sz w:val="19"/>
                <w:szCs w:val="19"/>
              </w:rPr>
              <w:t xml:space="preserve"> mix unchanged. Every univariate PSI reads between 0.01 and 0.03. All green.</w:t>
            </w:r>
          </w:p>
          <w:p>
            <w:pPr>
              <w:spacing w:after="40" w:line="264"/>
            </w:pPr>
            <w:r>
              <w:rPr>
                <w:rFonts w:ascii="Calibri" w:cs="Calibri" w:eastAsia="Calibri" w:hAnsi="Calibri"/>
                <w:color w:val="2A2F3A"/>
                <w:sz w:val="19"/>
                <w:szCs w:val="19"/>
              </w:rPr>
              <w:t xml:space="preserve">Yet the provider-to-severity relationship has completely inverted. The model learned that high MCC counts from an academic centre are usually legitimate, and that rule is now wrong. Nothing fired.</w:t>
            </w:r>
          </w:p>
          <w:p>
            <w:pPr>
              <w:spacing w:after="40" w:line="264"/>
            </w:pPr>
            <w:r>
              <w:rPr>
                <w:rFonts w:ascii="Calibri" w:cs="Calibri" w:eastAsia="Calibri" w:hAnsi="Calibri"/>
                <w:color w:val="2A2F3A"/>
                <w:sz w:val="19"/>
                <w:szCs w:val="19"/>
              </w:rPr>
              <w:t xml:space="preserve">This is also the exact shape that coordinated upcoding within a provider group produces in the data.</w:t>
            </w:r>
          </w:p>
        </w:tc>
      </w:tr>
    </w:tbl>
    <w:p>
      <w:pPr>
        <w:spacing w:after="14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The seven methods below are ordered by how much weight to give them in practice, not by mathematical elegance.</w:t>
      </w:r>
    </w:p>
    <w:p>
      <w:r>
        <w:br w:type="page"/>
      </w:r>
    </w:p>
    <w:p>
      <w:pPr>
        <w:pStyle w:val="Heading1"/>
        <w:spacing w:after="160" w:before="360"/>
      </w:pPr>
      <w:r>
        <w:rPr>
          <w:rFonts w:ascii="Calibri" w:cs="Calibri" w:eastAsia="Calibri" w:hAnsi="Calibri"/>
          <w:b/>
          <w:bCs/>
          <w:color w:val="1F3864"/>
          <w:sz w:val="30"/>
          <w:szCs w:val="30"/>
        </w:rPr>
        <w:t xml:space="preserve">Method 1 · Classifier Two-Sample Test</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the detective</w:t>
      </w:r>
      <w:r>
        <w:rPr>
          <w:rFonts w:ascii="Calibri" w:cs="Calibri" w:eastAsia="Calibri" w:hAnsi="Calibri"/>
          <w:color w:val="5A6472"/>
          <w:sz w:val="20"/>
          <w:szCs w:val="20"/>
        </w:rPr>
        <w:t xml:space="preserve">   ·   Primary detection metric</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Take the baseline claims and this month's claims, pour them into one pile, and stamp each with its origin. Now train a model whose only job is to guess the stamp from the claim's contents alone.</w:t>
      </w:r>
    </w:p>
    <w:p>
      <w:pPr>
        <w:spacing w:after="120" w:before="0" w:line="276"/>
      </w:pPr>
      <w:r>
        <w:rPr>
          <w:rFonts w:ascii="Calibri" w:cs="Calibri" w:eastAsia="Calibri" w:hAnsi="Calibri"/>
          <w:color w:val="1A1A1A"/>
          <w:sz w:val="20"/>
          <w:szCs w:val="20"/>
        </w:rPr>
        <w:t xml:space="preserve">If it cannot beat a coin flip, the two months are the same population. If it identifies them reliably, something real changed. The classifier's accuracy is the drift metric.</w:t>
      </w:r>
    </w:p>
    <w:p>
      <w:pPr>
        <w:spacing w:after="60"/>
      </w:pPr>
      <w:r>
        <w:rPr>
          <w:rFonts w:ascii="Calibri" w:cs="Calibri" w:eastAsia="Calibri" w:hAnsi="Calibri"/>
          <w:color w:val="1A1A1A"/>
          <w:sz w:val="20"/>
          <w:szCs w:val="20"/>
        </w:rPr>
        <w:t xml:space="preserve"/>
      </w:r>
    </w:p>
    <w:tbl>
      <w:tblPr>
        <w:tblW w:type="dxa" w:w="9360"/>
        <w:tblBorders>
          <w:top w:val="single" w:color="EEF4FF" w:sz="1"/>
          <w:left w:val="single" w:color="2E5AAC" w:sz="18"/>
          <w:bottom w:val="single" w:color="EEF4FF" w:sz="1"/>
          <w:right w:val="single" w:color="EEF4FF" w:sz="1"/>
          <w:insideH w:val="none"/>
          <w:insideV w:val="none"/>
        </w:tblBorders>
      </w:tblPr>
      <w:tblGrid>
        <w:gridCol w:w="9360"/>
      </w:tblGrid>
      <w:tr>
        <w:trPr>
          <w:cantSplit/>
        </w:trPr>
        <w:tc>
          <w:tcPr>
            <w:tcW w:type="dxa" w:w="9360"/>
            <w:shd w:fill="EEF4FF" w:val="clear"/>
            <w:tcMar>
              <w:top w:type="dxa" w:w="130"/>
              <w:left w:type="dxa" w:w="200"/>
              <w:bottom w:type="dxa" w:w="130"/>
              <w:right w:type="dxa" w:w="200"/>
            </w:tcMar>
          </w:tcPr>
          <w:p>
            <w:pPr>
              <w:spacing w:after="50"/>
            </w:pPr>
            <w:r>
              <w:rPr>
                <w:rFonts w:ascii="Calibri" w:cs="Calibri" w:eastAsia="Calibri" w:hAnsi="Calibri"/>
                <w:b/>
                <w:bCs/>
                <w:color w:val="2E5AAC"/>
                <w:sz w:val="19"/>
                <w:szCs w:val="19"/>
              </w:rPr>
              <w:t xml:space="preserve">Why this beats a conventional statistical test</w:t>
            </w:r>
          </w:p>
          <w:p>
            <w:pPr>
              <w:spacing w:after="40" w:line="264"/>
            </w:pPr>
            <w:r>
              <w:rPr>
                <w:rFonts w:ascii="Calibri" w:cs="Calibri" w:eastAsia="Calibri" w:hAnsi="Calibri"/>
                <w:color w:val="2A2F3A"/>
                <w:sz w:val="19"/>
                <w:szCs w:val="19"/>
              </w:rPr>
              <w:t xml:space="preserve">A t-test asks whether the mean of Losgm_ratio changed — you had to know in advance to ask about that field, and about means. The detective looks for whatever separates the periods, including combinations no one thought to test.</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w:t>
      </w:r>
    </w:p>
    <w:p>
      <w:pPr>
        <w:spacing w:after="120" w:before="0" w:line="276"/>
      </w:pPr>
      <w:r>
        <w:rPr>
          <w:rFonts w:ascii="Calibri" w:cs="Calibri" w:eastAsia="Calibri" w:hAnsi="Calibri"/>
          <w:color w:val="1A1A1A"/>
          <w:sz w:val="20"/>
          <w:szCs w:val="20"/>
        </w:rPr>
        <w:t xml:space="preserve">Suppose a large hospital system was acquired in month 11 and consolidated its billing under a single tax ID. The detective examines a claim:</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A single claim, as the detective sees it</w:t>
            </w:r>
          </w:p>
          <w:p>
            <w:pPr>
              <w:spacing w:after="26" w:line="250"/>
            </w:pPr>
            <w:r>
              <w:rPr>
                <w:rFonts w:ascii="Consolas" w:cs="Consolas" w:eastAsia="Consolas" w:hAnsi="Consolas"/>
                <w:color w:val="33415C"/>
                <w:sz w:val="17"/>
                <w:szCs w:val="17"/>
              </w:rPr>
              <w:t xml:space="preserve">drgcode           871</w:t>
            </w:r>
          </w:p>
          <w:p>
            <w:pPr>
              <w:spacing w:after="26" w:line="250"/>
            </w:pPr>
            <w:r>
              <w:rPr>
                <w:rFonts w:ascii="Consolas" w:cs="Consolas" w:eastAsia="Consolas" w:hAnsi="Consolas"/>
                <w:color w:val="33415C"/>
                <w:sz w:val="17"/>
                <w:szCs w:val="17"/>
              </w:rPr>
              <w:t xml:space="preserve">Providertaxid     87-xxx4421</w:t>
            </w:r>
          </w:p>
          <w:p>
            <w:pPr>
              <w:spacing w:after="26" w:line="250"/>
            </w:pPr>
            <w:r>
              <w:rPr>
                <w:rFonts w:ascii="Consolas" w:cs="Consolas" w:eastAsia="Consolas" w:hAnsi="Consolas"/>
                <w:color w:val="33415C"/>
                <w:sz w:val="17"/>
                <w:szCs w:val="17"/>
              </w:rPr>
              <w:t xml:space="preserve">Primary_diag      A41.9</w:t>
            </w:r>
          </w:p>
          <w:p>
            <w:pPr>
              <w:spacing w:after="26" w:line="250"/>
            </w:pPr>
            <w:r>
              <w:rPr>
                <w:rFonts w:ascii="Consolas" w:cs="Consolas" w:eastAsia="Consolas" w:hAnsi="Consolas"/>
                <w:color w:val="33415C"/>
                <w:sz w:val="17"/>
                <w:szCs w:val="17"/>
              </w:rPr>
              <w:t xml:space="preserve">Losgm_ratio       1.40</w:t>
            </w:r>
          </w:p>
          <w:p>
            <w:pPr>
              <w:spacing w:after="26" w:line="250"/>
            </w:pPr>
            <w:r>
              <w:rPr>
                <w:rFonts w:ascii="Consolas" w:cs="Consolas" w:eastAsia="Consolas" w:hAnsi="Consolas"/>
                <w:color w:val="33415C"/>
                <w:sz w:val="17"/>
                <w:szCs w:val="17"/>
              </w:rPr>
              <w:t xml:space="preserve">Mcc_count         4</w:t>
            </w:r>
          </w:p>
          <w:p>
            <w:pPr>
              <w:spacing w:after="26" w:line="250"/>
            </w:pPr>
            <w:r>
              <w:rPr>
                <w:rFonts w:ascii="Consolas" w:cs="Consolas" w:eastAsia="Consolas" w:hAnsi="Consolas"/>
                <w:color w:val="33415C"/>
                <w:sz w:val="17"/>
                <w:szCs w:val="17"/>
              </w:rPr>
              <w:t xml:space="preserve">Discharge_status  01  (routine home)</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detective output: 82% confident this is the CURRENT month</w:t>
            </w:r>
          </w:p>
        </w:tc>
      </w:tr>
    </w:tbl>
    <w:p>
      <w:pPr>
        <w:spacing w:after="12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Across thousands of claims it learns a rule of roughly this shape:</w:t>
      </w:r>
    </w:p>
    <w:p>
      <w:pPr>
        <w:spacing w:after="50"/>
      </w:pPr>
      <w:r>
        <w:rPr>
          <w:rFonts w:ascii="Calibri" w:cs="Calibri" w:eastAsia="Calibri" w:hAnsi="Calibri"/>
          <w:color w:val="1A1A1A"/>
          <w:sz w:val="20"/>
          <w:szCs w:val="20"/>
        </w:rPr>
        <w:t xml:space="preserve"/>
      </w:r>
    </w:p>
    <w:tbl>
      <w:tblPr>
        <w:tblW w:type="dxa" w:w="9360"/>
        <w:tblBorders>
          <w:top w:val="single" w:color="F2F5F9" w:sz="1"/>
          <w:left w:val="single" w:color="1F3864" w:sz="18"/>
          <w:bottom w:val="single" w:color="F2F5F9" w:sz="1"/>
          <w:right w:val="single" w:color="F2F5F9" w:sz="1"/>
          <w:insideH w:val="none"/>
          <w:insideV w:val="none"/>
        </w:tblBorders>
      </w:tblPr>
      <w:tblGrid>
        <w:gridCol w:w="9360"/>
      </w:tblGrid>
      <w:tr>
        <w:trPr>
          <w:cantSplit/>
        </w:trPr>
        <w:tc>
          <w:tcPr>
            <w:tcW w:type="dxa" w:w="9360"/>
            <w:shd w:fill="F2F5F9" w:val="clear"/>
            <w:tcMar>
              <w:top w:type="dxa" w:w="130"/>
              <w:left w:type="dxa" w:w="200"/>
              <w:bottom w:type="dxa" w:w="130"/>
              <w:right w:type="dxa" w:w="200"/>
            </w:tcMar>
          </w:tcPr>
          <w:p>
            <w:pPr>
              <w:spacing w:after="50"/>
            </w:pPr>
            <w:r>
              <w:rPr>
                <w:rFonts w:ascii="Calibri" w:cs="Calibri" w:eastAsia="Calibri" w:hAnsi="Calibri"/>
                <w:b/>
                <w:bCs/>
                <w:color w:val="1F3864"/>
                <w:sz w:val="19"/>
                <w:szCs w:val="19"/>
              </w:rPr>
              <w:t xml:space="preserve">The learned rule</w:t>
            </w:r>
          </w:p>
          <w:p>
            <w:pPr>
              <w:spacing w:after="40" w:line="264"/>
            </w:pPr>
            <w:r>
              <w:rPr>
                <w:rFonts w:ascii="Calibri" w:cs="Calibri" w:eastAsia="Calibri" w:hAnsi="Calibri"/>
                <w:color w:val="2A2F3A"/>
                <w:sz w:val="19"/>
                <w:szCs w:val="19"/>
              </w:rPr>
              <w:t xml:space="preserve">If Providertaxid is 87-xxx4421 AND drgcode falls in the 870–872 sepsis family AND Mcc_count is 3 or more, then the claim is almost certainly from the current month.</w:t>
            </w:r>
          </w:p>
        </w:tc>
      </w:tr>
    </w:tbl>
    <w:p>
      <w:pPr>
        <w:spacing w:after="14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Note that no single field gives this away. It is the combination that is predictive, which is precisely what a per-feature test cannot detect.</w:t>
      </w:r>
    </w:p>
    <w:p>
      <w:pPr>
        <w:spacing w:after="10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Metric</w:t>
            </w:r>
          </w:p>
        </w:tc>
        <w:tc>
          <w:tcPr>
            <w:tcW w:type="dxa" w:w="17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Value</w:t>
            </w:r>
          </w:p>
        </w:tc>
        <w:tc>
          <w:tcPr>
            <w:tcW w:type="dxa" w:w="47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r>
      <w:tr>
        <w:trPr>
          <w:cantSplit/>
        </w:trPr>
        <w:tc>
          <w:tcPr>
            <w:tcW w:type="dxa" w:w="2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Cross-validated AUC</w:t>
            </w:r>
          </w:p>
        </w:tc>
        <w:tc>
          <w:tcPr>
            <w:tcW w:type="dxa" w:w="1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A1A1A"/>
                <w:sz w:val="18"/>
                <w:szCs w:val="18"/>
              </w:rPr>
              <w:t xml:space="preserve">0.79</w:t>
            </w:r>
          </w:p>
        </w:tc>
        <w:tc>
          <w:tcPr>
            <w:tcW w:type="dxa" w:w="47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A1A1A"/>
                <w:sz w:val="18"/>
                <w:szCs w:val="18"/>
              </w:rPr>
              <w:t xml:space="preserve">Detective identifies the period reliably</w:t>
            </w:r>
          </w:p>
        </w:tc>
      </w:tr>
      <w:tr>
        <w:trPr>
          <w:cantSplit/>
        </w:trPr>
        <w:tc>
          <w:tcPr>
            <w:tcW w:type="dxa" w:w="2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Drift Score = 2 × (AUC − 0.5)</w:t>
            </w:r>
          </w:p>
        </w:tc>
        <w:tc>
          <w:tcPr>
            <w:tcW w:type="dxa" w:w="1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A1A1A"/>
                <w:sz w:val="18"/>
                <w:szCs w:val="18"/>
              </w:rPr>
              <w:t xml:space="preserve">0.58</w:t>
            </w:r>
          </w:p>
        </w:tc>
        <w:tc>
          <w:tcPr>
            <w:tcW w:type="dxa" w:w="47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A1A1A"/>
                <w:sz w:val="18"/>
                <w:szCs w:val="18"/>
              </w:rPr>
              <w:t xml:space="preserve">Material shift</w:t>
            </w:r>
          </w:p>
        </w:tc>
      </w:tr>
      <w:tr>
        <w:trPr>
          <w:cantSplit/>
        </w:trPr>
        <w:tc>
          <w:tcPr>
            <w:tcW w:type="dxa" w:w="2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bCs/>
                <w:color w:val="1A1A1A"/>
                <w:sz w:val="18"/>
                <w:szCs w:val="18"/>
              </w:rPr>
              <w:t xml:space="preserve">Permutation p-value</w:t>
            </w:r>
          </w:p>
        </w:tc>
        <w:tc>
          <w:tcPr>
            <w:tcW w:type="dxa" w:w="1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val="false"/>
                <w:bCs w:val="false"/>
                <w:color w:val="1A1A1A"/>
                <w:sz w:val="18"/>
                <w:szCs w:val="18"/>
              </w:rPr>
              <w:t xml:space="preserve">&lt; 0.01</w:t>
            </w:r>
          </w:p>
        </w:tc>
        <w:tc>
          <w:tcPr>
            <w:tcW w:type="dxa" w:w="47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val="false"/>
                <w:bCs w:val="false"/>
                <w:color w:val="1A1A1A"/>
                <w:sz w:val="18"/>
                <w:szCs w:val="18"/>
              </w:rPr>
              <w:t xml:space="preserve">Not attributable to chance</w:t>
            </w:r>
          </w:p>
        </w:tc>
      </w:tr>
    </w:tbl>
    <w:p>
      <w:pPr>
        <w:spacing w:after="140"/>
      </w:pPr>
      <w:r>
        <w:rPr>
          <w:rFonts w:ascii="Calibri" w:cs="Calibri" w:eastAsia="Calibri" w:hAnsi="Calibri"/>
          <w:color w:val="1A1A1A"/>
          <w:sz w:val="20"/>
          <w:szCs w:val="20"/>
        </w:rPr>
        <w:t xml:space="preserve"/>
      </w:r>
    </w:p>
    <w:p>
      <w:pPr>
        <w:pStyle w:val="Heading3"/>
        <w:keepNext/>
        <w:spacing w:after="80" w:before="180"/>
      </w:pPr>
      <w:r>
        <w:rPr>
          <w:rFonts w:ascii="Calibri" w:cs="Calibri" w:eastAsia="Calibri" w:hAnsi="Calibri"/>
          <w:b/>
          <w:bCs/>
          <w:color w:val="33415C"/>
          <w:sz w:val="21"/>
          <w:szCs w:val="21"/>
        </w:rPr>
        <w:t xml:space="preserve">Interpretation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AUC range</w:t>
            </w:r>
          </w:p>
        </w:tc>
        <w:tc>
          <w:tcPr>
            <w:tcW w:type="dxa" w:w="34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c>
          <w:tcPr>
            <w:tcW w:type="dxa" w:w="39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Action</w:t>
            </w:r>
          </w:p>
        </w:tc>
      </w:tr>
      <w:tr>
        <w:trPr>
          <w:cantSplit/>
        </w:trPr>
        <w:tc>
          <w:tcPr>
            <w:tcW w:type="dxa" w:w="20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5803D"/>
                <w:sz w:val="18"/>
                <w:szCs w:val="18"/>
              </w:rPr>
              <w:t xml:space="preserve">0.50 – 0.55</w:t>
            </w:r>
          </w:p>
        </w:tc>
        <w:tc>
          <w:tcPr>
            <w:tcW w:type="dxa" w:w="3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Indistinguishable</w:t>
            </w:r>
          </w:p>
        </w:tc>
        <w:tc>
          <w:tcPr>
            <w:tcW w:type="dxa" w:w="39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None — populations match</w:t>
            </w:r>
          </w:p>
        </w:tc>
      </w:tr>
      <w:tr>
        <w:trPr>
          <w:cantSplit/>
        </w:trPr>
        <w:tc>
          <w:tcPr>
            <w:tcW w:type="dxa" w:w="20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5309"/>
                <w:sz w:val="18"/>
                <w:szCs w:val="18"/>
              </w:rPr>
              <w:t xml:space="preserve">0.55 – 0.65</w:t>
            </w:r>
          </w:p>
        </w:tc>
        <w:tc>
          <w:tcPr>
            <w:tcW w:type="dxa" w:w="3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Mild shift</w:t>
            </w:r>
          </w:p>
        </w:tc>
        <w:tc>
          <w:tcPr>
            <w:tcW w:type="dxa" w:w="39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Monitor, log the value</w:t>
            </w:r>
          </w:p>
        </w:tc>
      </w:tr>
      <w:tr>
        <w:trPr>
          <w:cantSplit/>
        </w:trPr>
        <w:tc>
          <w:tcPr>
            <w:tcW w:type="dxa" w:w="20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0.65 – 0.75</w:t>
            </w:r>
          </w:p>
        </w:tc>
        <w:tc>
          <w:tcPr>
            <w:tcW w:type="dxa" w:w="3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Material shift</w:t>
            </w:r>
          </w:p>
        </w:tc>
        <w:tc>
          <w:tcPr>
            <w:tcW w:type="dxa" w:w="39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Investigate attribution</w:t>
            </w:r>
          </w:p>
        </w:tc>
      </w:tr>
      <w:tr>
        <w:trPr>
          <w:cantSplit/>
        </w:trPr>
        <w:tc>
          <w:tcPr>
            <w:tcW w:type="dxa" w:w="20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B42318"/>
                <w:sz w:val="18"/>
                <w:szCs w:val="18"/>
              </w:rPr>
              <w:t xml:space="preserve">above 0.75</w:t>
            </w:r>
          </w:p>
        </w:tc>
        <w:tc>
          <w:tcPr>
            <w:tcW w:type="dxa" w:w="3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Substantially different populations</w:t>
            </w:r>
          </w:p>
        </w:tc>
        <w:tc>
          <w:tcPr>
            <w:tcW w:type="dxa" w:w="39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Recalibrate or retrain</w:t>
            </w:r>
          </w:p>
        </w:tc>
      </w:tr>
    </w:tbl>
    <w:p>
      <w:pPr>
        <w:spacing w:after="1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attribution step — where the real value sits</w:t>
      </w:r>
    </w:p>
    <w:p>
      <w:pPr>
        <w:spacing w:after="120" w:before="0" w:line="276"/>
      </w:pPr>
      <w:r>
        <w:rPr>
          <w:rFonts w:ascii="Calibri" w:cs="Calibri" w:eastAsia="Calibri" w:hAnsi="Calibri"/>
          <w:color w:val="1A1A1A"/>
          <w:sz w:val="20"/>
          <w:szCs w:val="20"/>
        </w:rPr>
        <w:t xml:space="preserve">Once the detective is trained, run SHAP on the detective itself. That produces a ranked list of which features drove the separation.</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Feature</w:t>
            </w:r>
          </w:p>
        </w:tc>
        <w:tc>
          <w:tcPr>
            <w:tcW w:type="dxa" w:w="19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Contribution</w:t>
            </w:r>
          </w:p>
        </w:tc>
        <w:tc>
          <w:tcPr>
            <w:tcW w:type="dxa" w:w="48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What it means</w:t>
            </w:r>
          </w:p>
        </w:tc>
      </w:tr>
      <w:tr>
        <w:trPr>
          <w:cantSplit/>
        </w:trPr>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Providertaxid</w:t>
            </w:r>
          </w:p>
        </w:tc>
        <w:tc>
          <w:tcPr>
            <w:tcW w:type="dxa" w:w="1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0.31</w:t>
            </w:r>
          </w:p>
        </w:tc>
        <w:tc>
          <w:tcPr>
            <w:tcW w:type="dxa" w:w="48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Provider mix is the dominant change</w:t>
            </w:r>
          </w:p>
        </w:tc>
      </w:tr>
      <w:tr>
        <w:trPr>
          <w:cantSplit/>
        </w:trPr>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Losgm_ratio</w:t>
            </w:r>
          </w:p>
        </w:tc>
        <w:tc>
          <w:tcPr>
            <w:tcW w:type="dxa" w:w="1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0.18</w:t>
            </w:r>
          </w:p>
        </w:tc>
        <w:tc>
          <w:tcPr>
            <w:tcW w:type="dxa" w:w="48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Stays are running longer than baseline</w:t>
            </w:r>
          </w:p>
        </w:tc>
      </w:tr>
      <w:tr>
        <w:trPr>
          <w:cantSplit/>
        </w:trPr>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drgcode</w:t>
            </w:r>
          </w:p>
        </w:tc>
        <w:tc>
          <w:tcPr>
            <w:tcW w:type="dxa" w:w="1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5309"/>
                <w:sz w:val="18"/>
                <w:szCs w:val="18"/>
              </w:rPr>
              <w:t xml:space="preserve">0.14</w:t>
            </w:r>
          </w:p>
        </w:tc>
        <w:tc>
          <w:tcPr>
            <w:tcW w:type="dxa" w:w="48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DRG mix shifted toward sepsis family</w:t>
            </w:r>
          </w:p>
        </w:tc>
      </w:tr>
      <w:tr>
        <w:trPr>
          <w:cantSplit/>
        </w:trPr>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Mcc_count</w:t>
            </w:r>
          </w:p>
        </w:tc>
        <w:tc>
          <w:tcPr>
            <w:tcW w:type="dxa" w:w="1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5309"/>
                <w:sz w:val="18"/>
                <w:szCs w:val="18"/>
              </w:rPr>
              <w:t xml:space="preserve">0.09</w:t>
            </w:r>
          </w:p>
        </w:tc>
        <w:tc>
          <w:tcPr>
            <w:tcW w:type="dxa" w:w="48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Severity coding slightly heavier</w:t>
            </w:r>
          </w:p>
        </w:tc>
      </w:tr>
      <w:tr>
        <w:trPr>
          <w:cantSplit/>
        </w:trPr>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all remaining features</w:t>
            </w:r>
          </w:p>
        </w:tc>
        <w:tc>
          <w:tcPr>
            <w:tcW w:type="dxa" w:w="1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&lt; 0.05 each</w:t>
            </w:r>
          </w:p>
        </w:tc>
        <w:tc>
          <w:tcPr>
            <w:tcW w:type="dxa" w:w="48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Not materially involved</w:t>
            </w:r>
          </w:p>
        </w:tc>
      </w:tr>
    </w:tbl>
    <w:p>
      <w:pPr>
        <w:spacing w:after="140"/>
      </w:pPr>
      <w:r>
        <w:rPr>
          <w:rFonts w:ascii="Calibri" w:cs="Calibri" w:eastAsia="Calibri" w:hAnsi="Calibri"/>
          <w:color w:val="1A1A1A"/>
          <w:sz w:val="20"/>
          <w:szCs w:val="20"/>
        </w:rPr>
        <w:t xml:space="preserve"/>
      </w:r>
    </w:p>
    <w:tbl>
      <w:tblPr>
        <w:tblW w:type="dxa" w:w="9360"/>
        <w:tblBorders>
          <w:top w:val="single" w:color="F0FDF4" w:sz="1"/>
          <w:left w:val="single" w:color="15803D" w:sz="18"/>
          <w:bottom w:val="single" w:color="F0FDF4" w:sz="1"/>
          <w:right w:val="single" w:color="F0FDF4" w:sz="1"/>
          <w:insideH w:val="none"/>
          <w:insideV w:val="none"/>
        </w:tblBorders>
      </w:tblPr>
      <w:tblGrid>
        <w:gridCol w:w="9360"/>
      </w:tblGrid>
      <w:tr>
        <w:trPr>
          <w:cantSplit/>
        </w:trPr>
        <w:tc>
          <w:tcPr>
            <w:tcW w:type="dxa" w:w="9360"/>
            <w:shd w:fill="F0FDF4" w:val="clear"/>
            <w:tcMar>
              <w:top w:type="dxa" w:w="130"/>
              <w:left w:type="dxa" w:w="200"/>
              <w:bottom w:type="dxa" w:w="130"/>
              <w:right w:type="dxa" w:w="200"/>
            </w:tcMar>
          </w:tcPr>
          <w:p>
            <w:pPr>
              <w:spacing w:after="50"/>
            </w:pPr>
            <w:r>
              <w:rPr>
                <w:rFonts w:ascii="Calibri" w:cs="Calibri" w:eastAsia="Calibri" w:hAnsi="Calibri"/>
                <w:b/>
                <w:bCs/>
                <w:color w:val="15803D"/>
                <w:sz w:val="19"/>
                <w:szCs w:val="19"/>
              </w:rPr>
              <w:t xml:space="preserve">What you can now say in a governance meeting</w:t>
            </w:r>
          </w:p>
          <w:p>
            <w:pPr>
              <w:spacing w:after="40" w:line="264"/>
            </w:pPr>
            <w:r>
              <w:rPr>
                <w:rFonts w:ascii="Calibri" w:cs="Calibri" w:eastAsia="Calibri" w:hAnsi="Calibri"/>
                <w:color w:val="2A2F3A"/>
                <w:sz w:val="19"/>
                <w:szCs w:val="19"/>
              </w:rPr>
              <w:t xml:space="preserve">This month differs from the baseline mainly because of provider mix and length of stay, concentrated in the sepsis DRG family. That is an actionable statement. A p-value is not.</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trap to avoid</w:t>
      </w:r>
    </w:p>
    <w:p>
      <w:pPr>
        <w:spacing w:after="120" w:before="0" w:line="276"/>
      </w:pPr>
      <w:r>
        <w:rPr>
          <w:rFonts w:ascii="Calibri" w:cs="Calibri" w:eastAsia="Calibri" w:hAnsi="Calibri"/>
          <w:color w:val="1A1A1A"/>
          <w:sz w:val="20"/>
          <w:szCs w:val="20"/>
        </w:rPr>
        <w:t xml:space="preserve">If the data contains a date field, a load timestamp, or sequential claim IDs, the detective will cheat. It reads the date, returns an AUC of 1.00, and tells you nothing. Strip anything that trivially encodes time before running this.</w:t>
      </w:r>
    </w:p>
    <w:p>
      <w:pPr>
        <w:spacing w:after="60"/>
      </w:pPr>
      <w:r>
        <w:rPr>
          <w:rFonts w:ascii="Calibri" w:cs="Calibri" w:eastAsia="Calibri" w:hAnsi="Calibri"/>
          <w:color w:val="1A1A1A"/>
          <w:sz w:val="20"/>
          <w:szCs w:val="20"/>
        </w:rPr>
        <w:t xml:space="preserve"/>
      </w:r>
    </w:p>
    <w:p>
      <w:pPr>
        <w:pStyle w:val="ListParagraph"/>
        <w:numPr>
          <w:ilvl w:val="0"/>
          <w:numId w:val="2"/>
        </w:numPr>
        <w:spacing w:after="70" w:line="264"/>
      </w:pPr>
      <w:r>
        <w:rPr>
          <w:rFonts w:ascii="Calibri" w:cs="Calibri" w:eastAsia="Calibri" w:hAnsi="Calibri"/>
          <w:color w:val="1A1A1A"/>
          <w:sz w:val="20"/>
          <w:szCs w:val="20"/>
        </w:rPr>
        <w:t xml:space="preserve">Drop: admission date, paid date, load month, claim number, row index, batch ID.</w:t>
      </w:r>
    </w:p>
    <w:p>
      <w:pPr>
        <w:pStyle w:val="ListParagraph"/>
        <w:numPr>
          <w:ilvl w:val="0"/>
          <w:numId w:val="2"/>
        </w:numPr>
        <w:spacing w:after="70" w:line="264"/>
      </w:pPr>
      <w:r>
        <w:rPr>
          <w:rFonts w:ascii="Calibri" w:cs="Calibri" w:eastAsia="Calibri" w:hAnsi="Calibri"/>
          <w:color w:val="1A1A1A"/>
          <w:sz w:val="20"/>
          <w:szCs w:val="20"/>
        </w:rPr>
        <w:t xml:space="preserve">Keep: everything that describes the clinical or billing content of the claim.</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Catches interaction and dependency shifts no marginal test sees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Sensitive to leakage from nuisance or identifier fields</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Handles mixed types natively — codes alongside continuous ratios</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AUC is not a distance; 0.70 is not 'twice' 0.60</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SHAP attribution gives you the 'why' for free</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Needs roughly 2,000+ claims per period to be stable</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Reuses SHAP tooling you already have in place</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Model choice has some influence on the result</w:t>
            </w:r>
          </w:p>
        </w:tc>
      </w:tr>
    </w:tbl>
    <w:p>
      <w:r>
        <w:br w:type="page"/>
      </w:r>
    </w:p>
    <w:p>
      <w:pPr>
        <w:pStyle w:val="Heading1"/>
        <w:spacing w:after="160" w:before="360"/>
      </w:pPr>
      <w:r>
        <w:rPr>
          <w:rFonts w:ascii="Calibri" w:cs="Calibri" w:eastAsia="Calibri" w:hAnsi="Calibri"/>
          <w:b/>
          <w:bCs/>
          <w:color w:val="1F3864"/>
          <w:sz w:val="30"/>
          <w:szCs w:val="30"/>
        </w:rPr>
        <w:t xml:space="preserve">Method 2 · Maximum Mean Discrepancy</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infinite summary statistics</w:t>
      </w:r>
      <w:r>
        <w:rPr>
          <w:rFonts w:ascii="Calibri" w:cs="Calibri" w:eastAsia="Calibri" w:hAnsi="Calibri"/>
          <w:color w:val="5A6472"/>
          <w:sz w:val="20"/>
          <w:szCs w:val="20"/>
        </w:rPr>
        <w:t xml:space="preserve">   ·   Cross-period comparability metric</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You could summarise a month of claims with a handful of numbers: mean Losgm_ratio, mean Mcc_count, share of claims discharged home. Two months matching on those three could still be entirely different populations.</w:t>
      </w:r>
    </w:p>
    <w:p>
      <w:pPr>
        <w:spacing w:after="120" w:before="0" w:line="276"/>
      </w:pPr>
      <w:r>
        <w:rPr>
          <w:rFonts w:ascii="Calibri" w:cs="Calibri" w:eastAsia="Calibri" w:hAnsi="Calibri"/>
          <w:color w:val="1A1A1A"/>
          <w:sz w:val="20"/>
          <w:szCs w:val="20"/>
        </w:rPr>
        <w:t xml:space="preserve">So you get greedier. Add mean Losgm_ratio squared. Add mean of Mcc_count times Cc_count. Add the share of claims where drgcode is 871 and Losgm_ratio exceeds 1.3. Keep going.</w:t>
      </w:r>
    </w:p>
    <w:p>
      <w:pPr>
        <w:spacing w:after="120" w:before="0" w:line="276"/>
      </w:pPr>
      <w:r>
        <w:rPr>
          <w:rFonts w:ascii="Calibri" w:cs="Calibri" w:eastAsia="Calibri" w:hAnsi="Calibri"/>
          <w:color w:val="1A1A1A"/>
          <w:sz w:val="20"/>
          <w:szCs w:val="20"/>
        </w:rPr>
        <w:t xml:space="preserve">MMD is the limit of that idea. A kernel computes infinitely many such summaries at once, then measures the total gap between the two months. If two distributions match on infinitely many summaries, they are the same distribution — that is the theoretical guarantee.</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w:t>
      </w:r>
    </w:p>
    <w:p>
      <w:pPr>
        <w:spacing w:after="120" w:before="0" w:line="276"/>
      </w:pPr>
      <w:r>
        <w:rPr>
          <w:rFonts w:ascii="Calibri" w:cs="Calibri" w:eastAsia="Calibri" w:hAnsi="Calibri"/>
          <w:color w:val="1A1A1A"/>
          <w:sz w:val="20"/>
          <w:szCs w:val="20"/>
        </w:rPr>
        <w:t xml:space="preserve">Baseline and current both show a mean Losgm_ratio of 1.08. On that summary alone they look identical.</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But the shapes differ</w:t>
            </w:r>
          </w:p>
          <w:p>
            <w:pPr>
              <w:spacing w:after="26" w:line="250"/>
            </w:pPr>
            <w:r>
              <w:rPr>
                <w:rFonts w:ascii="Consolas" w:cs="Consolas" w:eastAsia="Consolas" w:hAnsi="Consolas"/>
                <w:color w:val="33415C"/>
                <w:sz w:val="17"/>
                <w:szCs w:val="17"/>
              </w:rPr>
              <w:t xml:space="preserve">Baseline    tight cluster around 1.0, thin right tail</w:t>
            </w:r>
          </w:p>
          <w:p>
            <w:pPr>
              <w:spacing w:after="26" w:line="250"/>
            </w:pPr>
            <w:r>
              <w:rPr>
                <w:rFonts w:ascii="Consolas" w:cs="Consolas" w:eastAsia="Consolas" w:hAnsi="Consolas"/>
                <w:color w:val="33415C"/>
                <w:sz w:val="17"/>
                <w:szCs w:val="17"/>
              </w:rPr>
              <w:t xml:space="preserve">Current     bimodal — one bulge near 0.8, a second near 1.5</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Mean            1.08  vs  1.08     identical</w:t>
            </w:r>
          </w:p>
          <w:p>
            <w:pPr>
              <w:spacing w:after="26" w:line="250"/>
            </w:pPr>
            <w:r>
              <w:rPr>
                <w:rFonts w:ascii="Consolas" w:cs="Consolas" w:eastAsia="Consolas" w:hAnsi="Consolas"/>
                <w:color w:val="33415C"/>
                <w:sz w:val="17"/>
                <w:szCs w:val="17"/>
              </w:rPr>
              <w:t xml:space="preserve">Variance        0.09  vs  0.24     very different</w:t>
            </w:r>
          </w:p>
          <w:p>
            <w:pPr>
              <w:spacing w:after="26" w:line="250"/>
            </w:pPr>
            <w:r>
              <w:rPr>
                <w:rFonts w:ascii="Consolas" w:cs="Consolas" w:eastAsia="Consolas" w:hAnsi="Consolas"/>
                <w:color w:val="33415C"/>
                <w:sz w:val="17"/>
                <w:szCs w:val="17"/>
              </w:rPr>
              <w:t xml:space="preserve">Skew            0.31  vs  0.04     very different</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MMD²  = 0.041      permutation p &lt; 0.001</w:t>
            </w:r>
          </w:p>
        </w:tc>
      </w:tr>
    </w:tbl>
    <w:p>
      <w:pPr>
        <w:spacing w:after="14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The higher-order summaries catch this immediately. A comparison of means would have passed it.</w:t>
      </w:r>
    </w:p>
    <w:p>
      <w:pPr>
        <w:spacing w:after="10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Where it earns its place — the trendline</w:t>
      </w:r>
    </w:p>
    <w:p>
      <w:pPr>
        <w:spacing w:after="120" w:before="0" w:line="276"/>
      </w:pPr>
      <w:r>
        <w:rPr>
          <w:rFonts w:ascii="Calibri" w:cs="Calibri" w:eastAsia="Calibri" w:hAnsi="Calibri"/>
          <w:color w:val="1A1A1A"/>
          <w:sz w:val="20"/>
          <w:szCs w:val="20"/>
        </w:rPr>
        <w:t xml:space="preserve">MMD is a genuine distance, so values are comparable across time. That is something AUC cannot offer.</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Comparison</w:t>
            </w:r>
          </w:p>
        </w:tc>
        <w:tc>
          <w:tcPr>
            <w:tcW w:type="dxa" w:w="17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MMD²</w:t>
            </w:r>
          </w:p>
        </w:tc>
        <w:tc>
          <w:tcPr>
            <w:tcW w:type="dxa" w:w="46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r>
      <w:tr>
        <w:trPr>
          <w:cantSplit/>
        </w:trPr>
        <w:tc>
          <w:tcPr>
            <w:tcW w:type="dxa" w:w="30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Month 9 → Month 10</w:t>
            </w:r>
          </w:p>
        </w:tc>
        <w:tc>
          <w:tcPr>
            <w:tcW w:type="dxa" w:w="1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0.008</w:t>
            </w:r>
          </w:p>
        </w:tc>
        <w:tc>
          <w:tcPr>
            <w:tcW w:type="dxa" w:w="4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Normal variation</w:t>
            </w:r>
          </w:p>
        </w:tc>
      </w:tr>
      <w:tr>
        <w:trPr>
          <w:cantSplit/>
        </w:trPr>
        <w:tc>
          <w:tcPr>
            <w:tcW w:type="dxa" w:w="30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Month 10 → Month 11</w:t>
            </w:r>
          </w:p>
        </w:tc>
        <w:tc>
          <w:tcPr>
            <w:tcW w:type="dxa" w:w="1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0.011</w:t>
            </w:r>
          </w:p>
        </w:tc>
        <w:tc>
          <w:tcPr>
            <w:tcW w:type="dxa" w:w="46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Normal variation</w:t>
            </w:r>
          </w:p>
        </w:tc>
      </w:tr>
      <w:tr>
        <w:trPr>
          <w:cantSplit/>
        </w:trPr>
        <w:tc>
          <w:tcPr>
            <w:tcW w:type="dxa" w:w="30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Month 11 → Month 12</w:t>
            </w:r>
          </w:p>
        </w:tc>
        <w:tc>
          <w:tcPr>
            <w:tcW w:type="dxa" w:w="1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0.009</w:t>
            </w:r>
          </w:p>
        </w:tc>
        <w:tc>
          <w:tcPr>
            <w:tcW w:type="dxa" w:w="4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Normal variation</w:t>
            </w:r>
          </w:p>
        </w:tc>
      </w:tr>
      <w:tr>
        <w:trPr>
          <w:cantSplit/>
        </w:trPr>
        <w:tc>
          <w:tcPr>
            <w:tcW w:type="dxa" w:w="30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1A1A1A"/>
                <w:sz w:val="18"/>
                <w:szCs w:val="18"/>
              </w:rPr>
              <w:t xml:space="preserve">Month 12 → Current</w:t>
            </w:r>
          </w:p>
        </w:tc>
        <w:tc>
          <w:tcPr>
            <w:tcW w:type="dxa" w:w="1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B42318"/>
                <w:sz w:val="18"/>
                <w:szCs w:val="18"/>
              </w:rPr>
              <w:t xml:space="preserve">0.041</w:t>
            </w:r>
          </w:p>
        </w:tc>
        <w:tc>
          <w:tcPr>
            <w:tcW w:type="dxa" w:w="46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B42318"/>
                <w:sz w:val="18"/>
                <w:szCs w:val="18"/>
              </w:rPr>
              <w:t xml:space="preserve">Four times typical</w:t>
            </w:r>
          </w:p>
        </w:tc>
      </w:tr>
    </w:tbl>
    <w:p>
      <w:pPr>
        <w:spacing w:after="140"/>
      </w:pPr>
      <w:r>
        <w:rPr>
          <w:rFonts w:ascii="Calibri" w:cs="Calibri" w:eastAsia="Calibri" w:hAnsi="Calibri"/>
          <w:color w:val="1A1A1A"/>
          <w:sz w:val="20"/>
          <w:szCs w:val="20"/>
        </w:rPr>
        <w:t xml:space="preserve"/>
      </w:r>
    </w:p>
    <w:tbl>
      <w:tblPr>
        <w:tblW w:type="dxa" w:w="9360"/>
        <w:tblBorders>
          <w:top w:val="single" w:color="EEF4FF" w:sz="1"/>
          <w:left w:val="single" w:color="2E5AAC" w:sz="18"/>
          <w:bottom w:val="single" w:color="EEF4FF" w:sz="1"/>
          <w:right w:val="single" w:color="EEF4FF" w:sz="1"/>
          <w:insideH w:val="none"/>
          <w:insideV w:val="none"/>
        </w:tblBorders>
      </w:tblPr>
      <w:tblGrid>
        <w:gridCol w:w="9360"/>
      </w:tblGrid>
      <w:tr>
        <w:trPr>
          <w:cantSplit/>
        </w:trPr>
        <w:tc>
          <w:tcPr>
            <w:tcW w:type="dxa" w:w="9360"/>
            <w:shd w:fill="EEF4FF" w:val="clear"/>
            <w:tcMar>
              <w:top w:type="dxa" w:w="130"/>
              <w:left w:type="dxa" w:w="200"/>
              <w:bottom w:type="dxa" w:w="130"/>
              <w:right w:type="dxa" w:w="200"/>
            </w:tcMar>
          </w:tcPr>
          <w:p>
            <w:pPr>
              <w:spacing w:after="50"/>
            </w:pPr>
            <w:r>
              <w:rPr>
                <w:rFonts w:ascii="Calibri" w:cs="Calibri" w:eastAsia="Calibri" w:hAnsi="Calibri"/>
                <w:b/>
                <w:bCs/>
                <w:color w:val="2E5AAC"/>
                <w:sz w:val="19"/>
                <w:szCs w:val="19"/>
              </w:rPr>
              <w:t xml:space="preserve">Why the trendline matters more than the value</w:t>
            </w:r>
          </w:p>
          <w:p>
            <w:pPr>
              <w:spacing w:after="40" w:line="264"/>
            </w:pPr>
            <w:r>
              <w:rPr>
                <w:rFonts w:ascii="Calibri" w:cs="Calibri" w:eastAsia="Calibri" w:hAnsi="Calibri"/>
                <w:color w:val="2A2F3A"/>
                <w:sz w:val="19"/>
                <w:szCs w:val="19"/>
              </w:rPr>
              <w:t xml:space="preserve">A Drift Score of 0.30 means nothing without context. If your baseline months routinely score 0.25 against each other, 0.30 is unremarkable. If they score 0.05, it is a serious signal. Build at least six months of MMD history before treating any single value as an alarm.</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honest limitation</w:t>
      </w:r>
    </w:p>
    <w:p>
      <w:pPr>
        <w:spacing w:after="120" w:before="0" w:line="276"/>
      </w:pPr>
      <w:r>
        <w:rPr>
          <w:rFonts w:ascii="Calibri" w:cs="Calibri" w:eastAsia="Calibri" w:hAnsi="Calibri"/>
          <w:color w:val="1A1A1A"/>
          <w:sz w:val="20"/>
          <w:szCs w:val="20"/>
        </w:rPr>
        <w:t xml:space="preserve">It gives you a number and nothing else. "MMD² = 0.041, p &lt; 0.001" is statistically airtight and completely useless for telling a clinical SME what to go and look at. Pair it with Method 1 for the explanation.</w:t>
      </w:r>
    </w:p>
    <w:p>
      <w:pPr>
        <w:spacing w:after="10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Principled test with strong theoretical backing</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No interpretability — cannot say what changed</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A true distance, so comparable month over month</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Quadratic in sample size; needs subsampling above ~10,000</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Detects any distributional difference given a characteristic kernel</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Bandwidth choice is arbitrary (median heuristic is standard)</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No model to train or tune</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Categorical encoding choice affects the geometry</w:t>
            </w:r>
          </w:p>
        </w:tc>
      </w:tr>
    </w:tbl>
    <w:p>
      <w:r>
        <w:br w:type="page"/>
      </w:r>
    </w:p>
    <w:p>
      <w:pPr>
        <w:pStyle w:val="Heading1"/>
        <w:spacing w:after="160" w:before="360"/>
      </w:pPr>
      <w:r>
        <w:rPr>
          <w:rFonts w:ascii="Calibri" w:cs="Calibri" w:eastAsia="Calibri" w:hAnsi="Calibri"/>
          <w:b/>
          <w:bCs/>
          <w:color w:val="1F3864"/>
          <w:sz w:val="30"/>
          <w:szCs w:val="30"/>
        </w:rPr>
        <w:t xml:space="preserve">Method 3 · Energy Distance</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are cross-month claims farther apart?</w:t>
      </w:r>
      <w:r>
        <w:rPr>
          <w:rFonts w:ascii="Calibri" w:cs="Calibri" w:eastAsia="Calibri" w:hAnsi="Calibri"/>
          <w:color w:val="5A6472"/>
          <w:sz w:val="20"/>
          <w:szCs w:val="20"/>
        </w:rPr>
        <w:t xml:space="preserve">   ·   Alternative to MMD</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Three measurements, all of them just averaged distances between claims:</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Quantity</w:t>
            </w:r>
          </w:p>
        </w:tc>
        <w:tc>
          <w:tcPr>
            <w:tcW w:type="dxa" w:w="79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What it measures</w:t>
            </w:r>
          </w:p>
        </w:tc>
      </w:tr>
      <w:tr>
        <w:trPr>
          <w:cantSplit/>
        </w:trPr>
        <w:tc>
          <w:tcPr>
            <w:tcW w:type="dxa" w:w="1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A</w:t>
            </w:r>
          </w:p>
        </w:tc>
        <w:tc>
          <w:tcPr>
            <w:tcW w:type="dxa" w:w="79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Average distance from a baseline claim to a current claim</w:t>
            </w:r>
          </w:p>
        </w:tc>
      </w:tr>
      <w:tr>
        <w:trPr>
          <w:cantSplit/>
        </w:trPr>
        <w:tc>
          <w:tcPr>
            <w:tcW w:type="dxa" w:w="1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B</w:t>
            </w:r>
          </w:p>
        </w:tc>
        <w:tc>
          <w:tcPr>
            <w:tcW w:type="dxa" w:w="79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Average distance between two baseline claims</w:t>
            </w:r>
          </w:p>
        </w:tc>
      </w:tr>
      <w:tr>
        <w:trPr>
          <w:cantSplit/>
        </w:trPr>
        <w:tc>
          <w:tcPr>
            <w:tcW w:type="dxa" w:w="1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bCs/>
                <w:color w:val="1F3864"/>
                <w:sz w:val="18"/>
                <w:szCs w:val="18"/>
              </w:rPr>
              <w:t xml:space="preserve">C</w:t>
            </w:r>
          </w:p>
        </w:tc>
        <w:tc>
          <w:tcPr>
            <w:tcW w:type="dxa" w:w="79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Average distance between two current claims</w:t>
            </w:r>
          </w:p>
        </w:tc>
      </w:tr>
    </w:tbl>
    <w:p>
      <w:pPr>
        <w:spacing w:after="12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If both months came from one population, a baseline claim and a current claim should be about as similar as two baseline claims. So A ought to sit between B and C. Energy distance is essentially 2A − B − C. A large value means cross-month pairs are unusually far apart.</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w:t>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Measured on standardised claim vectors</w:t>
            </w:r>
          </w:p>
          <w:p>
            <w:pPr>
              <w:spacing w:after="26" w:line="250"/>
            </w:pPr>
            <w:r>
              <w:rPr>
                <w:rFonts w:ascii="Consolas" w:cs="Consolas" w:eastAsia="Consolas" w:hAnsi="Consolas"/>
                <w:color w:val="33415C"/>
                <w:sz w:val="17"/>
                <w:szCs w:val="17"/>
              </w:rPr>
              <w:t xml:space="preserve">B   two baseline claims          2.1 units apart on average</w:t>
            </w:r>
          </w:p>
          <w:p>
            <w:pPr>
              <w:spacing w:after="26" w:line="250"/>
            </w:pPr>
            <w:r>
              <w:rPr>
                <w:rFonts w:ascii="Consolas" w:cs="Consolas" w:eastAsia="Consolas" w:hAnsi="Consolas"/>
                <w:color w:val="33415C"/>
                <w:sz w:val="17"/>
                <w:szCs w:val="17"/>
              </w:rPr>
              <w:t xml:space="preserve">C   two current claims           2.3 units apart on average</w:t>
            </w:r>
          </w:p>
          <w:p>
            <w:pPr>
              <w:spacing w:after="26" w:line="250"/>
            </w:pPr>
            <w:r>
              <w:rPr>
                <w:rFonts w:ascii="Consolas" w:cs="Consolas" w:eastAsia="Consolas" w:hAnsi="Consolas"/>
                <w:color w:val="33415C"/>
                <w:sz w:val="17"/>
                <w:szCs w:val="17"/>
              </w:rPr>
              <w:t xml:space="preserve">A   baseline vs current claim    3.8 units apart on average</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Energy = 2(3.8) − 2.1 − 2.3 = 3.2</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Cross-month pairs are systematically farther apart than</w:t>
            </w:r>
          </w:p>
          <w:p>
            <w:pPr>
              <w:spacing w:after="26" w:line="250"/>
            </w:pPr>
            <w:r>
              <w:rPr>
                <w:rFonts w:ascii="Consolas" w:cs="Consolas" w:eastAsia="Consolas" w:hAnsi="Consolas"/>
                <w:color w:val="33415C"/>
                <w:sz w:val="17"/>
                <w:szCs w:val="17"/>
              </w:rPr>
              <w:t xml:space="preserve">same-month pairs. The two periods occupy different regions</w:t>
            </w:r>
          </w:p>
          <w:p>
            <w:pPr>
              <w:spacing w:after="26" w:line="250"/>
            </w:pPr>
            <w:r>
              <w:rPr>
                <w:rFonts w:ascii="Consolas" w:cs="Consolas" w:eastAsia="Consolas" w:hAnsi="Consolas"/>
                <w:color w:val="33415C"/>
                <w:sz w:val="17"/>
                <w:szCs w:val="17"/>
              </w:rPr>
              <w:t xml:space="preserve">of claim space.</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How it compares to MMD</w:t>
      </w:r>
    </w:p>
    <w:p>
      <w:pPr>
        <w:spacing w:after="120" w:before="0" w:line="276"/>
      </w:pPr>
      <w:r>
        <w:rPr>
          <w:rFonts w:ascii="Calibri" w:cs="Calibri" w:eastAsia="Calibri" w:hAnsi="Calibri"/>
          <w:color w:val="1A1A1A"/>
          <w:sz w:val="20"/>
          <w:szCs w:val="20"/>
        </w:rPr>
        <w:t xml:space="preserve">These two measure the same thing through different lenses and will broadly agree. Energy distance has one fewer arbitrary choice — no kernel bandwidth to defend in model governance.</w:t>
      </w:r>
    </w:p>
    <w:p>
      <w:pPr>
        <w:spacing w:after="60"/>
      </w:pPr>
      <w:r>
        <w:rPr>
          <w:rFonts w:ascii="Calibri" w:cs="Calibri" w:eastAsia="Calibri" w:hAnsi="Calibri"/>
          <w:color w:val="1A1A1A"/>
          <w:sz w:val="20"/>
          <w:szCs w:val="20"/>
        </w:rPr>
        <w:t xml:space="preserve"/>
      </w:r>
    </w:p>
    <w:tbl>
      <w:tblPr>
        <w:tblW w:type="dxa" w:w="9360"/>
        <w:tblBorders>
          <w:top w:val="single" w:color="FFFBEB" w:sz="1"/>
          <w:left w:val="single" w:color="B45309" w:sz="18"/>
          <w:bottom w:val="single" w:color="FFFBEB" w:sz="1"/>
          <w:right w:val="single" w:color="FFFBEB" w:sz="1"/>
          <w:insideH w:val="none"/>
          <w:insideV w:val="none"/>
        </w:tblBorders>
      </w:tblPr>
      <w:tblGrid>
        <w:gridCol w:w="9360"/>
      </w:tblGrid>
      <w:tr>
        <w:trPr>
          <w:cantSplit/>
        </w:trPr>
        <w:tc>
          <w:tcPr>
            <w:tcW w:type="dxa" w:w="9360"/>
            <w:shd w:fill="FFFBEB" w:val="clear"/>
            <w:tcMar>
              <w:top w:type="dxa" w:w="130"/>
              <w:left w:type="dxa" w:w="200"/>
              <w:bottom w:type="dxa" w:w="130"/>
              <w:right w:type="dxa" w:w="200"/>
            </w:tcMar>
          </w:tcPr>
          <w:p>
            <w:pPr>
              <w:spacing w:after="50"/>
            </w:pPr>
            <w:r>
              <w:rPr>
                <w:rFonts w:ascii="Calibri" w:cs="Calibri" w:eastAsia="Calibri" w:hAnsi="Calibri"/>
                <w:b/>
                <w:bCs/>
                <w:color w:val="B45309"/>
                <w:sz w:val="19"/>
                <w:szCs w:val="19"/>
              </w:rPr>
              <w:t xml:space="preserve">Practical guidance</w:t>
            </w:r>
          </w:p>
          <w:p>
            <w:pPr>
              <w:spacing w:after="40" w:line="264"/>
            </w:pPr>
            <w:r>
              <w:rPr>
                <w:rFonts w:ascii="Calibri" w:cs="Calibri" w:eastAsia="Calibri" w:hAnsi="Calibri"/>
                <w:color w:val="2A2F3A"/>
                <w:sz w:val="19"/>
                <w:szCs w:val="19"/>
              </w:rPr>
              <w:t xml:space="preserve">Pick one of MMD or Energy, not both. Running both means reconciling two numbers that say the same thing. Energy is the simpler choice for governance; MMD is better documented if your validators expect to see it.</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A caveat specific to your feature set</w:t>
      </w:r>
    </w:p>
    <w:p>
      <w:pPr>
        <w:spacing w:after="120" w:before="0" w:line="276"/>
      </w:pPr>
      <w:r>
        <w:rPr>
          <w:rFonts w:ascii="Calibri" w:cs="Calibri" w:eastAsia="Calibri" w:hAnsi="Calibri"/>
          <w:color w:val="1A1A1A"/>
          <w:sz w:val="20"/>
          <w:szCs w:val="20"/>
        </w:rPr>
        <w:t xml:space="preserve">Both methods assume Euclidean distance between encoded claims is meaningful. That assumption weakens badly when Providertaxid carries thousands of levels — one-hot encoding it produces a space where distance no longer corresponds to anything clinical.</w:t>
      </w:r>
    </w:p>
    <w:p>
      <w:pPr>
        <w:spacing w:after="120" w:before="0" w:line="276"/>
      </w:pPr>
      <w:r>
        <w:rPr>
          <w:rFonts w:ascii="Calibri" w:cs="Calibri" w:eastAsia="Calibri" w:hAnsi="Calibri"/>
          <w:color w:val="1A1A1A"/>
          <w:sz w:val="20"/>
          <w:szCs w:val="20"/>
        </w:rPr>
        <w:t xml:space="preserve">If provider cardinality is high, treat Methods 2 and 3 as supporting evidence and weight Methods 1, 5 and 6 more heavily.</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No kernel or bandwidth parameter to choose</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Same interpretability gap as MMD</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Scale-invariant once features are standardised</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Same quadratic cost in sample size</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Consistent against all alternatives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Assumes Euclidean geometry is meaningful</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Easier to explain in a validation document</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Largely redundant if you already run MMD</w:t>
            </w:r>
          </w:p>
        </w:tc>
      </w:tr>
    </w:tbl>
    <w:p>
      <w:r>
        <w:br w:type="page"/>
      </w:r>
    </w:p>
    <w:p>
      <w:pPr>
        <w:pStyle w:val="Heading1"/>
        <w:spacing w:after="160" w:before="360"/>
      </w:pPr>
      <w:r>
        <w:rPr>
          <w:rFonts w:ascii="Calibri" w:cs="Calibri" w:eastAsia="Calibri" w:hAnsi="Calibri"/>
          <w:b/>
          <w:bCs/>
          <w:color w:val="1F3864"/>
          <w:sz w:val="30"/>
          <w:szCs w:val="30"/>
        </w:rPr>
        <w:t xml:space="preserve">Method 4 · Wasserstein / Optimal Transport</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how much shovelling</w:t>
      </w:r>
      <w:r>
        <w:rPr>
          <w:rFonts w:ascii="Calibri" w:cs="Calibri" w:eastAsia="Calibri" w:hAnsi="Calibri"/>
          <w:color w:val="5A6472"/>
          <w:sz w:val="20"/>
          <w:szCs w:val="20"/>
        </w:rPr>
        <w:t xml:space="preserve">   ·   The one you show to executives</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Picture the baseline distribution of Losgm_ratio as a pile of sand, and this month's as a differently shaped pile. The question is: what is the minimum total effort to shovel the first pile into the shape of the second?</w:t>
      </w:r>
    </w:p>
    <w:p>
      <w:pPr>
        <w:spacing w:after="120" w:before="0" w:line="276"/>
      </w:pPr>
      <w:r>
        <w:rPr>
          <w:rFonts w:ascii="Calibri" w:cs="Calibri" w:eastAsia="Calibri" w:hAnsi="Calibri"/>
          <w:color w:val="1A1A1A"/>
          <w:sz w:val="20"/>
          <w:szCs w:val="20"/>
        </w:rPr>
        <w:t xml:space="preserve">Effort equals amount of sand multiplied by distance moved. Find the shovelling plan that minimises it. That minimum is the distance. Its other name — Earth Mover's Distance — is far more descriptive.</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w:t>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Losgm_ratio, baseline vs current</w:t>
            </w:r>
          </w:p>
          <w:p>
            <w:pPr>
              <w:spacing w:after="26" w:line="250"/>
            </w:pPr>
            <w:r>
              <w:rPr>
                <w:rFonts w:ascii="Consolas" w:cs="Consolas" w:eastAsia="Consolas" w:hAnsi="Consolas"/>
                <w:color w:val="33415C"/>
                <w:sz w:val="17"/>
                <w:szCs w:val="17"/>
              </w:rPr>
              <w:t xml:space="preserve">                    Baseline      Current</w:t>
            </w:r>
          </w:p>
          <w:p>
            <w:pPr>
              <w:spacing w:after="26" w:line="250"/>
            </w:pPr>
            <w:r>
              <w:rPr>
                <w:rFonts w:ascii="Consolas" w:cs="Consolas" w:eastAsia="Consolas" w:hAnsi="Consolas"/>
                <w:color w:val="33415C"/>
                <w:sz w:val="17"/>
                <w:szCs w:val="17"/>
              </w:rPr>
              <w:t xml:space="preserve">  Median              1.02          1.18</w:t>
            </w:r>
          </w:p>
          <w:p>
            <w:pPr>
              <w:spacing w:after="26" w:line="250"/>
            </w:pPr>
            <w:r>
              <w:rPr>
                <w:rFonts w:ascii="Consolas" w:cs="Consolas" w:eastAsia="Consolas" w:hAnsi="Consolas"/>
                <w:color w:val="33415C"/>
                <w:sz w:val="17"/>
                <w:szCs w:val="17"/>
              </w:rPr>
              <w:t xml:space="preserve">  75th percentile     1.28          1.51</w:t>
            </w:r>
          </w:p>
          <w:p>
            <w:pPr>
              <w:spacing w:after="26" w:line="250"/>
            </w:pPr>
            <w:r>
              <w:rPr>
                <w:rFonts w:ascii="Consolas" w:cs="Consolas" w:eastAsia="Consolas" w:hAnsi="Consolas"/>
                <w:color w:val="33415C"/>
                <w:sz w:val="17"/>
                <w:szCs w:val="17"/>
              </w:rPr>
              <w:t xml:space="preserve">  90th percentile     1.55          1.94</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W₁ = 0.17</w:t>
            </w:r>
          </w:p>
        </w:tc>
      </w:tr>
    </w:tbl>
    <w:p>
      <w:pPr>
        <w:spacing w:after="12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The plain reading: the average claim's LOS-to-geometric-mean ratio had to move 0.17 to get from last year's shape to this month's.</w:t>
      </w:r>
    </w:p>
    <w:p>
      <w:pPr>
        <w:spacing w:after="60"/>
      </w:pPr>
      <w:r>
        <w:rPr>
          <w:rFonts w:ascii="Calibri" w:cs="Calibri" w:eastAsia="Calibri" w:hAnsi="Calibri"/>
          <w:color w:val="1A1A1A"/>
          <w:sz w:val="20"/>
          <w:szCs w:val="20"/>
        </w:rPr>
        <w:t xml:space="preserve"/>
      </w:r>
    </w:p>
    <w:tbl>
      <w:tblPr>
        <w:tblW w:type="dxa" w:w="9360"/>
        <w:tblBorders>
          <w:top w:val="single" w:color="F0FDF4" w:sz="1"/>
          <w:left w:val="single" w:color="15803D" w:sz="18"/>
          <w:bottom w:val="single" w:color="F0FDF4" w:sz="1"/>
          <w:right w:val="single" w:color="F0FDF4" w:sz="1"/>
          <w:insideH w:val="none"/>
          <w:insideV w:val="none"/>
        </w:tblBorders>
      </w:tblPr>
      <w:tblGrid>
        <w:gridCol w:w="9360"/>
      </w:tblGrid>
      <w:tr>
        <w:trPr>
          <w:cantSplit/>
        </w:trPr>
        <w:tc>
          <w:tcPr>
            <w:tcW w:type="dxa" w:w="9360"/>
            <w:shd w:fill="F0FDF4" w:val="clear"/>
            <w:tcMar>
              <w:top w:type="dxa" w:w="130"/>
              <w:left w:type="dxa" w:w="200"/>
              <w:bottom w:type="dxa" w:w="130"/>
              <w:right w:type="dxa" w:w="200"/>
            </w:tcMar>
          </w:tcPr>
          <w:p>
            <w:pPr>
              <w:spacing w:after="50"/>
            </w:pPr>
            <w:r>
              <w:rPr>
                <w:rFonts w:ascii="Calibri" w:cs="Calibri" w:eastAsia="Calibri" w:hAnsi="Calibri"/>
                <w:b/>
                <w:bCs/>
                <w:color w:val="15803D"/>
                <w:sz w:val="19"/>
                <w:szCs w:val="19"/>
              </w:rPr>
              <w:t xml:space="preserve">Converting to something a VP understands</w:t>
            </w:r>
          </w:p>
          <w:p>
            <w:pPr>
              <w:spacing w:after="40" w:line="264"/>
            </w:pPr>
            <w:r>
              <w:rPr>
                <w:rFonts w:ascii="Calibri" w:cs="Calibri" w:eastAsia="Calibri" w:hAnsi="Calibri"/>
                <w:color w:val="2A2F3A"/>
                <w:sz w:val="19"/>
                <w:szCs w:val="19"/>
              </w:rPr>
              <w:t xml:space="preserve">For a DRG with a 5-day geometric mean length of stay, a W₁ of 0.17 corresponds to roughly 0.85 days of additional stay per claim on average. Across 10,000 claims that is 8,500 additional bed days — which converts directly into a cost figure.</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transport plan is the useful part</w:t>
      </w:r>
    </w:p>
    <w:p>
      <w:pPr>
        <w:spacing w:after="120" w:before="0" w:line="276"/>
      </w:pPr>
      <w:r>
        <w:rPr>
          <w:rFonts w:ascii="Calibri" w:cs="Calibri" w:eastAsia="Calibri" w:hAnsi="Calibri"/>
          <w:color w:val="1A1A1A"/>
          <w:sz w:val="20"/>
          <w:szCs w:val="20"/>
        </w:rPr>
        <w:t xml:space="preserve">The optimal shovelling plan itself shows which regions of claim space moved where. No other method here gives you this directly.</w:t>
      </w:r>
    </w:p>
    <w:p>
      <w:pPr>
        <w:spacing w:after="60"/>
      </w:pPr>
      <w:r>
        <w:rPr>
          <w:rFonts w:ascii="Calibri" w:cs="Calibri" w:eastAsia="Calibri" w:hAnsi="Calibri"/>
          <w:color w:val="1A1A1A"/>
          <w:sz w:val="20"/>
          <w:szCs w:val="20"/>
        </w:rPr>
        <w:t xml:space="preserve"/>
      </w:r>
    </w:p>
    <w:tbl>
      <w:tblPr>
        <w:tblW w:type="dxa" w:w="9360"/>
        <w:tblBorders>
          <w:top w:val="single" w:color="F2F5F9" w:sz="1"/>
          <w:left w:val="single" w:color="1F3864" w:sz="18"/>
          <w:bottom w:val="single" w:color="F2F5F9" w:sz="1"/>
          <w:right w:val="single" w:color="F2F5F9" w:sz="1"/>
          <w:insideH w:val="none"/>
          <w:insideV w:val="none"/>
        </w:tblBorders>
      </w:tblPr>
      <w:tblGrid>
        <w:gridCol w:w="9360"/>
      </w:tblGrid>
      <w:tr>
        <w:trPr>
          <w:cantSplit/>
        </w:trPr>
        <w:tc>
          <w:tcPr>
            <w:tcW w:type="dxa" w:w="9360"/>
            <w:shd w:fill="F2F5F9" w:val="clear"/>
            <w:tcMar>
              <w:top w:type="dxa" w:w="130"/>
              <w:left w:type="dxa" w:w="200"/>
              <w:bottom w:type="dxa" w:w="130"/>
              <w:right w:type="dxa" w:w="200"/>
            </w:tcMar>
          </w:tcPr>
          <w:p>
            <w:pPr>
              <w:spacing w:after="50"/>
            </w:pPr>
            <w:r>
              <w:rPr>
                <w:rFonts w:ascii="Calibri" w:cs="Calibri" w:eastAsia="Calibri" w:hAnsi="Calibri"/>
                <w:b/>
                <w:bCs/>
                <w:color w:val="1F3864"/>
                <w:sz w:val="19"/>
                <w:szCs w:val="19"/>
              </w:rPr>
              <w:t xml:space="preserve">What the plan revealed</w:t>
            </w:r>
          </w:p>
          <w:p>
            <w:pPr>
              <w:spacing w:after="40" w:line="264"/>
            </w:pPr>
            <w:r>
              <w:rPr>
                <w:rFonts w:ascii="Calibri" w:cs="Calibri" w:eastAsia="Calibri" w:hAnsi="Calibri"/>
                <w:color w:val="2A2F3A"/>
                <w:sz w:val="19"/>
                <w:szCs w:val="19"/>
              </w:rPr>
              <w:t xml:space="preserve">Claims that were previously Losgm_ratio 0.9–1.1 with Mcc_count = 1 largely became Losgm_ratio 1.3–1.5 with Mcc_count = 3. That is a specific, investigable migration — hand it to a coding SME and ask whether documentation practice changed.</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Where not to use it</w:t>
      </w:r>
    </w:p>
    <w:p>
      <w:pPr>
        <w:spacing w:after="120" w:before="0" w:line="276"/>
      </w:pPr>
      <w:r>
        <w:rPr>
          <w:rFonts w:ascii="Calibri" w:cs="Calibri" w:eastAsia="Calibri" w:hAnsi="Calibri"/>
          <w:color w:val="1A1A1A"/>
          <w:sz w:val="20"/>
          <w:szCs w:val="20"/>
        </w:rPr>
        <w:t xml:space="preserve">Do not run this on one-hot encoded Providertaxid. With three thousand provider columns, the distance between two claims stops meaning anything physical, and the number you get back inherits that meaninglessness.</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Use Wasserstein on</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Do not use it on</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Losgm_ratio</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Providertaxid</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Mcc_count</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drgcode</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Cc_count</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Primary_diag</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Any continuous field with real units</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Any high-cardinality categorical code</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The most intuitive metric to explain to non-technical stakeholders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Expensive in high dimensions; needs regularisation</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Reported in the feature's own units</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Units become meaningless after one-hot encoding</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The transport plan shows which regions migrated where</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Curse of dimensionality bites hard</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Sensitive to shape changes, not just location shifts</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Hardest of the seven to implement correctly</w:t>
            </w:r>
          </w:p>
        </w:tc>
      </w:tr>
    </w:tbl>
    <w:p>
      <w:r>
        <w:br w:type="page"/>
      </w:r>
    </w:p>
    <w:p>
      <w:pPr>
        <w:pStyle w:val="Heading1"/>
        <w:spacing w:after="160" w:before="360"/>
      </w:pPr>
      <w:r>
        <w:rPr>
          <w:rFonts w:ascii="Calibri" w:cs="Calibri" w:eastAsia="Calibri" w:hAnsi="Calibri"/>
          <w:b/>
          <w:bCs/>
          <w:color w:val="1F3864"/>
          <w:sz w:val="30"/>
          <w:szCs w:val="30"/>
        </w:rPr>
        <w:t xml:space="preserve">Method 5 · Model-Aware Drift</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does my model even care?</w:t>
      </w:r>
      <w:r>
        <w:rPr>
          <w:rFonts w:ascii="Calibri" w:cs="Calibri" w:eastAsia="Calibri" w:hAnsi="Calibri"/>
          <w:color w:val="5A6472"/>
          <w:sz w:val="20"/>
          <w:szCs w:val="20"/>
        </w:rPr>
        <w:t xml:space="preserve">   ·   The method most teams skip</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Every method so far asks whether the input data changed. This asks a sharper question: did anything change that your CatBoost model actually reacts to?</w:t>
      </w:r>
    </w:p>
    <w:p>
      <w:pPr>
        <w:spacing w:after="120" w:before="0" w:line="276"/>
      </w:pPr>
      <w:r>
        <w:rPr>
          <w:rFonts w:ascii="Calibri" w:cs="Calibri" w:eastAsia="Calibri" w:hAnsi="Calibri"/>
          <w:color w:val="1A1A1A"/>
          <w:sz w:val="20"/>
          <w:szCs w:val="20"/>
        </w:rPr>
        <w:t xml:space="preserve">The difference matters. Suppose a field starts shifting wildly month to month but the model barely weights it. Raw drift detectors scream, nothing is actually wrong, and you lose a week investigating.</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Three versions</w:t>
      </w:r>
    </w:p>
    <w:p>
      <w:pPr>
        <w:pStyle w:val="Heading3"/>
        <w:keepNext/>
        <w:spacing w:after="80" w:before="180"/>
      </w:pPr>
      <w:r>
        <w:rPr>
          <w:rFonts w:ascii="Calibri" w:cs="Calibri" w:eastAsia="Calibri" w:hAnsi="Calibri"/>
          <w:b/>
          <w:bCs/>
          <w:color w:val="33415C"/>
          <w:sz w:val="21"/>
          <w:szCs w:val="21"/>
        </w:rPr>
        <w:t xml:space="preserve">5a · Score distribution drift</w:t>
      </w:r>
    </w:p>
    <w:p>
      <w:pPr>
        <w:spacing w:after="120" w:before="0" w:line="276"/>
      </w:pPr>
      <w:r>
        <w:rPr>
          <w:rFonts w:ascii="Calibri" w:cs="Calibri" w:eastAsia="Calibri" w:hAnsi="Calibri"/>
          <w:color w:val="1A1A1A"/>
          <w:sz w:val="20"/>
          <w:szCs w:val="20"/>
        </w:rPr>
        <w:t xml:space="preserve">Run both periods through the model and compare the output distributions. This is the cheapest possible check and should be run every cycle regardless of anything else.</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Predicted probability distribution</w:t>
            </w:r>
          </w:p>
          <w:p>
            <w:pPr>
              <w:spacing w:after="26" w:line="250"/>
            </w:pPr>
            <w:r>
              <w:rPr>
                <w:rFonts w:ascii="Consolas" w:cs="Consolas" w:eastAsia="Consolas" w:hAnsi="Consolas"/>
                <w:color w:val="33415C"/>
                <w:sz w:val="17"/>
                <w:szCs w:val="17"/>
              </w:rPr>
              <w:t xml:space="preserve">                          Baseline    Current</w:t>
            </w:r>
          </w:p>
          <w:p>
            <w:pPr>
              <w:spacing w:after="26" w:line="250"/>
            </w:pPr>
            <w:r>
              <w:rPr>
                <w:rFonts w:ascii="Consolas" w:cs="Consolas" w:eastAsia="Consolas" w:hAnsi="Consolas"/>
                <w:color w:val="33415C"/>
                <w:sz w:val="17"/>
                <w:szCs w:val="17"/>
              </w:rPr>
              <w:t xml:space="preserve">  Mean score               0.187      0.164</w:t>
            </w:r>
          </w:p>
          <w:p>
            <w:pPr>
              <w:spacing w:after="26" w:line="250"/>
            </w:pPr>
            <w:r>
              <w:rPr>
                <w:rFonts w:ascii="Consolas" w:cs="Consolas" w:eastAsia="Consolas" w:hAnsi="Consolas"/>
                <w:color w:val="33415C"/>
                <w:sz w:val="17"/>
                <w:szCs w:val="17"/>
              </w:rPr>
              <w:t xml:space="preserve">  90th percentile          0.712      0.631</w:t>
            </w:r>
          </w:p>
          <w:p>
            <w:pPr>
              <w:spacing w:after="26" w:line="250"/>
            </w:pPr>
            <w:r>
              <w:rPr>
                <w:rFonts w:ascii="Consolas" w:cs="Consolas" w:eastAsia="Consolas" w:hAnsi="Consolas"/>
                <w:color w:val="33415C"/>
                <w:sz w:val="17"/>
                <w:szCs w:val="17"/>
              </w:rPr>
              <w:t xml:space="preserve">  Share above 0.65          6.2%       3.8%</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Score PSI = 0.14   →  investigate band</w:t>
            </w:r>
          </w:p>
        </w:tc>
      </w:tr>
    </w:tbl>
    <w:p>
      <w:pPr>
        <w:spacing w:after="120"/>
      </w:pPr>
      <w:r>
        <w:rPr>
          <w:rFonts w:ascii="Calibri" w:cs="Calibri" w:eastAsia="Calibri" w:hAnsi="Calibri"/>
          <w:color w:val="1A1A1A"/>
          <w:sz w:val="20"/>
          <w:szCs w:val="20"/>
        </w:rPr>
        <w:t xml:space="preserve"/>
      </w:r>
    </w:p>
    <w:p>
      <w:pPr>
        <w:spacing w:after="120" w:before="0" w:line="276"/>
      </w:pPr>
      <w:r>
        <w:rPr>
          <w:rFonts w:ascii="Calibri" w:cs="Calibri" w:eastAsia="Calibri" w:hAnsi="Calibri"/>
          <w:color w:val="1A1A1A"/>
          <w:sz w:val="20"/>
          <w:szCs w:val="20"/>
        </w:rPr>
        <w:t xml:space="preserve">That thinning right tail alone explains a drop in audit volume, before you investigate anything else. Fewer claims clear the threshold, so fewer are audited, and hit rate moves for reasons that have nothing to do with model quality.</w:t>
      </w:r>
    </w:p>
    <w:p>
      <w:pPr>
        <w:spacing w:after="120"/>
      </w:pPr>
      <w:r>
        <w:rPr>
          <w:rFonts w:ascii="Calibri" w:cs="Calibri" w:eastAsia="Calibri" w:hAnsi="Calibri"/>
          <w:color w:val="1A1A1A"/>
          <w:sz w:val="20"/>
          <w:szCs w:val="20"/>
        </w:rPr>
        <w:t xml:space="preserve"/>
      </w:r>
    </w:p>
    <w:p>
      <w:pPr>
        <w:pStyle w:val="Heading3"/>
        <w:keepNext/>
        <w:spacing w:after="80" w:before="180"/>
      </w:pPr>
      <w:r>
        <w:rPr>
          <w:rFonts w:ascii="Calibri" w:cs="Calibri" w:eastAsia="Calibri" w:hAnsi="Calibri"/>
          <w:b/>
          <w:bCs/>
          <w:color w:val="33415C"/>
          <w:sz w:val="21"/>
          <w:szCs w:val="21"/>
        </w:rPr>
        <w:t xml:space="preserve">5b · SHAP-space drift</w:t>
      </w:r>
    </w:p>
    <w:p>
      <w:pPr>
        <w:spacing w:after="120" w:before="0" w:line="276"/>
      </w:pPr>
      <w:r>
        <w:rPr>
          <w:rFonts w:ascii="Calibri" w:cs="Calibri" w:eastAsia="Calibri" w:hAnsi="Calibri"/>
          <w:color w:val="1A1A1A"/>
          <w:sz w:val="20"/>
          <w:szCs w:val="20"/>
        </w:rPr>
        <w:t xml:space="preserve">Rather than comparing claims by their values, compare them by their SHAP vectors — the model's reasoning about each claim. Then run Method 1 on those vectors.</w:t>
      </w:r>
    </w:p>
    <w:p>
      <w:pPr>
        <w:spacing w:after="60"/>
      </w:pPr>
      <w:r>
        <w:rPr>
          <w:rFonts w:ascii="Calibri" w:cs="Calibri" w:eastAsia="Calibri" w:hAnsi="Calibri"/>
          <w:color w:val="1A1A1A"/>
          <w:sz w:val="20"/>
          <w:szCs w:val="20"/>
        </w:rPr>
        <w:t xml:space="preserve"/>
      </w:r>
    </w:p>
    <w:tbl>
      <w:tblPr>
        <w:tblW w:type="dxa" w:w="9360"/>
        <w:tblBorders>
          <w:top w:val="single" w:color="FEF3F2" w:sz="1"/>
          <w:left w:val="single" w:color="B42318" w:sz="18"/>
          <w:bottom w:val="single" w:color="FEF3F2" w:sz="1"/>
          <w:right w:val="single" w:color="FEF3F2" w:sz="1"/>
          <w:insideH w:val="none"/>
          <w:insideV w:val="none"/>
        </w:tblBorders>
      </w:tblPr>
      <w:tblGrid>
        <w:gridCol w:w="9360"/>
      </w:tblGrid>
      <w:tr>
        <w:trPr>
          <w:cantSplit/>
        </w:trPr>
        <w:tc>
          <w:tcPr>
            <w:tcW w:type="dxa" w:w="9360"/>
            <w:shd w:fill="FEF3F2" w:val="clear"/>
            <w:tcMar>
              <w:top w:type="dxa" w:w="130"/>
              <w:left w:type="dxa" w:w="200"/>
              <w:bottom w:type="dxa" w:w="130"/>
              <w:right w:type="dxa" w:w="200"/>
            </w:tcMar>
          </w:tcPr>
          <w:p>
            <w:pPr>
              <w:spacing w:after="50"/>
            </w:pPr>
            <w:r>
              <w:rPr>
                <w:rFonts w:ascii="Calibri" w:cs="Calibri" w:eastAsia="Calibri" w:hAnsi="Calibri"/>
                <w:b/>
                <w:bCs/>
                <w:color w:val="B42318"/>
                <w:sz w:val="19"/>
                <w:szCs w:val="19"/>
              </w:rPr>
              <w:t xml:space="preserve">The case this uniquely catches</w:t>
            </w:r>
          </w:p>
          <w:p>
            <w:pPr>
              <w:spacing w:after="40" w:line="264"/>
            </w:pPr>
            <w:r>
              <w:rPr>
                <w:rFonts w:ascii="Calibri" w:cs="Calibri" w:eastAsia="Calibri" w:hAnsi="Calibri"/>
                <w:color w:val="2A2F3A"/>
                <w:sz w:val="19"/>
                <w:szCs w:val="19"/>
              </w:rPr>
              <w:t xml:space="preserve">Baseline: claims with Mcc_count = 4 had shap_mcc_count ≈ −0.15. The MCCs supported the DRG, lowering risk.</w:t>
            </w:r>
          </w:p>
          <w:p>
            <w:pPr>
              <w:spacing w:after="40" w:line="264"/>
            </w:pPr>
            <w:r>
              <w:rPr>
                <w:rFonts w:ascii="Calibri" w:cs="Calibri" w:eastAsia="Calibri" w:hAnsi="Calibri"/>
                <w:color w:val="2A2F3A"/>
                <w:sz w:val="19"/>
                <w:szCs w:val="19"/>
              </w:rPr>
              <w:t xml:space="preserve">Current: claims with the same Mcc_count = 4 have shap_mcc_count ≈ +0.08. The same value now raises risk.</w:t>
            </w:r>
          </w:p>
          <w:p>
            <w:pPr>
              <w:spacing w:after="40" w:line="264"/>
            </w:pPr>
            <w:r>
              <w:rPr>
                <w:rFonts w:ascii="Calibri" w:cs="Calibri" w:eastAsia="Calibri" w:hAnsi="Calibri"/>
                <w:color w:val="2A2F3A"/>
                <w:sz w:val="19"/>
                <w:szCs w:val="19"/>
              </w:rPr>
              <w:t xml:space="preserve">Same input, opposite reasoning. That only happens when something else in the feature vector shifted around it — and it is a strong signal that the model's internal logic no longer matches the population.</w:t>
            </w:r>
          </w:p>
        </w:tc>
      </w:tr>
    </w:tbl>
    <w:p>
      <w:pPr>
        <w:spacing w:after="140"/>
      </w:pPr>
      <w:r>
        <w:rPr>
          <w:rFonts w:ascii="Calibri" w:cs="Calibri" w:eastAsia="Calibri" w:hAnsi="Calibri"/>
          <w:color w:val="1A1A1A"/>
          <w:sz w:val="20"/>
          <w:szCs w:val="20"/>
        </w:rPr>
        <w:t xml:space="preserve"/>
      </w:r>
    </w:p>
    <w:p>
      <w:pPr>
        <w:pStyle w:val="Heading3"/>
        <w:keepNext/>
        <w:spacing w:after="80" w:before="180"/>
      </w:pPr>
      <w:r>
        <w:rPr>
          <w:rFonts w:ascii="Calibri" w:cs="Calibri" w:eastAsia="Calibri" w:hAnsi="Calibri"/>
          <w:b/>
          <w:bCs/>
          <w:color w:val="33415C"/>
          <w:sz w:val="21"/>
          <w:szCs w:val="21"/>
        </w:rPr>
        <w:t xml:space="preserve">5c · Leaf drift</w:t>
      </w:r>
    </w:p>
    <w:p>
      <w:pPr>
        <w:spacing w:after="120" w:before="0" w:line="276"/>
      </w:pPr>
      <w:r>
        <w:rPr>
          <w:rFonts w:ascii="Calibri" w:cs="Calibri" w:eastAsia="Calibri" w:hAnsi="Calibri"/>
          <w:color w:val="1A1A1A"/>
          <w:sz w:val="20"/>
          <w:szCs w:val="20"/>
        </w:rPr>
        <w:t xml:space="preserve">For a tree model like CatBoost, record which terminal leaf each claim lands in and compare occupancy. If baseline claims spread across 200 leaves and current claims pile into 40, the model has lost resolution on this population.</w:t>
      </w:r>
    </w:p>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diagnostic table — the most useful output in this document</w:t>
      </w:r>
    </w:p>
    <w:p>
      <w:pPr>
        <w:spacing w:after="120" w:before="0" w:line="276"/>
      </w:pPr>
      <w:r>
        <w:rPr>
          <w:rFonts w:ascii="Calibri" w:cs="Calibri" w:eastAsia="Calibri" w:hAnsi="Calibri"/>
          <w:color w:val="1A1A1A"/>
          <w:sz w:val="20"/>
          <w:szCs w:val="20"/>
        </w:rPr>
        <w:t xml:space="preserve">Reading raw drift and model-aware drift together is what separates a real problem from a phantom one.</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80"/>
        <w:gridCol w:w="3180"/>
      </w:tblGrid>
      <w:tr>
        <w:trPr>
          <w:tblHeader/>
        </w:trPr>
        <w:tc>
          <w:tcPr>
            <w:tcW w:type="dxa" w:w="14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Raw drift</w:t>
            </w:r>
          </w:p>
        </w:tc>
        <w:tc>
          <w:tcPr>
            <w:tcW w:type="dxa" w:w="16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Model-aware</w:t>
            </w:r>
          </w:p>
        </w:tc>
        <w:tc>
          <w:tcPr>
            <w:tcW w:type="dxa" w:w="31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Interpretation</w:t>
            </w:r>
          </w:p>
        </w:tc>
        <w:tc>
          <w:tcPr>
            <w:tcW w:type="dxa" w:w="31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Action</w:t>
            </w:r>
          </w:p>
        </w:tc>
      </w:tr>
      <w:tr>
        <w:trPr>
          <w:cantSplit/>
        </w:trPr>
        <w:tc>
          <w:tcPr>
            <w:tcW w:type="dxa" w:w="1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High</w:t>
            </w:r>
          </w:p>
        </w:tc>
        <w:tc>
          <w:tcPr>
            <w:tcW w:type="dxa" w:w="1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5803D"/>
                <w:sz w:val="18"/>
                <w:szCs w:val="18"/>
              </w:rPr>
              <w:t xml:space="preserve">Low</w:t>
            </w:r>
          </w:p>
        </w:tc>
        <w:tc>
          <w:tcPr>
            <w:tcW w:type="dxa" w:w="31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Change sits in features the model under-weights</w:t>
            </w:r>
          </w:p>
        </w:tc>
        <w:tc>
          <w:tcPr>
            <w:tcW w:type="dxa" w:w="31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Log it, monitor. Do not retrain.</w:t>
            </w:r>
          </w:p>
        </w:tc>
      </w:tr>
      <w:tr>
        <w:trPr>
          <w:cantSplit/>
        </w:trPr>
        <w:tc>
          <w:tcPr>
            <w:tcW w:type="dxa" w:w="1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5803D"/>
                <w:sz w:val="18"/>
                <w:szCs w:val="18"/>
              </w:rPr>
              <w:t xml:space="preserve">Low</w:t>
            </w:r>
          </w:p>
        </w:tc>
        <w:tc>
          <w:tcPr>
            <w:tcW w:type="dxa" w:w="1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High</w:t>
            </w:r>
          </w:p>
        </w:tc>
        <w:tc>
          <w:tcPr>
            <w:tcW w:type="dxa" w:w="31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Inputs normal, reasoning shifted</w:t>
            </w:r>
          </w:p>
        </w:tc>
        <w:tc>
          <w:tcPr>
            <w:tcW w:type="dxa" w:w="31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Check the pipeline first — usually a bug.</w:t>
            </w:r>
          </w:p>
        </w:tc>
      </w:tr>
      <w:tr>
        <w:trPr>
          <w:cantSplit/>
        </w:trPr>
        <w:tc>
          <w:tcPr>
            <w:tcW w:type="dxa" w:w="1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High</w:t>
            </w:r>
          </w:p>
        </w:tc>
        <w:tc>
          <w:tcPr>
            <w:tcW w:type="dxa" w:w="1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High</w:t>
            </w:r>
          </w:p>
        </w:tc>
        <w:tc>
          <w:tcPr>
            <w:tcW w:type="dxa" w:w="31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Genuine covariate shift</w:t>
            </w:r>
          </w:p>
        </w:tc>
        <w:tc>
          <w:tcPr>
            <w:tcW w:type="dxa" w:w="31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Recalibrate the threshold.</w:t>
            </w:r>
          </w:p>
        </w:tc>
      </w:tr>
      <w:tr>
        <w:trPr>
          <w:cantSplit/>
        </w:trPr>
        <w:tc>
          <w:tcPr>
            <w:tcW w:type="dxa" w:w="1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15803D"/>
                <w:sz w:val="18"/>
                <w:szCs w:val="18"/>
              </w:rPr>
              <w:t xml:space="preserve">Low</w:t>
            </w:r>
          </w:p>
        </w:tc>
        <w:tc>
          <w:tcPr>
            <w:tcW w:type="dxa" w:w="1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15803D"/>
                <w:sz w:val="18"/>
                <w:szCs w:val="18"/>
              </w:rPr>
              <w:t xml:space="preserve">Low</w:t>
            </w:r>
          </w:p>
        </w:tc>
        <w:tc>
          <w:tcPr>
            <w:tcW w:type="dxa" w:w="31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Stable population</w:t>
            </w:r>
          </w:p>
        </w:tc>
        <w:tc>
          <w:tcPr>
            <w:tcW w:type="dxa" w:w="31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Hit-rate change is real base-rate movement.</w:t>
            </w:r>
          </w:p>
        </w:tc>
      </w:tr>
    </w:tbl>
    <w:p>
      <w:pPr>
        <w:spacing w:after="140"/>
      </w:pPr>
      <w:r>
        <w:rPr>
          <w:rFonts w:ascii="Calibri" w:cs="Calibri" w:eastAsia="Calibri" w:hAnsi="Calibri"/>
          <w:color w:val="1A1A1A"/>
          <w:sz w:val="20"/>
          <w:szCs w:val="20"/>
        </w:rPr>
        <w:t xml:space="preserve"/>
      </w:r>
    </w:p>
    <w:tbl>
      <w:tblPr>
        <w:tblW w:type="dxa" w:w="9360"/>
        <w:tblBorders>
          <w:top w:val="single" w:color="F0FDF4" w:sz="1"/>
          <w:left w:val="single" w:color="15803D" w:sz="18"/>
          <w:bottom w:val="single" w:color="F0FDF4" w:sz="1"/>
          <w:right w:val="single" w:color="F0FDF4" w:sz="1"/>
          <w:insideH w:val="none"/>
          <w:insideV w:val="none"/>
        </w:tblBorders>
      </w:tblPr>
      <w:tblGrid>
        <w:gridCol w:w="9360"/>
      </w:tblGrid>
      <w:tr>
        <w:trPr>
          <w:cantSplit/>
        </w:trPr>
        <w:tc>
          <w:tcPr>
            <w:tcW w:type="dxa" w:w="9360"/>
            <w:shd w:fill="F0FDF4" w:val="clear"/>
            <w:tcMar>
              <w:top w:type="dxa" w:w="130"/>
              <w:left w:type="dxa" w:w="200"/>
              <w:bottom w:type="dxa" w:w="130"/>
              <w:right w:type="dxa" w:w="200"/>
            </w:tcMar>
          </w:tcPr>
          <w:p>
            <w:pPr>
              <w:spacing w:after="50"/>
            </w:pPr>
            <w:r>
              <w:rPr>
                <w:rFonts w:ascii="Calibri" w:cs="Calibri" w:eastAsia="Calibri" w:hAnsi="Calibri"/>
                <w:b/>
                <w:bCs/>
                <w:color w:val="15803D"/>
                <w:sz w:val="19"/>
                <w:szCs w:val="19"/>
              </w:rPr>
              <w:t xml:space="preserve">The row that answers the original question</w:t>
            </w:r>
          </w:p>
          <w:p>
            <w:pPr>
              <w:spacing w:after="40" w:line="264"/>
            </w:pPr>
            <w:r>
              <w:rPr>
                <w:rFonts w:ascii="Calibri" w:cs="Calibri" w:eastAsia="Calibri" w:hAnsi="Calibri"/>
                <w:color w:val="2A2F3A"/>
                <w:sz w:val="19"/>
                <w:szCs w:val="19"/>
              </w:rPr>
              <w:t xml:space="preserve">Low raw drift plus low model-aware drift means your hit rate fell because the month was genuinely cleaner. Report that as a successful month, not a model failure — and hold the threshold. Lowering it to chase audit volume will destroy precision further.</w:t>
            </w:r>
          </w:p>
        </w:tc>
      </w:tr>
    </w:tbl>
    <w:p>
      <w:pPr>
        <w:spacing w:after="100"/>
      </w:pPr>
      <w:r>
        <w:rPr>
          <w:rFonts w:ascii="Calibri" w:cs="Calibri" w:eastAsia="Calibri" w:hAnsi="Calibri"/>
          <w:color w:val="1A1A1A"/>
          <w:sz w:val="20"/>
          <w:szCs w:val="20"/>
        </w:rPr>
        <w:t xml:space="preserve"/>
      </w:r>
    </w:p>
    <w:tbl>
      <w:tblPr>
        <w:tblW w:type="dxa" w:w="9360"/>
        <w:tblBorders>
          <w:top w:val="single" w:color="FEF3F2" w:sz="1"/>
          <w:left w:val="single" w:color="B42318" w:sz="18"/>
          <w:bottom w:val="single" w:color="FEF3F2" w:sz="1"/>
          <w:right w:val="single" w:color="FEF3F2" w:sz="1"/>
          <w:insideH w:val="none"/>
          <w:insideV w:val="none"/>
        </w:tblBorders>
      </w:tblPr>
      <w:tblGrid>
        <w:gridCol w:w="9360"/>
      </w:tblGrid>
      <w:tr>
        <w:trPr>
          <w:cantSplit/>
        </w:trPr>
        <w:tc>
          <w:tcPr>
            <w:tcW w:type="dxa" w:w="9360"/>
            <w:shd w:fill="FEF3F2" w:val="clear"/>
            <w:tcMar>
              <w:top w:type="dxa" w:w="130"/>
              <w:left w:type="dxa" w:w="200"/>
              <w:bottom w:type="dxa" w:w="130"/>
              <w:right w:type="dxa" w:w="200"/>
            </w:tcMar>
          </w:tcPr>
          <w:p>
            <w:pPr>
              <w:spacing w:after="50"/>
            </w:pPr>
            <w:r>
              <w:rPr>
                <w:rFonts w:ascii="Calibri" w:cs="Calibri" w:eastAsia="Calibri" w:hAnsi="Calibri"/>
                <w:b/>
                <w:bCs/>
                <w:color w:val="B42318"/>
                <w:sz w:val="19"/>
                <w:szCs w:val="19"/>
              </w:rPr>
              <w:t xml:space="preserve">The row that means stop and check the plumbing</w:t>
            </w:r>
          </w:p>
          <w:p>
            <w:pPr>
              <w:spacing w:after="40" w:line="264"/>
            </w:pPr>
            <w:r>
              <w:rPr>
                <w:rFonts w:ascii="Calibri" w:cs="Calibri" w:eastAsia="Calibri" w:hAnsi="Calibri"/>
                <w:color w:val="2A2F3A"/>
                <w:sz w:val="19"/>
                <w:szCs w:val="19"/>
              </w:rPr>
              <w:t xml:space="preserve">Low raw drift plus high model-aware drift almost always indicates a scoring pipeline problem rather than population change. The usual culprits: a stale LOS geometric-mean reference table, a changed ICD-10 or DRG grouper version, or a feature-order mismatch between training and inference.</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blind spot</w:t>
      </w:r>
    </w:p>
    <w:p>
      <w:pPr>
        <w:spacing w:after="120" w:before="0" w:line="276"/>
      </w:pPr>
      <w:r>
        <w:rPr>
          <w:rFonts w:ascii="Calibri" w:cs="Calibri" w:eastAsia="Calibri" w:hAnsi="Calibri"/>
          <w:color w:val="1A1A1A"/>
          <w:sz w:val="20"/>
          <w:szCs w:val="20"/>
        </w:rPr>
        <w:t xml:space="preserve">This method only sees drift in regions the model currently attends to. Drift building in a feature CatBoost presently ignores is invisible here — right up until a retrain makes that feature relevant. That is exactly why Method 1 runs on raw features alongside it.</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Measures drift that actually matters to your predictions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Blind to drift in features the model currently ignores</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Filters out irrelevant noise automatically</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Meaningless if the model was retrained between periods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Score PSI is cheap — run it every cycle</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SHAP-space version is expensive at scale</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Connects directly to the hit-rate question</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Requires the score column to be available</w:t>
            </w:r>
          </w:p>
        </w:tc>
      </w:tr>
    </w:tbl>
    <w:p>
      <w:r>
        <w:br w:type="page"/>
      </w:r>
    </w:p>
    <w:p>
      <w:pPr>
        <w:pStyle w:val="Heading1"/>
        <w:spacing w:after="160" w:before="360"/>
      </w:pPr>
      <w:r>
        <w:rPr>
          <w:rFonts w:ascii="Calibri" w:cs="Calibri" w:eastAsia="Calibri" w:hAnsi="Calibri"/>
          <w:b/>
          <w:bCs/>
          <w:color w:val="1F3864"/>
          <w:sz w:val="30"/>
          <w:szCs w:val="30"/>
        </w:rPr>
        <w:t xml:space="preserve">Method 6 · Copula / Dependency Drift</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did relationships change, not just levels?</w:t>
      </w:r>
      <w:r>
        <w:rPr>
          <w:rFonts w:ascii="Calibri" w:cs="Calibri" w:eastAsia="Calibri" w:hAnsi="Calibri"/>
          <w:color w:val="5A6472"/>
          <w:sz w:val="20"/>
          <w:szCs w:val="20"/>
        </w:rPr>
        <w:t xml:space="preserve">   ·   Highest value for upcoding detection</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Split any dataset into two separate questions. First: what does each feature look like on its own — the marginals. Second: how do the features move together — the dependency structure.</w:t>
      </w:r>
    </w:p>
    <w:p>
      <w:pPr>
        <w:spacing w:after="120" w:before="0" w:line="276"/>
      </w:pPr>
      <w:r>
        <w:rPr>
          <w:rFonts w:ascii="Calibri" w:cs="Calibri" w:eastAsia="Calibri" w:hAnsi="Calibri"/>
          <w:color w:val="1A1A1A"/>
          <w:sz w:val="20"/>
          <w:szCs w:val="20"/>
        </w:rPr>
        <w:t xml:space="preserve">Copula methods erase the first question entirely, in order to isolate the second.</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How the erasing works</w:t>
      </w:r>
    </w:p>
    <w:p>
      <w:pPr>
        <w:spacing w:after="120" w:before="0" w:line="276"/>
      </w:pPr>
      <w:r>
        <w:rPr>
          <w:rFonts w:ascii="Calibri" w:cs="Calibri" w:eastAsia="Calibri" w:hAnsi="Calibri"/>
          <w:color w:val="1A1A1A"/>
          <w:sz w:val="20"/>
          <w:szCs w:val="20"/>
        </w:rPr>
        <w:t xml:space="preserve">For each feature, replace every value with its percentile rank within its own period.</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Rank transformation</w:t>
            </w:r>
          </w:p>
          <w:p>
            <w:pPr>
              <w:spacing w:after="26" w:line="250"/>
            </w:pPr>
            <w:r>
              <w:rPr>
                <w:rFonts w:ascii="Consolas" w:cs="Consolas" w:eastAsia="Consolas" w:hAnsi="Consolas"/>
                <w:color w:val="33415C"/>
                <w:sz w:val="17"/>
                <w:szCs w:val="17"/>
              </w:rPr>
              <w:t xml:space="preserve">  Losgm_ratio = 1.52   →   90th percentile   →   0.90</w:t>
            </w:r>
          </w:p>
          <w:p>
            <w:pPr>
              <w:spacing w:after="26" w:line="250"/>
            </w:pPr>
            <w:r>
              <w:rPr>
                <w:rFonts w:ascii="Consolas" w:cs="Consolas" w:eastAsia="Consolas" w:hAnsi="Consolas"/>
                <w:color w:val="33415C"/>
                <w:sz w:val="17"/>
                <w:szCs w:val="17"/>
              </w:rPr>
              <w:t xml:space="preserve">  Mcc_count   = 4      →   75th percentile   →   0.75</w:t>
            </w:r>
          </w:p>
          <w:p>
            <w:pPr>
              <w:spacing w:after="26" w:line="250"/>
            </w:pPr>
            <w:r>
              <w:rPr>
                <w:rFonts w:ascii="Consolas" w:cs="Consolas" w:eastAsia="Consolas" w:hAnsi="Consolas"/>
                <w:color w:val="33415C"/>
                <w:sz w:val="17"/>
                <w:szCs w:val="17"/>
              </w:rPr>
              <w:t xml:space="preserve">  Cc_count    = 2      →   48th percentile   →   0.48</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Applied to both periods, every feature now has an identical</w:t>
            </w:r>
          </w:p>
          <w:p>
            <w:pPr>
              <w:spacing w:after="26" w:line="250"/>
            </w:pPr>
            <w:r>
              <w:rPr>
                <w:rFonts w:ascii="Consolas" w:cs="Consolas" w:eastAsia="Consolas" w:hAnsi="Consolas"/>
                <w:color w:val="33415C"/>
                <w:sz w:val="17"/>
                <w:szCs w:val="17"/>
              </w:rPr>
              <w:t xml:space="preserve">distribution — perfectly flat from 0 to 1.</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All marginal differences are gone by construction.</w:t>
            </w:r>
          </w:p>
          <w:p>
            <w:pPr>
              <w:spacing w:after="26" w:line="250"/>
            </w:pPr>
            <w:r>
              <w:rPr>
                <w:rFonts w:ascii="Consolas" w:cs="Consolas" w:eastAsia="Consolas" w:hAnsi="Consolas"/>
                <w:color w:val="33415C"/>
                <w:sz w:val="17"/>
                <w:szCs w:val="17"/>
              </w:rPr>
              <w:t xml:space="preserve">Anything still different must be dependency structure.</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 — the inversion</w:t>
      </w:r>
    </w:p>
    <w:p>
      <w:pPr>
        <w:spacing w:after="120" w:before="0" w:line="276"/>
      </w:pPr>
      <w:r>
        <w:rPr>
          <w:rFonts w:ascii="Calibri" w:cs="Calibri" w:eastAsia="Calibri" w:hAnsi="Calibri"/>
          <w:color w:val="1A1A1A"/>
          <w:sz w:val="20"/>
          <w:szCs w:val="20"/>
        </w:rPr>
        <w:t xml:space="preserve">Return to the scenario from the opening of this document: high-severity claims migrating from academic centres to community hospitals, with every marginal unchanged.</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350"/>
        <w:gridCol w:w="1250"/>
        <w:gridCol w:w="2510"/>
      </w:tblGrid>
      <w:tr>
        <w:trPr>
          <w:tblHeader/>
        </w:trPr>
        <w:tc>
          <w:tcPr>
            <w:tcW w:type="dxa" w:w="29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Relationship</w:t>
            </w:r>
          </w:p>
        </w:tc>
        <w:tc>
          <w:tcPr>
            <w:tcW w:type="dxa" w:w="135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Baseline ρ</w:t>
            </w:r>
          </w:p>
        </w:tc>
        <w:tc>
          <w:tcPr>
            <w:tcW w:type="dxa" w:w="135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Current ρ</w:t>
            </w:r>
          </w:p>
        </w:tc>
        <w:tc>
          <w:tcPr>
            <w:tcW w:type="dxa" w:w="125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Change</w:t>
            </w:r>
          </w:p>
        </w:tc>
        <w:tc>
          <w:tcPr>
            <w:tcW w:type="dxa" w:w="251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r>
      <w:tr>
        <w:trPr>
          <w:cantSplit/>
        </w:trPr>
        <w:tc>
          <w:tcPr>
            <w:tcW w:type="dxa" w:w="2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Providertaxid × Mcc_count</w:t>
            </w:r>
          </w:p>
        </w:tc>
        <w:tc>
          <w:tcPr>
            <w:tcW w:type="dxa" w:w="13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+0.42</w:t>
            </w:r>
          </w:p>
        </w:tc>
        <w:tc>
          <w:tcPr>
            <w:tcW w:type="dxa" w:w="13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B42318"/>
                <w:sz w:val="18"/>
                <w:szCs w:val="18"/>
              </w:rPr>
              <w:t xml:space="preserve">−0.11</w:t>
            </w:r>
          </w:p>
        </w:tc>
        <w:tc>
          <w:tcPr>
            <w:tcW w:type="dxa" w:w="12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−0.53</w:t>
            </w:r>
          </w:p>
        </w:tc>
        <w:tc>
          <w:tcPr>
            <w:tcW w:type="dxa" w:w="251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Inverted</w:t>
            </w:r>
          </w:p>
        </w:tc>
      </w:tr>
      <w:tr>
        <w:trPr>
          <w:cantSplit/>
        </w:trPr>
        <w:tc>
          <w:tcPr>
            <w:tcW w:type="dxa" w:w="2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drgcode × Mcc_count</w:t>
            </w:r>
          </w:p>
        </w:tc>
        <w:tc>
          <w:tcPr>
            <w:tcW w:type="dxa" w:w="13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−0.02</w:t>
            </w:r>
          </w:p>
        </w:tc>
        <w:tc>
          <w:tcPr>
            <w:tcW w:type="dxa" w:w="13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B42318"/>
                <w:sz w:val="18"/>
                <w:szCs w:val="18"/>
              </w:rPr>
              <w:t xml:space="preserve">−0.45</w:t>
            </w:r>
          </w:p>
        </w:tc>
        <w:tc>
          <w:tcPr>
            <w:tcW w:type="dxa" w:w="12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−0.43</w:t>
            </w:r>
          </w:p>
        </w:tc>
        <w:tc>
          <w:tcPr>
            <w:tcW w:type="dxa" w:w="251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B45309"/>
                <w:sz w:val="18"/>
                <w:szCs w:val="18"/>
              </w:rPr>
              <w:t xml:space="preserve">Materially changed</w:t>
            </w:r>
          </w:p>
        </w:tc>
      </w:tr>
      <w:tr>
        <w:trPr>
          <w:cantSplit/>
        </w:trPr>
        <w:tc>
          <w:tcPr>
            <w:tcW w:type="dxa" w:w="2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Losgm_ratio × Mcc_count</w:t>
            </w:r>
          </w:p>
        </w:tc>
        <w:tc>
          <w:tcPr>
            <w:tcW w:type="dxa" w:w="13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+0.31</w:t>
            </w:r>
          </w:p>
        </w:tc>
        <w:tc>
          <w:tcPr>
            <w:tcW w:type="dxa" w:w="13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+0.28</w:t>
            </w:r>
          </w:p>
        </w:tc>
        <w:tc>
          <w:tcPr>
            <w:tcW w:type="dxa" w:w="12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−0.03</w:t>
            </w:r>
          </w:p>
        </w:tc>
        <w:tc>
          <w:tcPr>
            <w:tcW w:type="dxa" w:w="251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Stable</w:t>
            </w:r>
          </w:p>
        </w:tc>
      </w:tr>
      <w:tr>
        <w:trPr>
          <w:cantSplit/>
        </w:trPr>
        <w:tc>
          <w:tcPr>
            <w:tcW w:type="dxa" w:w="2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1A1A1A"/>
                <w:sz w:val="18"/>
                <w:szCs w:val="18"/>
              </w:rPr>
              <w:t xml:space="preserve">Cc_count × Primary_diag</w:t>
            </w:r>
          </w:p>
        </w:tc>
        <w:tc>
          <w:tcPr>
            <w:tcW w:type="dxa" w:w="13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+0.19</w:t>
            </w:r>
          </w:p>
        </w:tc>
        <w:tc>
          <w:tcPr>
            <w:tcW w:type="dxa" w:w="13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+0.22</w:t>
            </w:r>
          </w:p>
        </w:tc>
        <w:tc>
          <w:tcPr>
            <w:tcW w:type="dxa" w:w="12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+0.03</w:t>
            </w:r>
          </w:p>
        </w:tc>
        <w:tc>
          <w:tcPr>
            <w:tcW w:type="dxa" w:w="251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val="false"/>
                <w:bCs w:val="false"/>
                <w:color w:val="15803D"/>
                <w:sz w:val="18"/>
                <w:szCs w:val="18"/>
              </w:rPr>
              <w:t xml:space="preserve">Stable</w:t>
            </w:r>
          </w:p>
        </w:tc>
      </w:tr>
    </w:tbl>
    <w:p>
      <w:pPr>
        <w:spacing w:after="140"/>
      </w:pPr>
      <w:r>
        <w:rPr>
          <w:rFonts w:ascii="Calibri" w:cs="Calibri" w:eastAsia="Calibri" w:hAnsi="Calibri"/>
          <w:color w:val="1A1A1A"/>
          <w:sz w:val="20"/>
          <w:szCs w:val="20"/>
        </w:rPr>
        <w:t xml:space="preserve"/>
      </w:r>
    </w:p>
    <w:tbl>
      <w:tblPr>
        <w:tblW w:type="dxa" w:w="9360"/>
        <w:tblBorders>
          <w:top w:val="single" w:color="FEF3F2" w:sz="1"/>
          <w:left w:val="single" w:color="B42318" w:sz="18"/>
          <w:bottom w:val="single" w:color="FEF3F2" w:sz="1"/>
          <w:right w:val="single" w:color="FEF3F2" w:sz="1"/>
          <w:insideH w:val="none"/>
          <w:insideV w:val="none"/>
        </w:tblBorders>
      </w:tblPr>
      <w:tblGrid>
        <w:gridCol w:w="9360"/>
      </w:tblGrid>
      <w:tr>
        <w:trPr>
          <w:cantSplit/>
        </w:trPr>
        <w:tc>
          <w:tcPr>
            <w:tcW w:type="dxa" w:w="9360"/>
            <w:shd w:fill="FEF3F2" w:val="clear"/>
            <w:tcMar>
              <w:top w:type="dxa" w:w="130"/>
              <w:left w:type="dxa" w:w="200"/>
              <w:bottom w:type="dxa" w:w="130"/>
              <w:right w:type="dxa" w:w="200"/>
            </w:tcMar>
          </w:tcPr>
          <w:p>
            <w:pPr>
              <w:spacing w:after="50"/>
            </w:pPr>
            <w:r>
              <w:rPr>
                <w:rFonts w:ascii="Calibri" w:cs="Calibri" w:eastAsia="Calibri" w:hAnsi="Calibri"/>
                <w:b/>
                <w:bCs/>
                <w:color w:val="B42318"/>
                <w:sz w:val="19"/>
                <w:szCs w:val="19"/>
              </w:rPr>
              <w:t xml:space="preserve">Why the first row is the finding</w:t>
            </w:r>
          </w:p>
          <w:p>
            <w:pPr>
              <w:spacing w:after="40" w:line="264"/>
            </w:pPr>
            <w:r>
              <w:rPr>
                <w:rFonts w:ascii="Calibri" w:cs="Calibri" w:eastAsia="Calibri" w:hAnsi="Calibri"/>
                <w:color w:val="2A2F3A"/>
                <w:sz w:val="19"/>
                <w:szCs w:val="19"/>
              </w:rPr>
              <w:t xml:space="preserve">The provider-to-severity relationship did not weaken — it reversed. The rule the model learned about how these two fields relate is now inverted, even though both fields individually look completely unchanged. A sign flip is the strongest form of dependency drift there is.</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metric</w:t>
      </w:r>
    </w:p>
    <w:p>
      <w:pPr>
        <w:spacing w:after="120" w:before="0" w:line="276"/>
      </w:pPr>
      <w:r>
        <w:rPr>
          <w:rFonts w:ascii="Calibri" w:cs="Calibri" w:eastAsia="Calibri" w:hAnsi="Calibri"/>
          <w:color w:val="1A1A1A"/>
          <w:sz w:val="20"/>
          <w:szCs w:val="20"/>
        </w:rPr>
        <w:t xml:space="preserve">Compute the Spearman rank-correlation matrix for each period, subtract them, and take the Frobenius norm of the difference — the square root of the sum of all squared changes. That single number is the Dependency Drift Index.</w:t>
      </w:r>
    </w:p>
    <w:p>
      <w:pPr>
        <w:spacing w:after="6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Dependency Drift Index</w:t>
            </w:r>
          </w:p>
          <w:p>
            <w:pPr>
              <w:spacing w:after="26" w:line="250"/>
            </w:pPr>
            <w:r>
              <w:rPr>
                <w:rFonts w:ascii="Consolas" w:cs="Consolas" w:eastAsia="Consolas" w:hAnsi="Consolas"/>
                <w:color w:val="33415C"/>
                <w:sz w:val="17"/>
                <w:szCs w:val="17"/>
              </w:rPr>
              <w:t xml:space="preserve">  Frobenius norm of Δ         1.06</w:t>
            </w:r>
          </w:p>
          <w:p>
            <w:pPr>
              <w:spacing w:after="26" w:line="250"/>
            </w:pPr>
            <w:r>
              <w:rPr>
                <w:rFonts w:ascii="Consolas" w:cs="Consolas" w:eastAsia="Consolas" w:hAnsi="Consolas"/>
                <w:color w:val="33415C"/>
                <w:sz w:val="17"/>
                <w:szCs w:val="17"/>
              </w:rPr>
              <w:t xml:space="preserve">  Normalised index            0.47      (0 = stable, 1 = total restructure)</w:t>
            </w:r>
          </w:p>
          <w:p>
            <w:pPr>
              <w:spacing w:after="26" w:line="250"/>
            </w:pPr>
            <w:r>
              <w:rPr>
                <w:rFonts w:ascii="Consolas" w:cs="Consolas" w:eastAsia="Consolas" w:hAnsi="Consolas"/>
                <w:color w:val="33415C"/>
                <w:sz w:val="17"/>
                <w:szCs w:val="17"/>
              </w:rPr>
              <w:t xml:space="preserve">  Sign-flipped relationships  2</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Compare: a stable month typically scores 0.10 – 0.18</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Why SMEs respond well to this one</w:t>
      </w:r>
    </w:p>
    <w:p>
      <w:pPr>
        <w:spacing w:after="120" w:before="0" w:line="276"/>
      </w:pPr>
      <w:r>
        <w:rPr>
          <w:rFonts w:ascii="Calibri" w:cs="Calibri" w:eastAsia="Calibri" w:hAnsi="Calibri"/>
          <w:color w:val="1A1A1A"/>
          <w:sz w:val="20"/>
          <w:szCs w:val="20"/>
        </w:rPr>
        <w:t xml:space="preserve">The correlation-difference matrix renders as a heatmap. A red cell at the intersection of Providertaxid and Mcc_count is immediately legible to a clinical auditor with no statistics background. You can point at it in a meeting and the conversation moves forward.</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limitation</w:t>
      </w:r>
    </w:p>
    <w:p>
      <w:pPr>
        <w:spacing w:after="120" w:before="0" w:line="276"/>
      </w:pPr>
      <w:r>
        <w:rPr>
          <w:rFonts w:ascii="Calibri" w:cs="Calibri" w:eastAsia="Calibri" w:hAnsi="Calibri"/>
          <w:color w:val="1A1A1A"/>
          <w:sz w:val="20"/>
          <w:szCs w:val="20"/>
        </w:rPr>
        <w:t xml:space="preserve">Rank correlation only captures monotone relationships — as one field rises, the other tends to rise. If the true pattern is U-shaped, where both very short and very long stays are suspicious but middling ones are not, this will miss it.</w:t>
      </w:r>
    </w:p>
    <w:p>
      <w:pPr>
        <w:spacing w:after="120" w:before="0" w:line="276"/>
      </w:pPr>
      <w:r>
        <w:rPr>
          <w:rFonts w:ascii="Calibri" w:cs="Calibri" w:eastAsia="Calibri" w:hAnsi="Calibri"/>
          <w:color w:val="1A1A1A"/>
          <w:sz w:val="20"/>
          <w:szCs w:val="20"/>
        </w:rPr>
        <w:t xml:space="preserve">For fuller coverage, run Method 1 on the rank-transformed data rather than only comparing correlation matrices.</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Isolates exactly the failure mode marginal tests cannot see</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Only captures monotone dependence</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Directly interpretable as a dependency-structure metric</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Categoricals need a rank-transform workaround</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Heatmap output communicates well to non-technical reviewers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Extra preprocessing complexity</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Matches the signature of coordinated upcoding behaviour</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Needs a stable baseline to know what normal looks like</w:t>
            </w:r>
          </w:p>
        </w:tc>
      </w:tr>
    </w:tbl>
    <w:p>
      <w:r>
        <w:br w:type="page"/>
      </w:r>
    </w:p>
    <w:p>
      <w:pPr>
        <w:pStyle w:val="Heading1"/>
        <w:spacing w:after="160" w:before="360"/>
      </w:pPr>
      <w:r>
        <w:rPr>
          <w:rFonts w:ascii="Calibri" w:cs="Calibri" w:eastAsia="Calibri" w:hAnsi="Calibri"/>
          <w:b/>
          <w:bCs/>
          <w:color w:val="1F3864"/>
          <w:sz w:val="30"/>
          <w:szCs w:val="30"/>
        </w:rPr>
        <w:t xml:space="preserve">Method 7 · Density Ratio Estimation</w:t>
      </w:r>
    </w:p>
    <w:p>
      <w:pPr>
        <w:spacing w:after="120" w:before="0" w:line="276"/>
      </w:pPr>
      <w:r>
        <w:rPr>
          <w:rFonts w:ascii="Calibri" w:cs="Calibri" w:eastAsia="Calibri" w:hAnsi="Calibri"/>
          <w:color w:val="5A6472"/>
          <w:sz w:val="20"/>
          <w:szCs w:val="20"/>
        </w:rPr>
        <w:t xml:space="preserve">Nickname: </w:t>
      </w:r>
      <w:r>
        <w:rPr>
          <w:rFonts w:ascii="Calibri" w:cs="Calibri" w:eastAsia="Calibri" w:hAnsi="Calibri"/>
          <w:b/>
          <w:bCs/>
          <w:color w:val="1A1A1A"/>
          <w:sz w:val="20"/>
          <w:szCs w:val="20"/>
        </w:rPr>
        <w:t xml:space="preserve">which specific claims are new?</w:t>
      </w:r>
      <w:r>
        <w:rPr>
          <w:rFonts w:ascii="Calibri" w:cs="Calibri" w:eastAsia="Calibri" w:hAnsi="Calibri"/>
          <w:color w:val="5A6472"/>
          <w:sz w:val="20"/>
          <w:szCs w:val="20"/>
        </w:rPr>
        <w:t xml:space="preserve">   ·   The method that gives you a fix, not just a diagnosis</w:t>
      </w:r>
    </w:p>
    <w:p>
      <w:pPr>
        <w:pBdr>
          <w:bottom w:val="single" w:color="D6DCE5" w:sz="6"/>
        </w:pBdr>
        <w:spacing w:after="160" w:before="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intuition</w:t>
      </w:r>
    </w:p>
    <w:p>
      <w:pPr>
        <w:spacing w:after="120" w:before="0" w:line="276"/>
      </w:pPr>
      <w:r>
        <w:rPr>
          <w:rFonts w:ascii="Calibri" w:cs="Calibri" w:eastAsia="Calibri" w:hAnsi="Calibri"/>
          <w:color w:val="1A1A1A"/>
          <w:sz w:val="20"/>
          <w:szCs w:val="20"/>
        </w:rPr>
        <w:t xml:space="preserve">For each individual claim, ask: how much more likely is this claim under the current period than under the baseline year? That ratio is the weight w(x).</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rPr>
          <w:tblHeader/>
        </w:trPr>
        <w:tc>
          <w:tcPr>
            <w:tcW w:type="dxa" w:w="42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Claim profile</w:t>
            </w:r>
          </w:p>
        </w:tc>
        <w:tc>
          <w:tcPr>
            <w:tcW w:type="dxa" w:w="9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w(x)</w:t>
            </w:r>
          </w:p>
        </w:tc>
        <w:tc>
          <w:tcPr>
            <w:tcW w:type="dxa" w:w="42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r>
      <w:tr>
        <w:trPr>
          <w:cantSplit/>
        </w:trPr>
        <w:tc>
          <w:tcPr>
            <w:tcW w:type="dxa" w:w="42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DRG 470, LOS ratio 1.0, 0 MCC, home discharge</w:t>
            </w:r>
          </w:p>
        </w:tc>
        <w:tc>
          <w:tcPr>
            <w:tcW w:type="dxa" w:w="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1.0</w:t>
            </w:r>
          </w:p>
        </w:tc>
        <w:tc>
          <w:tcPr>
            <w:tcW w:type="dxa" w:w="42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15803D"/>
                <w:sz w:val="18"/>
                <w:szCs w:val="18"/>
              </w:rPr>
              <w:t xml:space="preserve">Equally common in both periods</w:t>
            </w:r>
          </w:p>
        </w:tc>
      </w:tr>
      <w:tr>
        <w:trPr>
          <w:cantSplit/>
        </w:trPr>
        <w:tc>
          <w:tcPr>
            <w:tcW w:type="dxa" w:w="42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DRG 871, LOS ratio 1.6, 4 MCC, provider 87-xxx4421</w:t>
            </w:r>
          </w:p>
        </w:tc>
        <w:tc>
          <w:tcPr>
            <w:tcW w:type="dxa" w:w="9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2318"/>
                <w:sz w:val="18"/>
                <w:szCs w:val="18"/>
              </w:rPr>
              <w:t xml:space="preserve">8.4</w:t>
            </w:r>
          </w:p>
        </w:tc>
        <w:tc>
          <w:tcPr>
            <w:tcW w:type="dxa" w:w="42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val="false"/>
                <w:bCs w:val="false"/>
                <w:color w:val="B42318"/>
                <w:sz w:val="18"/>
                <w:szCs w:val="18"/>
              </w:rPr>
              <w:t xml:space="preserve">Eight times more characteristic of this month</w:t>
            </w:r>
          </w:p>
        </w:tc>
      </w:tr>
      <w:tr>
        <w:trPr>
          <w:cantSplit/>
        </w:trPr>
        <w:tc>
          <w:tcPr>
            <w:tcW w:type="dxa" w:w="42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DRG 291, LOS ratio 0.7, 1 CC, rural provider</w:t>
            </w:r>
          </w:p>
        </w:tc>
        <w:tc>
          <w:tcPr>
            <w:tcW w:type="dxa" w:w="9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bCs/>
                <w:color w:val="2E5AAC"/>
                <w:sz w:val="18"/>
                <w:szCs w:val="18"/>
              </w:rPr>
              <w:t xml:space="preserve">0.15</w:t>
            </w:r>
          </w:p>
        </w:tc>
        <w:tc>
          <w:tcPr>
            <w:tcW w:type="dxa" w:w="42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val="false"/>
                <w:bCs w:val="false"/>
                <w:color w:val="2E5AAC"/>
                <w:sz w:val="18"/>
                <w:szCs w:val="18"/>
              </w:rPr>
              <w:t xml:space="preserve">This profile has largely disappeared</w:t>
            </w:r>
          </w:p>
        </w:tc>
      </w:tr>
    </w:tbl>
    <w:p>
      <w:pPr>
        <w:spacing w:after="140"/>
      </w:pPr>
      <w:r>
        <w:rPr>
          <w:rFonts w:ascii="Calibri" w:cs="Calibri" w:eastAsia="Calibri" w:hAnsi="Calibri"/>
          <w:color w:val="1A1A1A"/>
          <w:sz w:val="20"/>
          <w:szCs w:val="20"/>
        </w:rPr>
        <w:t xml:space="preserve"/>
      </w:r>
    </w:p>
    <w:tbl>
      <w:tblPr>
        <w:tblW w:type="dxa" w:w="9360"/>
        <w:tblBorders>
          <w:top w:val="single" w:color="F0FDF4" w:sz="1"/>
          <w:left w:val="single" w:color="15803D" w:sz="18"/>
          <w:bottom w:val="single" w:color="F0FDF4" w:sz="1"/>
          <w:right w:val="single" w:color="F0FDF4" w:sz="1"/>
          <w:insideH w:val="none"/>
          <w:insideV w:val="none"/>
        </w:tblBorders>
      </w:tblPr>
      <w:tblGrid>
        <w:gridCol w:w="9360"/>
      </w:tblGrid>
      <w:tr>
        <w:trPr>
          <w:cantSplit/>
        </w:trPr>
        <w:tc>
          <w:tcPr>
            <w:tcW w:type="dxa" w:w="9360"/>
            <w:shd w:fill="F0FDF4" w:val="clear"/>
            <w:tcMar>
              <w:top w:type="dxa" w:w="130"/>
              <w:left w:type="dxa" w:w="200"/>
              <w:bottom w:type="dxa" w:w="130"/>
              <w:right w:type="dxa" w:w="200"/>
            </w:tcMar>
          </w:tcPr>
          <w:p>
            <w:pPr>
              <w:spacing w:after="50"/>
            </w:pPr>
            <w:r>
              <w:rPr>
                <w:rFonts w:ascii="Calibri" w:cs="Calibri" w:eastAsia="Calibri" w:hAnsi="Calibri"/>
                <w:b/>
                <w:bCs/>
                <w:color w:val="15803D"/>
                <w:sz w:val="19"/>
                <w:szCs w:val="19"/>
              </w:rPr>
              <w:t xml:space="preserve">The operationally useful move</w:t>
            </w:r>
          </w:p>
          <w:p>
            <w:pPr>
              <w:spacing w:after="40" w:line="264"/>
            </w:pPr>
            <w:r>
              <w:rPr>
                <w:rFonts w:ascii="Calibri" w:cs="Calibri" w:eastAsia="Calibri" w:hAnsi="Calibri"/>
                <w:color w:val="2A2F3A"/>
                <w:sz w:val="19"/>
                <w:szCs w:val="19"/>
              </w:rPr>
              <w:t xml:space="preserve">Sort by w(x), take the top 50 claims, and hand them to a clinical SME with one question: what is going on with these? That is a far more concrete conversation than presenting a drift statistic and asking for an opinion.</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You do not need to estimate two densities</w:t>
      </w:r>
    </w:p>
    <w:p>
      <w:pPr>
        <w:spacing w:after="120" w:before="0" w:line="276"/>
      </w:pPr>
      <w:r>
        <w:rPr>
          <w:rFonts w:ascii="Calibri" w:cs="Calibri" w:eastAsia="Calibri" w:hAnsi="Calibri"/>
          <w:color w:val="1A1A1A"/>
          <w:sz w:val="20"/>
          <w:szCs w:val="20"/>
        </w:rPr>
        <w:t xml:space="preserve">Estimating the baseline density and the current density separately is hard and unstable. You do not have to. If you already trained the detective in Method 1, then:</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Deriving the weights from the classifier</w:t>
            </w:r>
          </w:p>
          <w:p>
            <w:pPr>
              <w:spacing w:after="26" w:line="250"/>
            </w:pPr>
            <w:r>
              <w:rPr>
                <w:rFonts w:ascii="Consolas" w:cs="Consolas" w:eastAsia="Consolas" w:hAnsi="Consolas"/>
                <w:color w:val="33415C"/>
                <w:sz w:val="17"/>
                <w:szCs w:val="17"/>
              </w:rPr>
              <w:t xml:space="preserve">  w(x)  =  p_current(x) / p_baseline(x)</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  detective_probability / (1 − detective_probability)</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 prior correction for unequal period sizes</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Methods 1 and 7 are the same trained model, read two</w:t>
            </w:r>
          </w:p>
          <w:p>
            <w:pPr>
              <w:spacing w:after="26" w:line="250"/>
            </w:pPr>
            <w:r>
              <w:rPr>
                <w:rFonts w:ascii="Consolas" w:cs="Consolas" w:eastAsia="Consolas" w:hAnsi="Consolas"/>
                <w:color w:val="33415C"/>
                <w:sz w:val="17"/>
                <w:szCs w:val="17"/>
              </w:rPr>
              <w:t xml:space="preserve">different ways. Train once, get both.</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payoff that matters most</w:t>
      </w:r>
    </w:p>
    <w:p>
      <w:pPr>
        <w:spacing w:after="120" w:before="0" w:line="276"/>
      </w:pPr>
      <w:r>
        <w:rPr>
          <w:rFonts w:ascii="Calibri" w:cs="Calibri" w:eastAsia="Calibri" w:hAnsi="Calibri"/>
          <w:color w:val="1A1A1A"/>
          <w:sz w:val="20"/>
          <w:szCs w:val="20"/>
        </w:rPr>
        <w:t xml:space="preserve">Take your historical labelled claims — the ones where you actually have audit outcomes — weight each by its w(x), and refit or recalibrate CatBoost on that weighted set.</w:t>
      </w:r>
    </w:p>
    <w:p>
      <w:pPr>
        <w:spacing w:after="120" w:before="0" w:line="276"/>
      </w:pPr>
      <w:r>
        <w:rPr>
          <w:rFonts w:ascii="Calibri" w:cs="Calibri" w:eastAsia="Calibri" w:hAnsi="Calibri"/>
          <w:color w:val="1A1A1A"/>
          <w:sz w:val="20"/>
          <w:szCs w:val="20"/>
        </w:rPr>
        <w:t xml:space="preserve">You have now adjusted the model toward the current population without waiting for new audit labels. Given that outcomes take months to accumulate, this is the difference between recalibrating now and recalibrating next quarter.</w:t>
      </w:r>
    </w:p>
    <w:p>
      <w:pPr>
        <w:spacing w:after="12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stability check you must run first</w:t>
      </w:r>
    </w:p>
    <w:p>
      <w:pPr>
        <w:spacing w:after="120" w:before="0" w:line="276"/>
      </w:pPr>
      <w:r>
        <w:rPr>
          <w:rFonts w:ascii="Calibri" w:cs="Calibri" w:eastAsia="Calibri" w:hAnsi="Calibri"/>
          <w:color w:val="1A1A1A"/>
          <w:sz w:val="20"/>
          <w:szCs w:val="20"/>
        </w:rPr>
        <w:t xml:space="preserve">Weights become unstable in high dimensions. A handful of claims can pull weights of 50 or 200 and dominate everything downstream. Effective Sample Size tells you whether the reweighting is trustworthy.</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Effective sample size</w:t>
            </w:r>
          </w:p>
        </w:tc>
        <w:tc>
          <w:tcPr>
            <w:tcW w:type="dxa" w:w="32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Reading</w:t>
            </w:r>
          </w:p>
        </w:tc>
        <w:tc>
          <w:tcPr>
            <w:tcW w:type="dxa" w:w="35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Action</w:t>
            </w:r>
          </w:p>
        </w:tc>
      </w:tr>
      <w:tr>
        <w:trPr>
          <w:cantSplit/>
        </w:trPr>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5803D"/>
                <w:sz w:val="18"/>
                <w:szCs w:val="18"/>
              </w:rPr>
              <w:t xml:space="preserve">above 60% of nominal</w:t>
            </w:r>
          </w:p>
        </w:tc>
        <w:tc>
          <w:tcPr>
            <w:tcW w:type="dxa" w:w="32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Weights are well behaved</w:t>
            </w:r>
          </w:p>
        </w:tc>
        <w:tc>
          <w:tcPr>
            <w:tcW w:type="dxa" w:w="35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Reweighted recalibration is viable</w:t>
            </w:r>
          </w:p>
        </w:tc>
      </w:tr>
      <w:tr>
        <w:trPr>
          <w:cantSplit/>
        </w:trPr>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B45309"/>
                <w:sz w:val="18"/>
                <w:szCs w:val="18"/>
              </w:rPr>
              <w:t xml:space="preserve">30% – 60%</w:t>
            </w:r>
          </w:p>
        </w:tc>
        <w:tc>
          <w:tcPr>
            <w:tcW w:type="dxa" w:w="32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Moderately concentrated</w:t>
            </w:r>
          </w:p>
        </w:tc>
        <w:tc>
          <w:tcPr>
            <w:tcW w:type="dxa" w:w="35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Usable, but validate carefully</w:t>
            </w:r>
          </w:p>
        </w:tc>
      </w:tr>
      <w:tr>
        <w:trPr>
          <w:cantSplit/>
        </w:trPr>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bCs/>
                <w:color w:val="B42318"/>
                <w:sz w:val="18"/>
                <w:szCs w:val="18"/>
              </w:rPr>
              <w:t xml:space="preserve">below 30%</w:t>
            </w:r>
          </w:p>
        </w:tc>
        <w:tc>
          <w:tcPr>
            <w:tcW w:type="dxa" w:w="32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 few claims carry most of the weight</w:t>
            </w:r>
          </w:p>
        </w:tc>
        <w:tc>
          <w:tcPr>
            <w:tcW w:type="dxa" w:w="35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Use the novelty ranking only; do not reweight</w:t>
            </w:r>
          </w:p>
        </w:tc>
      </w:tr>
    </w:tbl>
    <w:p>
      <w:pPr>
        <w:spacing w:after="140"/>
      </w:pPr>
      <w:r>
        <w:rPr>
          <w:rFonts w:ascii="Calibri" w:cs="Calibri" w:eastAsia="Calibri" w:hAnsi="Calibri"/>
          <w:color w:val="1A1A1A"/>
          <w:sz w:val="20"/>
          <w:szCs w:val="20"/>
        </w:rPr>
        <w:t xml:space="preserve"/>
      </w:r>
    </w:p>
    <w:tbl>
      <w:tblPr>
        <w:tblW w:type="dxa" w:w="9360"/>
        <w:tblBorders>
          <w:top w:val="single" w:color="FFFBEB" w:sz="1"/>
          <w:left w:val="single" w:color="B45309" w:sz="18"/>
          <w:bottom w:val="single" w:color="FFFBEB" w:sz="1"/>
          <w:right w:val="single" w:color="FFFBEB" w:sz="1"/>
          <w:insideH w:val="none"/>
          <w:insideV w:val="none"/>
        </w:tblBorders>
      </w:tblPr>
      <w:tblGrid>
        <w:gridCol w:w="9360"/>
      </w:tblGrid>
      <w:tr>
        <w:trPr>
          <w:cantSplit/>
        </w:trPr>
        <w:tc>
          <w:tcPr>
            <w:tcW w:type="dxa" w:w="9360"/>
            <w:shd w:fill="FFFBEB" w:val="clear"/>
            <w:tcMar>
              <w:top w:type="dxa" w:w="130"/>
              <w:left w:type="dxa" w:w="200"/>
              <w:bottom w:type="dxa" w:w="130"/>
              <w:right w:type="dxa" w:w="200"/>
            </w:tcMar>
          </w:tcPr>
          <w:p>
            <w:pPr>
              <w:spacing w:after="50"/>
            </w:pPr>
            <w:r>
              <w:rPr>
                <w:rFonts w:ascii="Calibri" w:cs="Calibri" w:eastAsia="Calibri" w:hAnsi="Calibri"/>
                <w:b/>
                <w:bCs/>
                <w:color w:val="B45309"/>
                <w:sz w:val="19"/>
                <w:szCs w:val="19"/>
              </w:rPr>
              <w:t xml:space="preserve">The governance caveat</w:t>
            </w:r>
          </w:p>
          <w:p>
            <w:pPr>
              <w:spacing w:after="40" w:line="264"/>
            </w:pPr>
            <w:r>
              <w:rPr>
                <w:rFonts w:ascii="Calibri" w:cs="Calibri" w:eastAsia="Calibri" w:hAnsi="Calibri"/>
                <w:color w:val="2A2F3A"/>
                <w:sz w:val="19"/>
                <w:szCs w:val="19"/>
              </w:rPr>
              <w:t xml:space="preserve">Weights are clipped at the 99th percentile to stop outliers dominating. That clip point is arbitrary and will need to be documented and defended in model validation. Record it explicitly rather than leaving it as an implementation detail.</w:t>
            </w:r>
          </w:p>
        </w:tc>
      </w:tr>
    </w:tbl>
    <w:p>
      <w:pPr>
        <w:spacing w:after="14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Strengths</w:t>
            </w:r>
          </w:p>
        </w:tc>
        <w:tc>
          <w:tcPr>
            <w:tcW w:type="dxa" w:w="468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Limitations</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Gives you the remediation, not just the diagnosis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Density ratios are unstable in high dimensions</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Per-claim novelty scores are concrete and investigable</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Extreme weights need clipping — another arbitrary choice</w:t>
            </w:r>
          </w:p>
        </w:tc>
      </w:tr>
      <w:tr>
        <w:trPr>
          <w:cantSplit/>
        </w:trPr>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Enables recalibration without waiting for new labels</w:t>
            </w:r>
          </w:p>
        </w:tc>
        <w:tc>
          <w:tcPr>
            <w:tcW w:type="dxa" w:w="468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More machinery than most teams will maintain</w:t>
            </w:r>
          </w:p>
        </w:tc>
      </w:tr>
      <w:tr>
        <w:trPr>
          <w:cantSplit/>
        </w:trPr>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Free once Method 1 is built — same underlying model</w:t>
            </w:r>
          </w:p>
        </w:tc>
        <w:tc>
          <w:tcPr>
            <w:tcW w:type="dxa" w:w="468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Effective sample size can collapse under strong drift</w:t>
            </w:r>
          </w:p>
        </w:tc>
      </w:tr>
    </w:tbl>
    <w:p>
      <w:r>
        <w:br w:type="page"/>
      </w:r>
    </w:p>
    <w:p>
      <w:pPr>
        <w:pStyle w:val="Heading1"/>
        <w:spacing w:after="160" w:before="360"/>
      </w:pPr>
      <w:r>
        <w:rPr>
          <w:rFonts w:ascii="Calibri" w:cs="Calibri" w:eastAsia="Calibri" w:hAnsi="Calibri"/>
          <w:b/>
          <w:bCs/>
          <w:color w:val="1F3864"/>
          <w:sz w:val="30"/>
          <w:szCs w:val="30"/>
        </w:rPr>
        <w:t xml:space="preserve">Putting the seven together</w:t>
      </w:r>
    </w:p>
    <w:p>
      <w:pPr>
        <w:pStyle w:val="Heading2"/>
        <w:keepNext/>
        <w:spacing w:after="110" w:before="260"/>
      </w:pPr>
      <w:r>
        <w:rPr>
          <w:rFonts w:ascii="Calibri" w:cs="Calibri" w:eastAsia="Calibri" w:hAnsi="Calibri"/>
          <w:b/>
          <w:bCs/>
          <w:color w:val="2E5AAC"/>
          <w:sz w:val="24"/>
          <w:szCs w:val="24"/>
        </w:rPr>
        <w:t xml:space="preserve">Which method answers which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tblHeader/>
        </w:trPr>
        <w:tc>
          <w:tcPr>
            <w:tcW w:type="dxa" w:w="33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The question you are asking</w:t>
            </w:r>
          </w:p>
        </w:tc>
        <w:tc>
          <w:tcPr>
            <w:tcW w:type="dxa" w:w="24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Method</w:t>
            </w:r>
          </w:p>
        </w:tc>
        <w:tc>
          <w:tcPr>
            <w:tcW w:type="dxa" w:w="366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Output on the worked example</w:t>
            </w:r>
          </w:p>
        </w:tc>
      </w:tr>
      <w:tr>
        <w:trPr>
          <w:cantSplit/>
        </w:trPr>
        <w:tc>
          <w:tcPr>
            <w:tcW w:type="dxa" w:w="33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Did anything change?</w:t>
            </w:r>
          </w:p>
        </w:tc>
        <w:tc>
          <w:tcPr>
            <w:tcW w:type="dxa" w:w="2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1 · Detective</w:t>
            </w:r>
          </w:p>
        </w:tc>
        <w:tc>
          <w:tcPr>
            <w:tcW w:type="dxa" w:w="3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Drift Score 0.58, p &lt; 0.01</w:t>
            </w:r>
          </w:p>
        </w:tc>
      </w:tr>
      <w:tr>
        <w:trPr>
          <w:cantSplit/>
        </w:trPr>
        <w:tc>
          <w:tcPr>
            <w:tcW w:type="dxa" w:w="33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What changed?</w:t>
            </w:r>
          </w:p>
        </w:tc>
        <w:tc>
          <w:tcPr>
            <w:tcW w:type="dxa" w:w="2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1 · SHAP on detective</w:t>
            </w:r>
          </w:p>
        </w:tc>
        <w:tc>
          <w:tcPr>
            <w:tcW w:type="dxa" w:w="36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Provider mix 0.31, LOS 0.18</w:t>
            </w:r>
          </w:p>
        </w:tc>
      </w:tr>
      <w:tr>
        <w:trPr>
          <w:cantSplit/>
        </w:trPr>
        <w:tc>
          <w:tcPr>
            <w:tcW w:type="dxa" w:w="33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Does my model care?</w:t>
            </w:r>
          </w:p>
        </w:tc>
        <w:tc>
          <w:tcPr>
            <w:tcW w:type="dxa" w:w="2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5 · Model-aware</w:t>
            </w:r>
          </w:p>
        </w:tc>
        <w:tc>
          <w:tcPr>
            <w:tcW w:type="dxa" w:w="3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Score PSI 0.14 — investigate</w:t>
            </w:r>
          </w:p>
        </w:tc>
      </w:tr>
      <w:tr>
        <w:trPr>
          <w:cantSplit/>
        </w:trPr>
        <w:tc>
          <w:tcPr>
            <w:tcW w:type="dxa" w:w="33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Did relationships flip?</w:t>
            </w:r>
          </w:p>
        </w:tc>
        <w:tc>
          <w:tcPr>
            <w:tcW w:type="dxa" w:w="2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6 · Copula</w:t>
            </w:r>
          </w:p>
        </w:tc>
        <w:tc>
          <w:tcPr>
            <w:tcW w:type="dxa" w:w="36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Provider × MCC: +0.42 → −0.11</w:t>
            </w:r>
          </w:p>
        </w:tc>
      </w:tr>
      <w:tr>
        <w:trPr>
          <w:cantSplit/>
        </w:trPr>
        <w:tc>
          <w:tcPr>
            <w:tcW w:type="dxa" w:w="33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How much, compared to normal?</w:t>
            </w:r>
          </w:p>
        </w:tc>
        <w:tc>
          <w:tcPr>
            <w:tcW w:type="dxa" w:w="2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2 · MMD</w:t>
            </w:r>
          </w:p>
        </w:tc>
        <w:tc>
          <w:tcPr>
            <w:tcW w:type="dxa" w:w="3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0.041 against typical 0.01</w:t>
            </w:r>
          </w:p>
        </w:tc>
      </w:tr>
      <w:tr>
        <w:trPr>
          <w:cantSplit/>
        </w:trPr>
        <w:tc>
          <w:tcPr>
            <w:tcW w:type="dxa" w:w="33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Which claims are new?</w:t>
            </w:r>
          </w:p>
        </w:tc>
        <w:tc>
          <w:tcPr>
            <w:tcW w:type="dxa" w:w="24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A1A1A"/>
                <w:sz w:val="18"/>
                <w:szCs w:val="18"/>
              </w:rPr>
              <w:t xml:space="preserve">7 · Density ratio</w:t>
            </w:r>
          </w:p>
        </w:tc>
        <w:tc>
          <w:tcPr>
            <w:tcW w:type="dxa" w:w="366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Top 50 by w(x) to SME</w:t>
            </w:r>
          </w:p>
        </w:tc>
      </w:tr>
      <w:tr>
        <w:trPr>
          <w:cantSplit/>
        </w:trPr>
        <w:tc>
          <w:tcPr>
            <w:tcW w:type="dxa" w:w="33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How do I explain it upward?</w:t>
            </w:r>
          </w:p>
        </w:tc>
        <w:tc>
          <w:tcPr>
            <w:tcW w:type="dxa" w:w="24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b/>
                <w:bCs/>
                <w:color w:val="1A1A1A"/>
                <w:sz w:val="18"/>
                <w:szCs w:val="18"/>
              </w:rPr>
              <w:t xml:space="preserve">4 · Wasserstein</w:t>
            </w:r>
          </w:p>
        </w:tc>
        <w:tc>
          <w:tcPr>
            <w:tcW w:type="dxa" w:w="366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Average claim moved 0.17 LOS ratio</w:t>
            </w:r>
          </w:p>
        </w:tc>
      </w:tr>
    </w:tbl>
    <w:p>
      <w:pPr>
        <w:spacing w:after="1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recommended monitoring stack</w:t>
      </w:r>
    </w:p>
    <w:p>
      <w:pPr>
        <w:spacing w:after="120" w:before="0" w:line="276"/>
      </w:pPr>
      <w:r>
        <w:rPr>
          <w:rFonts w:ascii="Calibri" w:cs="Calibri" w:eastAsia="Calibri" w:hAnsi="Calibri"/>
          <w:color w:val="1A1A1A"/>
          <w:sz w:val="20"/>
          <w:szCs w:val="20"/>
        </w:rPr>
        <w:t xml:space="preserve">Not all seven need to run every cycle. This is the tiering that gives you full coverage without redundant work.</w:t>
      </w:r>
    </w:p>
    <w:p>
      <w:pPr>
        <w:spacing w:after="6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700"/>
        <w:gridCol w:w="2600"/>
        <w:gridCol w:w="2310"/>
      </w:tblGrid>
      <w:tr>
        <w:trPr>
          <w:tblHeader/>
        </w:trPr>
        <w:tc>
          <w:tcPr>
            <w:tcW w:type="dxa" w:w="175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Tier</w:t>
            </w:r>
          </w:p>
        </w:tc>
        <w:tc>
          <w:tcPr>
            <w:tcW w:type="dxa" w:w="27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Method</w:t>
            </w:r>
          </w:p>
        </w:tc>
        <w:tc>
          <w:tcPr>
            <w:tcW w:type="dxa" w:w="260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Metric produced</w:t>
            </w:r>
          </w:p>
        </w:tc>
        <w:tc>
          <w:tcPr>
            <w:tcW w:type="dxa" w:w="2310"/>
            <w:tcBorders>
              <w:top w:val="single" w:color="D6DCE5" w:sz="1"/>
              <w:left w:val="single" w:color="D6DCE5" w:sz="1"/>
              <w:bottom w:val="single" w:color="D6DCE5" w:sz="1"/>
              <w:right w:val="single" w:color="D6DCE5" w:sz="1"/>
            </w:tcBorders>
            <w:shd w:fill="1F3864" w:val="clear"/>
            <w:tcMar>
              <w:top w:type="dxa" w:w="80"/>
              <w:left w:type="dxa" w:w="110"/>
              <w:bottom w:type="dxa" w:w="80"/>
              <w:right w:type="dxa" w:w="110"/>
            </w:tcMar>
            <w:vAlign w:val="center"/>
          </w:tcPr>
          <w:p>
            <w:pPr>
              <w:keepNext/>
              <w:jc w:val="left"/>
            </w:pPr>
            <w:r>
              <w:rPr>
                <w:rFonts w:ascii="Calibri" w:cs="Calibri" w:eastAsia="Calibri" w:hAnsi="Calibri"/>
                <w:b/>
                <w:bCs/>
                <w:color w:val="FFFFFF"/>
                <w:sz w:val="18"/>
                <w:szCs w:val="18"/>
              </w:rPr>
              <w:t xml:space="preserve">Role</w:t>
            </w:r>
          </w:p>
        </w:tc>
      </w:tr>
      <w:tr>
        <w:trPr>
          <w:cantSplit/>
        </w:trPr>
        <w:tc>
          <w:tcPr>
            <w:tcW w:type="dxa" w:w="17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Detection</w:t>
            </w:r>
          </w:p>
        </w:tc>
        <w:tc>
          <w:tcPr>
            <w:tcW w:type="dxa" w:w="2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C2ST on raw features</w:t>
            </w:r>
          </w:p>
        </w:tc>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Drift Score = 2(AUC − 0.5)</w:t>
            </w:r>
          </w:p>
        </w:tc>
        <w:tc>
          <w:tcPr>
            <w:tcW w:type="dxa" w:w="231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Primary alarm</w:t>
            </w:r>
          </w:p>
        </w:tc>
      </w:tr>
      <w:tr>
        <w:trPr>
          <w:cantSplit/>
        </w:trPr>
        <w:tc>
          <w:tcPr>
            <w:tcW w:type="dxa" w:w="17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Relevance</w:t>
            </w:r>
          </w:p>
        </w:tc>
        <w:tc>
          <w:tcPr>
            <w:tcW w:type="dxa" w:w="2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C2ST on SHAP vectors</w:t>
            </w:r>
          </w:p>
        </w:tc>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Model-relevant drift score</w:t>
            </w:r>
          </w:p>
        </w:tc>
        <w:tc>
          <w:tcPr>
            <w:tcW w:type="dxa" w:w="231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Does the model care?</w:t>
            </w:r>
          </w:p>
        </w:tc>
      </w:tr>
      <w:tr>
        <w:trPr>
          <w:cantSplit/>
        </w:trPr>
        <w:tc>
          <w:tcPr>
            <w:tcW w:type="dxa" w:w="17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Structure</w:t>
            </w:r>
          </w:p>
        </w:tc>
        <w:tc>
          <w:tcPr>
            <w:tcW w:type="dxa" w:w="2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Copula correlation delta</w:t>
            </w:r>
          </w:p>
        </w:tc>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Dependency Drift Index</w:t>
            </w:r>
          </w:p>
        </w:tc>
        <w:tc>
          <w:tcPr>
            <w:tcW w:type="dxa" w:w="231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Did relationships change?</w:t>
            </w:r>
          </w:p>
        </w:tc>
      </w:tr>
      <w:tr>
        <w:trPr>
          <w:cantSplit/>
        </w:trPr>
        <w:tc>
          <w:tcPr>
            <w:tcW w:type="dxa" w:w="17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Attribution</w:t>
            </w:r>
          </w:p>
        </w:tc>
        <w:tc>
          <w:tcPr>
            <w:tcW w:type="dxa" w:w="2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SHAP on drift classifier + PSI</w:t>
            </w:r>
          </w:p>
        </w:tc>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Ranked feature contribution</w:t>
            </w:r>
          </w:p>
        </w:tc>
        <w:tc>
          <w:tcPr>
            <w:tcW w:type="dxa" w:w="231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Which fields and why</w:t>
            </w:r>
          </w:p>
        </w:tc>
      </w:tr>
      <w:tr>
        <w:trPr>
          <w:cantSplit/>
        </w:trPr>
        <w:tc>
          <w:tcPr>
            <w:tcW w:type="dxa" w:w="175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b/>
                <w:bCs/>
                <w:color w:val="1F3864"/>
                <w:sz w:val="18"/>
                <w:szCs w:val="18"/>
              </w:rPr>
              <w:t xml:space="preserve">Trending</w:t>
            </w:r>
          </w:p>
        </w:tc>
        <w:tc>
          <w:tcPr>
            <w:tcW w:type="dxa" w:w="27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MMD with permutation test</w:t>
            </w:r>
          </w:p>
        </w:tc>
        <w:tc>
          <w:tcPr>
            <w:tcW w:type="dxa" w:w="260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MMD² and p-value</w:t>
            </w:r>
          </w:p>
        </w:tc>
        <w:tc>
          <w:tcPr>
            <w:tcW w:type="dxa" w:w="2310"/>
            <w:tcBorders>
              <w:top w:val="single" w:color="D6DCE5" w:sz="1"/>
              <w:left w:val="single" w:color="D6DCE5" w:sz="1"/>
              <w:bottom w:val="single" w:color="D6DCE5" w:sz="1"/>
              <w:right w:val="single" w:color="D6DCE5" w:sz="1"/>
            </w:tcBorders>
            <w:shd w:fill="FFFFFF" w:val="clear"/>
            <w:tcMar>
              <w:top w:type="dxa" w:w="75"/>
              <w:left w:type="dxa" w:w="110"/>
              <w:bottom w:type="dxa" w:w="75"/>
              <w:right w:type="dxa" w:w="110"/>
            </w:tcMar>
            <w:vAlign w:val="center"/>
          </w:tcPr>
          <w:p>
            <w:pPr>
              <w:keepNext/>
              <w:spacing w:line="250"/>
            </w:pPr>
            <w:r>
              <w:rPr>
                <w:rFonts w:ascii="Calibri" w:cs="Calibri" w:eastAsia="Calibri" w:hAnsi="Calibri"/>
                <w:color w:val="1A1A1A"/>
                <w:sz w:val="18"/>
                <w:szCs w:val="18"/>
              </w:rPr>
              <w:t xml:space="preserve">Cross-month comparability</w:t>
            </w:r>
          </w:p>
        </w:tc>
      </w:tr>
      <w:tr>
        <w:trPr>
          <w:cantSplit/>
        </w:trPr>
        <w:tc>
          <w:tcPr>
            <w:tcW w:type="dxa" w:w="175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b/>
                <w:bCs/>
                <w:color w:val="1F3864"/>
                <w:sz w:val="18"/>
                <w:szCs w:val="18"/>
              </w:rPr>
              <w:t xml:space="preserve">Remediation</w:t>
            </w:r>
          </w:p>
        </w:tc>
        <w:tc>
          <w:tcPr>
            <w:tcW w:type="dxa" w:w="27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Density ratio weights</w:t>
            </w:r>
          </w:p>
        </w:tc>
        <w:tc>
          <w:tcPr>
            <w:tcW w:type="dxa" w:w="260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w(x) per claim, ESS</w:t>
            </w:r>
          </w:p>
        </w:tc>
        <w:tc>
          <w:tcPr>
            <w:tcW w:type="dxa" w:w="2310"/>
            <w:tcBorders>
              <w:top w:val="single" w:color="D6DCE5" w:sz="1"/>
              <w:left w:val="single" w:color="D6DCE5" w:sz="1"/>
              <w:bottom w:val="single" w:color="D6DCE5" w:sz="1"/>
              <w:right w:val="single" w:color="D6DCE5" w:sz="1"/>
            </w:tcBorders>
            <w:shd w:fill="F2F5F9" w:val="clear"/>
            <w:tcMar>
              <w:top w:type="dxa" w:w="75"/>
              <w:left w:type="dxa" w:w="110"/>
              <w:bottom w:type="dxa" w:w="75"/>
              <w:right w:type="dxa" w:w="110"/>
            </w:tcMar>
            <w:vAlign w:val="center"/>
          </w:tcPr>
          <w:p>
            <w:pPr>
              <w:keepNext w:val="false"/>
              <w:spacing w:line="250"/>
            </w:pPr>
            <w:r>
              <w:rPr>
                <w:rFonts w:ascii="Calibri" w:cs="Calibri" w:eastAsia="Calibri" w:hAnsi="Calibri"/>
                <w:color w:val="1A1A1A"/>
                <w:sz w:val="18"/>
                <w:szCs w:val="18"/>
              </w:rPr>
              <w:t xml:space="preserve">Reweighted recalibration</w:t>
            </w:r>
          </w:p>
        </w:tc>
      </w:tr>
    </w:tbl>
    <w:p>
      <w:pPr>
        <w:spacing w:after="1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composite index</w:t>
      </w:r>
    </w:p>
    <w:p>
      <w:pPr>
        <w:spacing w:after="120" w:before="0" w:line="276"/>
      </w:pPr>
      <w:r>
        <w:rPr>
          <w:rFonts w:ascii="Calibri" w:cs="Calibri" w:eastAsia="Calibri" w:hAnsi="Calibri"/>
          <w:color w:val="1A1A1A"/>
          <w:sz w:val="20"/>
          <w:szCs w:val="20"/>
        </w:rPr>
        <w:t xml:space="preserve">A single number for reporting, blending the three metrics that measure different things:</w:t>
      </w:r>
    </w:p>
    <w:p>
      <w:pPr>
        <w:spacing w:after="50"/>
      </w:pPr>
      <w:r>
        <w:rPr>
          <w:rFonts w:ascii="Calibri" w:cs="Calibri" w:eastAsia="Calibri" w:hAnsi="Calibri"/>
          <w:color w:val="1A1A1A"/>
          <w:sz w:val="20"/>
          <w:szCs w:val="20"/>
        </w:rPr>
        <w:t xml:space="preserve"/>
      </w:r>
    </w:p>
    <w:tbl>
      <w:tblPr>
        <w:tblW w:type="dxa" w:w="9360"/>
        <w:tblBorders>
          <w:top w:val="single" w:color="C9D3E0" w:sz="1"/>
          <w:left w:val="single" w:color="C9D3E0" w:sz="1"/>
          <w:bottom w:val="single" w:color="C9D3E0" w:sz="1"/>
          <w:right w:val="single" w:color="C9D3E0" w:sz="1"/>
          <w:insideH w:val="none"/>
          <w:insideV w:val="none"/>
        </w:tblBorders>
      </w:tblPr>
      <w:tblGrid>
        <w:gridCol w:w="9360"/>
      </w:tblGrid>
      <w:tr>
        <w:trPr>
          <w:cantSplit/>
        </w:trPr>
        <w:tc>
          <w:tcPr>
            <w:tcW w:type="dxa" w:w="9360"/>
            <w:shd w:fill="F7F9FC" w:val="clear"/>
            <w:tcMar>
              <w:top w:type="dxa" w:w="130"/>
              <w:left w:type="dxa" w:w="190"/>
              <w:bottom w:type="dxa" w:w="130"/>
              <w:right w:type="dxa" w:w="190"/>
            </w:tcMar>
          </w:tcPr>
          <w:p>
            <w:pPr>
              <w:spacing w:after="60"/>
            </w:pPr>
            <w:r>
              <w:rPr>
                <w:rFonts w:ascii="Calibri" w:cs="Calibri" w:eastAsia="Calibri" w:hAnsi="Calibri"/>
                <w:b/>
                <w:bCs/>
                <w:color w:val="1F3864"/>
                <w:sz w:val="18"/>
                <w:szCs w:val="18"/>
              </w:rPr>
              <w:t xml:space="preserve">Population Shift Index</w:t>
            </w:r>
          </w:p>
          <w:p>
            <w:pPr>
              <w:spacing w:after="26" w:line="250"/>
            </w:pPr>
            <w:r>
              <w:rPr>
                <w:rFonts w:ascii="Consolas" w:cs="Consolas" w:eastAsia="Consolas" w:hAnsi="Consolas"/>
                <w:color w:val="33415C"/>
                <w:sz w:val="17"/>
                <w:szCs w:val="17"/>
              </w:rPr>
              <w:t xml:space="preserve">  PSI_multi  =  0.50 × DriftScore_raw</w:t>
            </w:r>
          </w:p>
          <w:p>
            <w:pPr>
              <w:spacing w:after="26" w:line="250"/>
            </w:pPr>
            <w:r>
              <w:rPr>
                <w:rFonts w:ascii="Consolas" w:cs="Consolas" w:eastAsia="Consolas" w:hAnsi="Consolas"/>
                <w:color w:val="33415C"/>
                <w:sz w:val="17"/>
                <w:szCs w:val="17"/>
              </w:rPr>
              <w:t xml:space="preserve">             +  0.30 × DriftScore_shap</w:t>
            </w:r>
          </w:p>
          <w:p>
            <w:pPr>
              <w:spacing w:after="26" w:line="250"/>
            </w:pPr>
            <w:r>
              <w:rPr>
                <w:rFonts w:ascii="Consolas" w:cs="Consolas" w:eastAsia="Consolas" w:hAnsi="Consolas"/>
                <w:color w:val="33415C"/>
                <w:sz w:val="17"/>
                <w:szCs w:val="17"/>
              </w:rPr>
              <w:t xml:space="preserve">             +  0.20 × DependencyDriftIndex</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Worked example:</w:t>
            </w:r>
          </w:p>
          <w:p>
            <w:pPr>
              <w:spacing w:after="26" w:line="250"/>
            </w:pPr>
            <w:r>
              <w:rPr>
                <w:rFonts w:ascii="Consolas" w:cs="Consolas" w:eastAsia="Consolas" w:hAnsi="Consolas"/>
                <w:color w:val="33415C"/>
                <w:sz w:val="17"/>
                <w:szCs w:val="17"/>
              </w:rPr>
              <w:t xml:space="preserve">     0.50 × 0.58  +  0.30 × 0.40  +  0.20 × 0.47   =   0.50</w:t>
            </w:r>
          </w:p>
          <w:p>
            <w:pPr>
              <w:spacing w:after="26" w:line="250"/>
            </w:pPr>
            <w:r>
              <w:rPr>
                <w:rFonts w:ascii="Consolas" w:cs="Consolas" w:eastAsia="Consolas" w:hAnsi="Consolas"/>
                <w:color w:val="33415C"/>
                <w:sz w:val="17"/>
                <w:szCs w:val="17"/>
              </w:rPr>
              <w:t xml:space="preserve"/>
            </w:r>
          </w:p>
          <w:p>
            <w:pPr>
              <w:spacing w:after="26" w:line="250"/>
            </w:pPr>
            <w:r>
              <w:rPr>
                <w:rFonts w:ascii="Consolas" w:cs="Consolas" w:eastAsia="Consolas" w:hAnsi="Consolas"/>
                <w:color w:val="33415C"/>
                <w:sz w:val="17"/>
                <w:szCs w:val="17"/>
              </w:rPr>
              <w:t xml:space="preserve">  Bands:   below 0.20  stable</w:t>
            </w:r>
          </w:p>
          <w:p>
            <w:pPr>
              <w:spacing w:after="26" w:line="250"/>
            </w:pPr>
            <w:r>
              <w:rPr>
                <w:rFonts w:ascii="Consolas" w:cs="Consolas" w:eastAsia="Consolas" w:hAnsi="Consolas"/>
                <w:color w:val="33415C"/>
                <w:sz w:val="17"/>
                <w:szCs w:val="17"/>
              </w:rPr>
              <w:t xml:space="preserve">           0.20 – 0.45  monitor</w:t>
            </w:r>
          </w:p>
          <w:p>
            <w:pPr>
              <w:spacing w:after="26" w:line="250"/>
            </w:pPr>
            <w:r>
              <w:rPr>
                <w:rFonts w:ascii="Consolas" w:cs="Consolas" w:eastAsia="Consolas" w:hAnsi="Consolas"/>
                <w:color w:val="33415C"/>
                <w:sz w:val="17"/>
                <w:szCs w:val="17"/>
              </w:rPr>
              <w:t xml:space="preserve">           above 0.45   investigate and act</w:t>
            </w:r>
          </w:p>
        </w:tc>
      </w:tr>
    </w:tbl>
    <w:p>
      <w:pPr>
        <w:spacing w:after="1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The single most important pairing</w:t>
      </w:r>
    </w:p>
    <w:tbl>
      <w:tblPr>
        <w:tblW w:type="dxa" w:w="9360"/>
        <w:tblBorders>
          <w:top w:val="single" w:color="F2F5F9" w:sz="1"/>
          <w:left w:val="single" w:color="1F3864" w:sz="18"/>
          <w:bottom w:val="single" w:color="F2F5F9" w:sz="1"/>
          <w:right w:val="single" w:color="F2F5F9" w:sz="1"/>
          <w:insideH w:val="none"/>
          <w:insideV w:val="none"/>
        </w:tblBorders>
      </w:tblPr>
      <w:tblGrid>
        <w:gridCol w:w="9360"/>
      </w:tblGrid>
      <w:tr>
        <w:trPr>
          <w:cantSplit/>
        </w:trPr>
        <w:tc>
          <w:tcPr>
            <w:tcW w:type="dxa" w:w="9360"/>
            <w:shd w:fill="F2F5F9" w:val="clear"/>
            <w:tcMar>
              <w:top w:type="dxa" w:w="130"/>
              <w:left w:type="dxa" w:w="200"/>
              <w:bottom w:type="dxa" w:w="130"/>
              <w:right w:type="dxa" w:w="200"/>
            </w:tcMar>
          </w:tcPr>
          <w:p>
            <w:pPr>
              <w:spacing w:after="50"/>
            </w:pPr>
            <w:r>
              <w:rPr>
                <w:rFonts w:ascii="Calibri" w:cs="Calibri" w:eastAsia="Calibri" w:hAnsi="Calibri"/>
                <w:b/>
                <w:bCs/>
                <w:color w:val="1F3864"/>
                <w:sz w:val="19"/>
                <w:szCs w:val="19"/>
              </w:rPr>
              <w:t xml:space="preserve">Read Method 1 and Method 5 together, always</w:t>
            </w:r>
          </w:p>
          <w:p>
            <w:pPr>
              <w:spacing w:after="40" w:line="264"/>
            </w:pPr>
            <w:r>
              <w:rPr>
                <w:rFonts w:ascii="Calibri" w:cs="Calibri" w:eastAsia="Calibri" w:hAnsi="Calibri"/>
                <w:color w:val="2A2F3A"/>
                <w:sz w:val="19"/>
                <w:szCs w:val="19"/>
              </w:rPr>
              <w:t xml:space="preserve">Raw drift tells you the world changed. Model-aware drift tells you whether that is your problem. Running only one of them is how teams either chase phantom drift for a week or miss real degradation entirely. Everything else in this document supports that central comparison.</w:t>
            </w:r>
          </w:p>
        </w:tc>
      </w:tr>
    </w:tbl>
    <w:p>
      <w:pPr>
        <w:spacing w:after="160"/>
      </w:pPr>
      <w:r>
        <w:rPr>
          <w:rFonts w:ascii="Calibri" w:cs="Calibri" w:eastAsia="Calibri" w:hAnsi="Calibri"/>
          <w:color w:val="1A1A1A"/>
          <w:sz w:val="20"/>
          <w:szCs w:val="20"/>
        </w:rPr>
        <w:t xml:space="preserve"/>
      </w:r>
    </w:p>
    <w:p>
      <w:pPr>
        <w:pStyle w:val="Heading2"/>
        <w:keepNext/>
        <w:spacing w:after="110" w:before="260"/>
      </w:pPr>
      <w:r>
        <w:rPr>
          <w:rFonts w:ascii="Calibri" w:cs="Calibri" w:eastAsia="Calibri" w:hAnsi="Calibri"/>
          <w:b/>
          <w:bCs/>
          <w:color w:val="2E5AAC"/>
          <w:sz w:val="24"/>
          <w:szCs w:val="24"/>
        </w:rPr>
        <w:t xml:space="preserve">Governance recommendation</w:t>
      </w:r>
    </w:p>
    <w:p>
      <w:pPr>
        <w:spacing w:after="120" w:before="0" w:line="276"/>
      </w:pPr>
      <w:r>
        <w:rPr>
          <w:rFonts w:ascii="Calibri" w:cs="Calibri" w:eastAsia="Calibri" w:hAnsi="Calibri"/>
          <w:color w:val="1A1A1A"/>
          <w:sz w:val="20"/>
          <w:szCs w:val="20"/>
        </w:rPr>
        <w:t xml:space="preserve">Publish the expected hit-rate band alongside the actual figure every month. If the model states that this population's base rate is 4.2% and expected precision at threshold is 31% ± 5%, and you achieve 29%, that is a successful month — not a failure.</w:t>
      </w:r>
    </w:p>
    <w:p>
      <w:pPr>
        <w:spacing w:after="120" w:before="0" w:line="276"/>
      </w:pPr>
      <w:r>
        <w:rPr>
          <w:rFonts w:ascii="Calibri" w:cs="Calibri" w:eastAsia="Calibri" w:hAnsi="Calibri"/>
          <w:color w:val="1A1A1A"/>
          <w:sz w:val="20"/>
          <w:szCs w:val="20"/>
        </w:rPr>
        <w:t xml:space="preserve">Without that stated expectation, every clean month looks like model failure, and the organisational pressure will be to lower the threshold. That is precisely the wrong move, and it destroys precision further.</w:t>
      </w:r>
    </w:p>
    <w:p>
      <w:pPr>
        <w:spacing w:after="120"/>
      </w:pPr>
      <w:r>
        <w:rPr>
          <w:rFonts w:ascii="Calibri" w:cs="Calibri" w:eastAsia="Calibri" w:hAnsi="Calibri"/>
          <w:color w:val="1A1A1A"/>
          <w:sz w:val="20"/>
          <w:szCs w:val="20"/>
        </w:rPr>
        <w:t xml:space="preserve"/>
      </w:r>
    </w:p>
    <w:tbl>
      <w:tblPr>
        <w:tblW w:type="dxa" w:w="9360"/>
        <w:tblBorders>
          <w:top w:val="single" w:color="FFFBEB" w:sz="1"/>
          <w:left w:val="single" w:color="B45309" w:sz="18"/>
          <w:bottom w:val="single" w:color="FFFBEB" w:sz="1"/>
          <w:right w:val="single" w:color="FFFBEB" w:sz="1"/>
          <w:insideH w:val="none"/>
          <w:insideV w:val="none"/>
        </w:tblBorders>
      </w:tblPr>
      <w:tblGrid>
        <w:gridCol w:w="9360"/>
      </w:tblGrid>
      <w:tr>
        <w:trPr>
          <w:cantSplit/>
        </w:trPr>
        <w:tc>
          <w:tcPr>
            <w:tcW w:type="dxa" w:w="9360"/>
            <w:shd w:fill="FFFBEB" w:val="clear"/>
            <w:tcMar>
              <w:top w:type="dxa" w:w="130"/>
              <w:left w:type="dxa" w:w="200"/>
              <w:bottom w:type="dxa" w:w="130"/>
              <w:right w:type="dxa" w:w="200"/>
            </w:tcMar>
          </w:tcPr>
          <w:p>
            <w:pPr>
              <w:spacing w:after="50"/>
            </w:pPr>
            <w:r>
              <w:rPr>
                <w:rFonts w:ascii="Calibri" w:cs="Calibri" w:eastAsia="Calibri" w:hAnsi="Calibri"/>
                <w:b/>
                <w:bCs/>
                <w:color w:val="B45309"/>
                <w:sz w:val="19"/>
                <w:szCs w:val="19"/>
              </w:rPr>
              <w:t xml:space="preserve">One prerequisite that is easy to skip</w:t>
            </w:r>
          </w:p>
          <w:p>
            <w:pPr>
              <w:spacing w:after="40" w:line="264"/>
            </w:pPr>
            <w:r>
              <w:rPr>
                <w:rFonts w:ascii="Calibri" w:cs="Calibri" w:eastAsia="Calibri" w:hAnsi="Calibri"/>
                <w:color w:val="2A2F3A"/>
                <w:sz w:val="19"/>
                <w:szCs w:val="19"/>
              </w:rPr>
              <w:t xml:space="preserve">You only get audit labels on claims you audited, which are all above threshold. That is a biased sample, and you can never estimate the true base rate from it.</w:t>
            </w:r>
          </w:p>
          <w:p>
            <w:pPr>
              <w:spacing w:after="40" w:line="264"/>
            </w:pPr>
            <w:r>
              <w:rPr>
                <w:rFonts w:ascii="Calibri" w:cs="Calibri" w:eastAsia="Calibri" w:hAnsi="Calibri"/>
                <w:color w:val="2A2F3A"/>
                <w:sz w:val="19"/>
                <w:szCs w:val="19"/>
              </w:rPr>
              <w:t xml:space="preserve">Each month, randomly sample 2–5% of claims below threshold and audit them anyway. It feels wasteful and it is the only way to get an unbiased base rate. Without it, separating 'cleaner month' from 'degraded model' remains guesswork no matter how many drift metrics you compute.</w:t>
            </w:r>
          </w:p>
        </w:tc>
      </w:tr>
    </w:tbl>
    <w:sectPr>
      <w:headerReference w:type="default" r:id="rId7"/>
      <w:footerReference w:type="default" r:id="rId8"/>
      <w:pgSz w:w="12240" w:h="15840" w:orient="portrait"/>
      <w:pgMar w:top="130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A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5" w:sz="4"/>
      </w:pBdr>
      <w:spacing w:after="0"/>
      <w:jc w:val="right"/>
    </w:pPr>
    <w:r>
      <w:rPr>
        <w:rFonts w:ascii="Calibri" w:cs="Calibri" w:eastAsia="Calibri" w:hAnsi="Calibri"/>
        <w:color w:val="5A6472"/>
        <w:sz w:val="16"/>
        <w:szCs w:val="16"/>
      </w:rPr>
      <w:t xml:space="preserve">Detecting Population Drift in DRG Claims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2E5AA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Population Drift in DRG Claims</dc:title>
  <dc:creator>Model Governance</dc:creator>
  <dc:description>Seven methods for multivariate drift detection with worked Medicare examples</dc:description>
  <cp:lastModifiedBy>Un-named</cp:lastModifiedBy>
  <cp:revision>1</cp:revision>
  <dcterms:created xsi:type="dcterms:W3CDTF">2026-09-07T06:48:12.017Z</dcterms:created>
  <dcterms:modified xsi:type="dcterms:W3CDTF">2026-09-07T06:48:12.017Z</dcterms:modified>
</cp:coreProperties>
</file>

<file path=docProps/custom.xml><?xml version="1.0" encoding="utf-8"?>
<Properties xmlns="http://schemas.openxmlformats.org/officeDocument/2006/custom-properties" xmlns:vt="http://schemas.openxmlformats.org/officeDocument/2006/docPropsVTypes"/>
</file>