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B5563"/>
          <w:spacing w:val="80"/>
          <w:sz w:val="18"/>
          <w:szCs w:val="18"/>
        </w:rPr>
        <w:t xml:space="preserve">ICD-10-CM DIAGNOSIS CODE REFERENCE</w:t>
      </w:r>
    </w:p>
    <w:p>
      <w:pPr>
        <w:spacing w:after="40" w:before="0"/>
      </w:pPr>
      <w:r>
        <w:rPr>
          <w:rFonts w:ascii="Arial" w:cs="Arial" w:eastAsia="Arial" w:hAnsi="Arial"/>
          <w:b/>
          <w:bCs/>
          <w:color w:val="0D1B4B"/>
          <w:sz w:val="52"/>
          <w:szCs w:val="52"/>
        </w:rPr>
        <w:t xml:space="preserve">CVA Program Expansion:</w:t>
      </w:r>
    </w:p>
    <w:p>
      <w:pPr>
        <w:spacing w:after="100" w:before="0"/>
      </w:pPr>
      <w:r>
        <w:rPr>
          <w:rFonts w:ascii="Arial" w:cs="Arial" w:eastAsia="Arial" w:hAnsi="Arial"/>
          <w:b/>
          <w:bCs/>
          <w:color w:val="007A8C"/>
          <w:sz w:val="36"/>
          <w:szCs w:val="36"/>
        </w:rPr>
        <w:t xml:space="preserve">10 Diagnosis Code Categories with OIG Evidence</w:t>
      </w:r>
    </w:p>
    <w:p>
      <w:pPr>
        <w:spacing w:after="80" w:before="0"/>
      </w:pPr>
      <w:r>
        <w:rPr>
          <w:rFonts w:ascii="Arial" w:cs="Arial" w:eastAsia="Arial" w:hAnsi="Arial"/>
          <w:color w:val="4B5563"/>
          <w:sz w:val="21"/>
          <w:szCs w:val="21"/>
        </w:rPr>
        <w:t xml:space="preserve">Beyond the current 20-condition CVA program  |  Anchored to CMS-HCC V28 (effective January 1, 2026)  |  OIG Toolkit, RADV Audits &amp; Peer-Reviewed Evidence</w:t>
      </w:r>
    </w:p>
    <w:p>
      <w:pPr>
        <w:pBdr>
          <w:bottom w:val="single" w:color="007A8C" w:sz="8" w:space="4"/>
        </w:pBdr>
        <w:spacing w:after="200" w:before="0"/>
      </w:pPr>
      <w:r>
        <w:rPr>
          <w:rFonts w:ascii="Arial" w:cs="Arial" w:eastAsia="Arial" w:hAnsi="Arial"/>
          <w:b/>
          <w:bCs/>
          <w:color w:val="0D1B4B"/>
          <w:sz w:val="22"/>
          <w:szCs w:val="22"/>
        </w:rPr>
        <w:t xml:space="preserve">Prepared for: </w:t>
      </w:r>
      <w:r>
        <w:rPr>
          <w:rFonts w:ascii="Arial" w:cs="Arial" w:eastAsia="Arial" w:hAnsi="Arial"/>
          <w:color w:val="1F2937"/>
          <w:sz w:val="22"/>
          <w:szCs w:val="22"/>
        </w:rPr>
        <w:t xml:space="preserve">Head of Operations, Humana Medicare Advantage</w:t>
      </w:r>
      <w:r>
        <w:rPr>
          <w:rFonts w:ascii="Arial" w:cs="Arial" w:eastAsia="Arial" w:hAnsi="Arial"/>
          <w:color w:val="4B5563"/>
          <w:sz w:val="20"/>
          <w:szCs w:val="20"/>
        </w:rPr>
        <w:t xml:space="preserve">   |   May 2026</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A8C" w:val="clear"/>
          </w:tcPr>
          <w:p/>
        </w:tc>
        <w:tc>
          <w:tcPr>
            <w:tcW w:type="dxa" w:w="9160"/>
            <w:tcBorders>
              <w:top w:val="single" w:color="007A8C" w:sz="4"/>
              <w:left w:val="none" w:color="FFFFFF" w:sz="0"/>
              <w:bottom w:val="single" w:color="007A8C" w:sz="4"/>
              <w:right w:val="single" w:color="007A8C" w:sz="4"/>
            </w:tcBorders>
            <w:shd w:fill="F0FDFA" w:val="clear"/>
            <w:tcMar>
              <w:top w:type="dxa" w:w="100"/>
              <w:left w:type="dxa" w:w="160"/>
              <w:bottom w:type="dxa" w:w="100"/>
              <w:right w:type="dxa" w:w="120"/>
            </w:tcMar>
          </w:tcPr>
          <w:p>
            <w:pPr>
              <w:spacing w:after="60"/>
            </w:pPr>
            <w:r>
              <w:rPr>
                <w:rFonts w:ascii="Arial" w:cs="Arial" w:eastAsia="Arial" w:hAnsi="Arial"/>
                <w:b/>
                <w:bCs/>
                <w:color w:val="007A8C"/>
                <w:sz w:val="19"/>
                <w:szCs w:val="19"/>
              </w:rPr>
              <w:t xml:space="preserve">HOW TO READ THIS DOCUMENT</w:t>
            </w:r>
          </w:p>
          <w:p>
            <w:pPr>
              <w:spacing w:after="0"/>
            </w:pPr>
            <w:r>
              <w:rPr>
                <w:rFonts w:ascii="Arial" w:cs="Arial" w:eastAsia="Arial" w:hAnsi="Arial"/>
                <w:b/>
                <w:bCs/>
                <w:color w:val="991B1B"/>
                <w:sz w:val="22"/>
                <w:szCs w:val="22"/>
              </w:rPr>
              <w:t xml:space="preserve">OIG Flag levels: </w:t>
            </w:r>
            <w:r>
              <w:rPr>
                <w:rFonts w:ascii="Arial" w:cs="Arial" w:eastAsia="Arial" w:hAnsi="Arial"/>
                <w:color w:val="1F2937"/>
                <w:sz w:val="22"/>
                <w:szCs w:val="22"/>
              </w:rPr>
              <w:t xml:space="preserve">CRITICAL = &gt;90% error rate in OIG audits | HIGH = 70–90% | MEDIUM = documented but lower frequency. </w:t>
            </w:r>
            <w:r>
              <w:rPr>
                <w:rFonts w:ascii="Arial" w:cs="Arial" w:eastAsia="Arial" w:hAnsi="Arial"/>
                <w:b/>
                <w:bCs/>
                <w:color w:val="0D1B4B"/>
                <w:sz w:val="22"/>
                <w:szCs w:val="22"/>
              </w:rPr>
              <w:t xml:space="preserve">CVA Trigger: </w:t>
            </w:r>
            <w:r>
              <w:rPr>
                <w:rFonts w:ascii="Arial" w:cs="Arial" w:eastAsia="Arial" w:hAnsi="Arial"/>
                <w:color w:val="1F2937"/>
                <w:sz w:val="22"/>
                <w:szCs w:val="22"/>
              </w:rPr>
              <w:t xml:space="preserve">The specific data crosswalk or clinical criterion that flags a claim for validation — most are automatable from claims data without manual chart pull. </w:t>
            </w:r>
            <w:r>
              <w:rPr>
                <w:rFonts w:ascii="Arial" w:cs="Arial" w:eastAsia="Arial" w:hAnsi="Arial"/>
                <w:b/>
                <w:bCs/>
                <w:color w:val="007A8C"/>
                <w:sz w:val="22"/>
                <w:szCs w:val="22"/>
              </w:rPr>
              <w:t xml:space="preserve">HCC V28: </w:t>
            </w:r>
            <w:r>
              <w:rPr>
                <w:rFonts w:ascii="Arial" w:cs="Arial" w:eastAsia="Arial" w:hAnsi="Arial"/>
                <w:color w:val="1F2937"/>
                <w:sz w:val="22"/>
                <w:szCs w:val="22"/>
              </w:rPr>
              <w:t xml:space="preserve">CMS-HCC Model V28 is now 100% in effect for all Medicare Advantage risk scores as of January 1, 2026. Only codes mapping to V28 HCCs generate risk adjustment revenue.</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1: Acute Ischemic Stroke</w:t>
      </w:r>
    </w:p>
    <w:p>
      <w:pPr>
        <w:pStyle w:val="Heading2"/>
        <w:spacing w:after="60" w:before="280"/>
      </w:pPr>
      <w:r>
        <w:rPr>
          <w:rFonts w:ascii="Arial" w:cs="Arial" w:eastAsia="Arial" w:hAnsi="Arial"/>
          <w:b/>
          <w:bCs/>
          <w:color w:val="991B1B"/>
          <w:sz w:val="26"/>
          <w:szCs w:val="26"/>
        </w:rPr>
        <w:t xml:space="preserve">OIG Evidence &amp; Context</w:t>
      </w:r>
    </w:p>
    <w:p>
      <w:pPr>
        <w:spacing w:after="100" w:before="40"/>
      </w:pPr>
      <w:r>
        <w:rPr>
          <w:rFonts w:ascii="Arial" w:cs="Arial" w:eastAsia="Arial" w:hAnsi="Arial"/>
          <w:b/>
          <w:bCs/>
          <w:color w:val="991B1B"/>
          <w:sz w:val="22"/>
          <w:szCs w:val="22"/>
        </w:rPr>
        <w:t xml:space="preserve">Error rate: &gt;90% in OIG audits.</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[1,2]</w:t>
      </w:r>
      <w:r>
        <w:rPr>
          <w:rFonts w:ascii="Arial" w:cs="Arial" w:eastAsia="Arial" w:hAnsi="Arial"/>
          <w:color w:val="1F2937"/>
          <w:sz w:val="22"/>
          <w:szCs w:val="22"/>
        </w:rPr>
        <w:t xml:space="preserve"> OIG specifically flags acute stroke codes submitted on a physician or outpatient claim without a corresponding inpatient hospital claim. Radiological confirmation of cerebral infarction is required to use any I63.x code. History-of-stroke patients are frequently and incorrectly coded as having an active acute stroke — a non-risk-adjusting code (Z86.73) is correct in those cases.</w:t>
      </w:r>
    </w:p>
    <w:p>
      <w:pPr>
        <w:spacing w:after="60" w:before="0"/>
      </w:pPr>
      <w:r>
        <w:t xml:space="preserve"/>
      </w:r>
    </w:p>
    <w:p>
      <w:pPr>
        <w:spacing w:after="100" w:before="40"/>
      </w:pPr>
      <w:r>
        <w:rPr>
          <w:rFonts w:ascii="Arial" w:cs="Arial" w:eastAsia="Arial" w:hAnsi="Arial"/>
          <w:color w:val="1F2937"/>
          <w:sz w:val="22"/>
          <w:szCs w:val="22"/>
        </w:rPr>
        <w:t xml:space="preserve">The acute vs. sequelae distinction is the single highest-impact documentation issue in this category. </w:t>
      </w:r>
      <w:r>
        <w:rPr>
          <w:rFonts w:ascii="Arial" w:cs="Arial" w:eastAsia="Arial" w:hAnsi="Arial"/>
          <w:color w:val="4B5563"/>
          <w:sz w:val="17"/>
          <w:szCs w:val="17"/>
          <w:vertAlign w:val="superscript"/>
        </w:rPr>
        <w:t xml:space="preserve"> [3]</w:t>
      </w:r>
      <w:r>
        <w:rPr>
          <w:rFonts w:ascii="Arial" w:cs="Arial" w:eastAsia="Arial" w:hAnsi="Arial"/>
          <w:color w:val="1F2937"/>
          <w:sz w:val="22"/>
          <w:szCs w:val="22"/>
        </w:rPr>
        <w:t xml:space="preserve"> A past stroke should be coded using I69.3x (sequelae of cerebral infarction) or Z86.73 (personal history of TIA/stroke), neither of which maps to an HCC and neither of which generates risk adjustment revenue — correctly so.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I63.00</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Cerebral infarction due to thrombosis of unspecified precerebral artery</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99 — Cerebrovascular Disease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inpatient claim within 30 days + imaging confirmation. No outpatient-only I63.x without hospital admission.</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I63.10</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Cerebral infarction due to embolism of unspecified precerebral artery</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99 — Cerebrovascular Disease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as above. Embolism source must be documented. Flag if no anticoagulant prescribed.</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I63.30–I63.39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Cerebral infarction due to thrombosis of cerebral arteries (laterality)</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99 — Cerebrovascular Disease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Laterality required in V28. I63.30 (unspecified) is a documentation gap — query provider.</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I63.40–I63.49</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Cerebral infarction due to embolism of cerebral arteries (laterality)</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99 — Cerebrovascular Disease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Laterality required. Flag if no inpatient claim + no anticoagulation in pharmacy claims.</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I63.9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Cerebral infarction, unspecified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99 — Cerebrovascular Disease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Highest-volume miscoded stroke code. Flag any I63.9 without inpatient admission — automate this query first.</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Z86.73</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Personal history of TIA / stroke (CORRECT alternate)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 Non-risk-adjusting</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This is what most 'acute stroke' outpatient claims should be. Use when patient had stroke in prior year(s) with no current acute event.</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I69.30–I69.398</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Sequelae of cerebral infarction</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 Non-risk-adjusting</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Correct code for ongoing neurological deficits from past stroke. Does not generate risk adjustment payment.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A8C" w:val="clear"/>
          </w:tcPr>
          <w:p/>
        </w:tc>
        <w:tc>
          <w:tcPr>
            <w:tcW w:type="dxa" w:w="9160"/>
            <w:tcBorders>
              <w:top w:val="single" w:color="007A8C" w:sz="4"/>
              <w:left w:val="none" w:color="FFFFFF" w:sz="0"/>
              <w:bottom w:val="single" w:color="007A8C" w:sz="4"/>
              <w:right w:val="single" w:color="007A8C" w:sz="4"/>
            </w:tcBorders>
            <w:shd w:fill="F0FDFA" w:val="clear"/>
            <w:tcMar>
              <w:top w:type="dxa" w:w="100"/>
              <w:left w:type="dxa" w:w="160"/>
              <w:bottom w:type="dxa" w:w="100"/>
              <w:right w:type="dxa" w:w="120"/>
            </w:tcMar>
          </w:tcPr>
          <w:p>
            <w:pPr>
              <w:spacing w:after="60"/>
            </w:pPr>
            <w:r>
              <w:rPr>
                <w:rFonts w:ascii="Arial" w:cs="Arial" w:eastAsia="Arial" w:hAnsi="Arial"/>
                <w:b/>
                <w:bCs/>
                <w:color w:val="007A8C"/>
                <w:sz w:val="19"/>
                <w:szCs w:val="19"/>
              </w:rPr>
              <w:t xml:space="preserve">AUTOMATED QUERY — RUN FIRST</w:t>
            </w:r>
          </w:p>
          <w:p>
            <w:pPr>
              <w:spacing w:after="0"/>
            </w:pPr>
            <w:r>
              <w:rPr>
                <w:rFonts w:ascii="Arial" w:cs="Arial" w:eastAsia="Arial" w:hAnsi="Arial"/>
                <w:color w:val="1F2937"/>
                <w:sz w:val="22"/>
                <w:szCs w:val="22"/>
              </w:rPr>
              <w:t xml:space="preserve">SELECT all I63.x diagnosis codes submitted for risk adjustment WHERE no corresponding MS-DRG 61–63 (stroke) inpatient claim exists within ±30 days AND no neurology/ED facility claim on same date. This single query replicates OIG's exact audit logic. </w:t>
            </w:r>
            <w:r>
              <w:rPr>
                <w:rFonts w:ascii="Arial" w:cs="Arial" w:eastAsia="Arial" w:hAnsi="Arial"/>
                <w:color w:val="4B5563"/>
                <w:sz w:val="17"/>
                <w:szCs w:val="17"/>
                <w:vertAlign w:val="superscript"/>
              </w:rPr>
              <w:t xml:space="preserve"> [2]</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2: Acute Myocardial Infarction (AMI)</w:t>
      </w:r>
    </w:p>
    <w:p>
      <w:pPr>
        <w:pStyle w:val="Heading2"/>
        <w:spacing w:after="60" w:before="280"/>
      </w:pPr>
      <w:r>
        <w:rPr>
          <w:rFonts w:ascii="Arial" w:cs="Arial" w:eastAsia="Arial" w:hAnsi="Arial"/>
          <w:b/>
          <w:bCs/>
          <w:color w:val="991B1B"/>
          <w:sz w:val="26"/>
          <w:szCs w:val="26"/>
        </w:rPr>
        <w:t xml:space="preserve">OIG Evidence &amp; Context</w:t>
      </w:r>
    </w:p>
    <w:p>
      <w:pPr>
        <w:spacing w:after="100" w:before="40"/>
      </w:pPr>
      <w:r>
        <w:rPr>
          <w:rFonts w:ascii="Arial" w:cs="Arial" w:eastAsia="Arial" w:hAnsi="Arial"/>
          <w:b/>
          <w:bCs/>
          <w:color w:val="991B1B"/>
          <w:sz w:val="22"/>
          <w:szCs w:val="22"/>
        </w:rPr>
        <w:t xml:space="preserve">Error rate: &gt;90% in OIG audits.</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[1,2]</w:t>
      </w:r>
      <w:r>
        <w:rPr>
          <w:rFonts w:ascii="Arial" w:cs="Arial" w:eastAsia="Arial" w:hAnsi="Arial"/>
          <w:color w:val="1F2937"/>
          <w:sz w:val="22"/>
          <w:szCs w:val="22"/>
        </w:rPr>
        <w:t xml:space="preserve"> OIG flags acute MI codes appearing only on a physician or outpatient claim without an inpatient hospital claim within 60 days. An acute STEMI or NSTEMI that is not admitted is clinically implausible except in the rarest circumstances (e.g., patient dies in ED). The most common error: a physician perpetuating a prior AMI on annual wellness visits using an acute code instead of a history-of code.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I21.01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ST elevation MI of left anterior descending coronary artery</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86 — Acute MI</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inpatient claim within 60 days. STEMI without hospital admission = almost certainly miscoded.</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I21.02</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ST elevation MI involving other coronary artery of anterior wall</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86 — Acute MI</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validation logic. Flag if no cath lab procedure code (CPT 92920–92944) in same episode.</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I21.09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ST elevation MI of other anterior wall</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86 — Acute MI</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Query if no troponin-level lab claim (CPT 84484) within same date range.</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I21.19</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ST elevation MI of other inferior wall</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86 — Acute MI</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Inpatient DRG 280–282 (AMI) should be present.</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I21.3</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ST elevation MI of unspecified site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86 — Acute MI</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Unspecified laterality — V28 documentation gap. Flag all I21.3 for provider query.</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I21.4</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NSTEMI — Non-ST elevation MI</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86 — Acute MI</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Highest-volume AMI code. Flag any NSTEMI on outpatient claim without inpatient admission within 60 days.</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I25.2</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Old MI — personal history (CORRECT alternate)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87 — Unstable Angina / Other Acute Ischemic</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Use for patient with prior AMI, currently stable. Lower HCC weight than acute AMI — correct coding.</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Z86.19</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Personal history of other infectious/parasitic diseases</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Confirm this is not being incorrectly substituted for cardiac history.</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3: Pulmonary Embolism &amp; Deep Vein Thrombosis</w:t>
      </w:r>
    </w:p>
    <w:p>
      <w:pPr>
        <w:pStyle w:val="Heading2"/>
        <w:spacing w:after="60" w:before="280"/>
      </w:pPr>
      <w:r>
        <w:rPr>
          <w:rFonts w:ascii="Arial" w:cs="Arial" w:eastAsia="Arial" w:hAnsi="Arial"/>
          <w:b/>
          <w:bCs/>
          <w:color w:val="991B1B"/>
          <w:sz w:val="26"/>
          <w:szCs w:val="26"/>
        </w:rPr>
        <w:t xml:space="preserve">OIG Evidence &amp; Context</w:t>
      </w:r>
    </w:p>
    <w:p>
      <w:pPr>
        <w:spacing w:after="100" w:before="40"/>
      </w:pPr>
      <w:r>
        <w:rPr>
          <w:rFonts w:ascii="Arial" w:cs="Arial" w:eastAsia="Arial" w:hAnsi="Arial"/>
          <w:b/>
          <w:bCs/>
          <w:color w:val="92400E"/>
          <w:sz w:val="22"/>
          <w:szCs w:val="22"/>
        </w:rPr>
        <w:t xml:space="preserve">Error rate: HIGH.</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[1,2]</w:t>
      </w:r>
      <w:r>
        <w:rPr>
          <w:rFonts w:ascii="Arial" w:cs="Arial" w:eastAsia="Arial" w:hAnsi="Arial"/>
          <w:color w:val="1F2937"/>
          <w:sz w:val="22"/>
          <w:szCs w:val="22"/>
        </w:rPr>
        <w:t xml:space="preserve"> OIG flags embolism codes without evidence of anticoagulant medication in pharmacy claims. An active pulmonary embolism virtually always generates an anticoagulant prescription (warfarin, apixaban/Eliquis, rivaroxaban/Xarelto, enoxaparin). Absence of anticoagulation is the primary automated trigger. Additionally, acute PE codes on outpatient claims without a corresponding inpatient admission are high-risk.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I26.01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Saddle embolus of pulmonary artery with acute cor pulmonale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267 — DVT/PE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ICU/inpatient admission. Flag if no inpatient claim + no anticoagulant in 90-day pharmacy window.</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I26.02</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Saddle embolus of pulmonary artery without acute cor pulmonale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267 — DVT/PE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CT pulmonary angiography claim (CPT 71275) should accompany diagnosis.</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I26.09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Other pulmonary embolism without acute cor pulmonale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267 — DVT/PE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Highest-volume PE code. Automate: I26.09 + no anticoagulant claim (NDC codes for apixaban, rivaroxaban, warfarin) within 60 days = flag.</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I26.90</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Unspecified pulmonary embolism without acute cor pulmonale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267 — DVT/PE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Unspecified — always query for specificity. V28 penalizes unspecified codes.</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I82.401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Acute DVT of unspecified deep vein of right lower extremity</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267 — DVT/PE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DVT without anticoagulant claim = flag. Ultrasound claim (CPT 93971) should be present for diagnosis confirmation.</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I82.402</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Acute DVT of unspecified deep vein of left lower extremity</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267 — DVT/PE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Laterality required in V28.</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Z87.39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Personal history of PE/DVT (CORRECT alternate)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Resolved PE/DVT with completed anticoagulation. No risk adjustment — use when anticoagulation was completed.</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4: Active Malignant Neoplasms (Cancers)</w:t>
      </w:r>
    </w:p>
    <w:p>
      <w:pPr>
        <w:pStyle w:val="Heading2"/>
        <w:spacing w:after="60" w:before="280"/>
      </w:pPr>
      <w:r>
        <w:rPr>
          <w:rFonts w:ascii="Arial" w:cs="Arial" w:eastAsia="Arial" w:hAnsi="Arial"/>
          <w:b/>
          <w:bCs/>
          <w:color w:val="991B1B"/>
          <w:sz w:val="26"/>
          <w:szCs w:val="26"/>
        </w:rPr>
        <w:t xml:space="preserve">OIG Evidence &amp; Context</w:t>
      </w:r>
    </w:p>
    <w:p>
      <w:pPr>
        <w:spacing w:after="100" w:before="40"/>
      </w:pPr>
      <w:r>
        <w:rPr>
          <w:rFonts w:ascii="Arial" w:cs="Arial" w:eastAsia="Arial" w:hAnsi="Arial"/>
          <w:b/>
          <w:bCs/>
          <w:color w:val="991B1B"/>
          <w:sz w:val="22"/>
          <w:szCs w:val="22"/>
        </w:rPr>
        <w:t xml:space="preserve">Error rate: &gt;90% in OIG audits for specific cancer codes.</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[1,2,4]</w:t>
      </w:r>
      <w:r>
        <w:rPr>
          <w:rFonts w:ascii="Arial" w:cs="Arial" w:eastAsia="Arial" w:hAnsi="Arial"/>
          <w:color w:val="1F2937"/>
          <w:sz w:val="22"/>
          <w:szCs w:val="22"/>
        </w:rPr>
        <w:t xml:space="preserve"> OIG flags active cancer codes without evidence of surgery, radiation, or chemotherapy within 6 months. There is no time cutoff for switching from active to history-of — the determinant is whether the patient is actively being treated or monitored for evidence of disease. A patient on surveillance colonoscopy only (no active treatment) for 'resolved' colon cancer should be coded Z85.038, not C18.x.</w:t>
      </w:r>
      <w:r>
        <w:rPr>
          <w:rFonts w:ascii="Arial" w:cs="Arial" w:eastAsia="Arial" w:hAnsi="Arial"/>
          <w:color w:val="4B5563"/>
          <w:sz w:val="17"/>
          <w:szCs w:val="17"/>
          <w:vertAlign w:val="superscript"/>
        </w:rPr>
        <w:t xml:space="preserve"> [4]</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C34.10–C34.12</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upper lobe, bronchus/lung (laterality)</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 — Lung Cancer</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chemo (CPT 96401–96549), radiation (CPT 77xxx), or surgical claim within 180 days. No treatment = query active vs. history.</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C34.30–C34.32</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lower lobe, bronchus/lung (laterality)</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 — Lung Cancer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Laterality required. C34.90 (unspecified) is a V28 documentation gap.</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C50.911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unspecified site, right female breast</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 — Breast Cancer</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active treatment claim. No chemo/radiation/surgery within 180 days = Z85.3 (history of breast cancer).</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C50.912</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unspecified site, left female breast</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 — Breast Cancer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Tamoxifen/aromatase inhibitor use alone (adjuvant) counts as active treatment.</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C18.2–C18.9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colon (site-specific)</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 — Colorectal Cancer</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OIG specific finding: prior colon cancer documented in records but coded as active. Surveillance colonoscopy does not equal active cancer. [Ref 4]</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C18.9</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colon, unspecified</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 — Colorectal Cancer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High-volume unspecified code. Flag without chemotherapy (FOLFOX, FOLFIRI) or surgical claim within 180 days.</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C61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prostate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 — Colorectal/Prostate Cancer</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Active C61 requires treatment (ADT/chemo/radiation). PSA monitoring alone = Z85.46 (history of prostate cancer).</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C56.1</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right ovary</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 — Ovarian Cancer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Must have active chemotherapy or surgical claim. Surgical menopause alone does not support active cancer coding.</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C56.2</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Malignant neoplasm of left ovary</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9 — Ovarian Cancer</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Laterality required in V28.</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Z85.038</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Personal history of carcinoma of colon (CORRECT alternate)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Patient had colon cancer, treatment complete, no evidence of disease. Non-risk-adjusting — correct.</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Z85.3</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Personal history of malignant neoplasm of breast (CORRECT alternate)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Patient had breast cancer, in remission, surveillance only. Use instead of C50.x.</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Z85.46</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Personal history of malignant neoplasm of prostate (CORRECT alternate)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PSA surveillance only, no active treatment. Correct alternate to C61.</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5: Major Depressive Disorder (MDD)</w:t>
      </w:r>
    </w:p>
    <w:p>
      <w:pPr>
        <w:pStyle w:val="Heading2"/>
        <w:spacing w:after="60" w:before="280"/>
      </w:pPr>
      <w:r>
        <w:rPr>
          <w:rFonts w:ascii="Arial" w:cs="Arial" w:eastAsia="Arial" w:hAnsi="Arial"/>
          <w:b/>
          <w:bCs/>
          <w:color w:val="92400E"/>
          <w:sz w:val="26"/>
          <w:szCs w:val="26"/>
        </w:rPr>
        <w:t xml:space="preserve">OIG Evidence &amp; Context</w:t>
      </w:r>
    </w:p>
    <w:p>
      <w:pPr>
        <w:spacing w:after="100" w:before="40"/>
      </w:pPr>
      <w:r>
        <w:rPr>
          <w:rFonts w:ascii="Arial" w:cs="Arial" w:eastAsia="Arial" w:hAnsi="Arial"/>
          <w:b/>
          <w:bCs/>
          <w:color w:val="92400E"/>
          <w:sz w:val="22"/>
          <w:szCs w:val="22"/>
        </w:rPr>
        <w:t xml:space="preserve">Error rate: HIGH in OIG targeted audits.</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[1,5]</w:t>
      </w:r>
      <w:r>
        <w:rPr>
          <w:rFonts w:ascii="Arial" w:cs="Arial" w:eastAsia="Arial" w:hAnsi="Arial"/>
          <w:color w:val="1F2937"/>
          <w:sz w:val="22"/>
          <w:szCs w:val="22"/>
        </w:rPr>
        <w:t xml:space="preserve"> OIG specifically audited MDD in MA plan compliance audits (e.g., Geisinger, Triple-S) and found high non-compliance rates. The primary issues: (1) upcoding from moderate to severe/with psychosis without documented clinical basis; (2) using acute/episode codes in the outpatient setting without MEAT-criteria documentation; (3) FY 2026 added new episode severity descriptors to F32–F33</w:t>
      </w:r>
      <w:r>
        <w:rPr>
          <w:rFonts w:ascii="Arial" w:cs="Arial" w:eastAsia="Arial" w:hAnsi="Arial"/>
          <w:color w:val="4B5563"/>
          <w:sz w:val="17"/>
          <w:szCs w:val="17"/>
          <w:vertAlign w:val="superscript"/>
        </w:rPr>
        <w:t xml:space="preserve"> [6]</w:t>
      </w:r>
      <w:r>
        <w:rPr>
          <w:rFonts w:ascii="Arial" w:cs="Arial" w:eastAsia="Arial" w:hAnsi="Arial"/>
          <w:color w:val="1F2937"/>
          <w:sz w:val="22"/>
          <w:szCs w:val="22"/>
        </w:rPr>
        <w:t xml:space="preserve"> — providers frequently use the wrong specificity level.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F32.0</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Major depressive disorder, single episode, mild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 &amp; Bipolar</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documented PHQ-9 score 5–9 or equivalent severity assessment from face-to-face encounter in measurement year.</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F32.1</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Major depressive disorder, single episode, moderate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 &amp; Bipolar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PHQ-9 score 10–14 or equivalent. Flag if no antidepressant prescription (SSRI/SNRI/TCA) in pharmacy claims.</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F32.2</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Major depressive disorder, single episode, severe without psychotic features</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 &amp; Bipolar</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PHQ-9 score 15–19. Higher HCC weight than F32.1. Flag upcode pattern from F32.1 → F32.2 without documented severity change.</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F32.3</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Major depressive disorder, single episode, severe with psychotic features</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 &amp; Bipolar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Highest weight. Requires documented psychosis (hallucinations, delusions) in physician note. Flag without antipsychotic prescription.</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F33.0</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Major depressive disorder, recurrent, mild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 &amp; Bipolar</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Recurrent episode must be documented as current/active in the measurement year encounter — not just historical.</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F33.1</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Major depressive disorder, recurrent, moderate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 &amp; Bipolar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Flag if the diagnosis appears only in chart review without a face-to-face encounter claim.</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F33.2</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Major depressive disorder, recurrent severe without psychotic features</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 &amp; Bipolar</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Validate severity documentation. PHQ-9 ≥ 15 or equivalent clinical documentation required.</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F33.3</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Major depressive disorder, recurrent, severe with psychotic features</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155 — Major Depression &amp; Bipolar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Highest risk. Requires antipsychotic prescription AND documented psychosis in physician note.</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6: Diabetes Mellitus with Complications</w:t>
      </w:r>
    </w:p>
    <w:p>
      <w:pPr>
        <w:pStyle w:val="Heading2"/>
        <w:spacing w:after="60" w:before="280"/>
      </w:pPr>
      <w:r>
        <w:rPr>
          <w:rFonts w:ascii="Arial" w:cs="Arial" w:eastAsia="Arial" w:hAnsi="Arial"/>
          <w:b/>
          <w:bCs/>
          <w:color w:val="92400E"/>
          <w:sz w:val="26"/>
          <w:szCs w:val="26"/>
        </w:rPr>
        <w:t xml:space="preserve">OIG Evidence &amp; Context</w:t>
      </w:r>
    </w:p>
    <w:p>
      <w:pPr>
        <w:spacing w:after="100" w:before="40"/>
      </w:pPr>
      <w:r>
        <w:rPr>
          <w:rFonts w:ascii="Arial" w:cs="Arial" w:eastAsia="Arial" w:hAnsi="Arial"/>
          <w:b/>
          <w:bCs/>
          <w:color w:val="92400E"/>
          <w:sz w:val="22"/>
          <w:szCs w:val="22"/>
        </w:rPr>
        <w:t xml:space="preserve">Error rate: HIGH — most common upcoding pattern in non-targeted OIG audits.</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[7,8]</w:t>
      </w:r>
      <w:r>
        <w:rPr>
          <w:rFonts w:ascii="Arial" w:cs="Arial" w:eastAsia="Arial" w:hAnsi="Arial"/>
          <w:color w:val="1F2937"/>
          <w:sz w:val="22"/>
          <w:szCs w:val="22"/>
        </w:rPr>
        <w:t xml:space="preserve"> The primary miscoding pattern: assigning 'diabetes with complications' (E11.2x–E11.6x) when only uncomplicated diabetes (E11.9) is documented. Under V28, diabetes with/without complications now carry closer coefficient weights</w:t>
      </w:r>
      <w:r>
        <w:rPr>
          <w:rFonts w:ascii="Arial" w:cs="Arial" w:eastAsia="Arial" w:hAnsi="Arial"/>
          <w:color w:val="4B5563"/>
          <w:sz w:val="17"/>
          <w:szCs w:val="17"/>
          <w:vertAlign w:val="superscript"/>
        </w:rPr>
        <w:t xml:space="preserve"> [9]</w:t>
      </w:r>
      <w:r>
        <w:rPr>
          <w:rFonts w:ascii="Arial" w:cs="Arial" w:eastAsia="Arial" w:hAnsi="Arial"/>
          <w:color w:val="1F2937"/>
          <w:sz w:val="22"/>
          <w:szCs w:val="22"/>
        </w:rPr>
        <w:t xml:space="preserve"> — but the upcoding exposure remains because the physician must explicitly document and link the complication to the diabetes. CMS also added E11.A (diabetes in remission) in FY 2026 — incorrectly using E11.x instead of E11.A for patients in remission is a new audit risk.</w:t>
      </w:r>
      <w:r>
        <w:rPr>
          <w:rFonts w:ascii="Arial" w:cs="Arial" w:eastAsia="Arial" w:hAnsi="Arial"/>
          <w:color w:val="4B5563"/>
          <w:sz w:val="17"/>
          <w:szCs w:val="17"/>
          <w:vertAlign w:val="superscript"/>
        </w:rPr>
        <w:t xml:space="preserve"> [10]</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E11.9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Type 2 diabetes mellitus without complications</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Diabetes without complication</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Baseline code. Correct if no complications documented or linked. V28 reduced the coefficient gap vs. E11.2x.</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E11.22</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Type 2 diabetes with diabetic chronic kidney disease, Stage 1-2</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HCC 329 (CKD)</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Must have explicit physician linkage ('diabetic nephropathy') AND N18.1–N18.2 secondary code with current GFR lab.</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E11.65</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Type 2 diabetes with hyperglycemia</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Diabetes</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documented hyperglycemia episode in the current encounter — not just chronic elevated A1C.</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E11.311</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Type 2 diabetes with unspecified diabetic retinopathy with macular edema</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Ophthalmology</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Must have ophthalmology claim (CPT 92004, 92250) confirming active retinopathy in measurement year.</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E11.51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Type 2 diabetes with diabetic peripheral angiopathy without gangrene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HCC 108 (Vascular Disease)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ABI test or peripheral vascular imaging claim confirming active angiopathy. Not historical.</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E11.621</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Type 2 diabetes with foot ulcer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HCC 161 (Ulcer)</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Must pair with L97.x code (ulcer site/severity). Wound care claim (CPT 97597–97602) should be present.</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E11.649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Type 2 diabetes with hypoglycemia without coma</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37 — Diabetes</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documented hypoglycemic episode in encounter note, not just patient-reported history.</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E11.A</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Type 2 diabetes mellitus, in remission (NEW FY 2026)</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 Non-risk-adjusting</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New FY 2026 code. Patients with HbA1c &lt;6.5% without medication qualify. Do not use E11.9 for remission cases.</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7: Morbid Obesity</w:t>
      </w:r>
    </w:p>
    <w:p>
      <w:pPr>
        <w:pStyle w:val="Heading2"/>
        <w:spacing w:after="60" w:before="280"/>
      </w:pPr>
      <w:r>
        <w:rPr>
          <w:rFonts w:ascii="Arial" w:cs="Arial" w:eastAsia="Arial" w:hAnsi="Arial"/>
          <w:b/>
          <w:bCs/>
          <w:color w:val="92400E"/>
          <w:sz w:val="26"/>
          <w:szCs w:val="26"/>
        </w:rPr>
        <w:t xml:space="preserve">OIG Evidence &amp; Context</w:t>
      </w:r>
    </w:p>
    <w:p>
      <w:pPr>
        <w:spacing w:after="100" w:before="40"/>
      </w:pPr>
      <w:r>
        <w:rPr>
          <w:rFonts w:ascii="Arial" w:cs="Arial" w:eastAsia="Arial" w:hAnsi="Arial"/>
          <w:b/>
          <w:bCs/>
          <w:color w:val="92400E"/>
          <w:sz w:val="22"/>
          <w:szCs w:val="22"/>
        </w:rPr>
        <w:t xml:space="preserve">Error rate: HIGH — documented in non-targeted OIG compliance audits.</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[7]</w:t>
      </w:r>
      <w:r>
        <w:rPr>
          <w:rFonts w:ascii="Arial" w:cs="Arial" w:eastAsia="Arial" w:hAnsi="Arial"/>
          <w:color w:val="1F2937"/>
          <w:sz w:val="22"/>
          <w:szCs w:val="22"/>
        </w:rPr>
        <w:t xml:space="preserve"> OIG specifically found morbid obesity codes either not supported or not coded to the correct degree of severity in compliance audits. CMS's 2027 Advance Notice proposes a 19.4% reduction in the morbid obesity HCC coefficient</w:t>
      </w:r>
      <w:r>
        <w:rPr>
          <w:rFonts w:ascii="Arial" w:cs="Arial" w:eastAsia="Arial" w:hAnsi="Arial"/>
          <w:color w:val="4B5563"/>
          <w:sz w:val="17"/>
          <w:szCs w:val="17"/>
          <w:vertAlign w:val="superscript"/>
        </w:rPr>
        <w:t xml:space="preserve"> [11]</w:t>
      </w:r>
      <w:r>
        <w:rPr>
          <w:rFonts w:ascii="Arial" w:cs="Arial" w:eastAsia="Arial" w:hAnsi="Arial"/>
          <w:color w:val="1F2937"/>
          <w:sz w:val="22"/>
          <w:szCs w:val="22"/>
        </w:rPr>
        <w:t xml:space="preserve"> — a direct regulatory signal of systematic overcoding. The key validation: current-year BMI ≥ 40 must be documented at a face-to-face encounter, and the BMI code (Z68.41–Z68.45) must accompany E66.01.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E66.01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Morbid (severe) obesity due to excess calories</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22 — Morbid Obesity</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(1) physician-documented BMI ≥ 40 or ≥ 35 with qualifying comorbidity; (2) Z68.4x BMI code from current-year encounter; (3) face-to-face visit — not HRA-only.</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E66.09</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Other obesity due to excess calories</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22 — Morbid Obesity (some mappings)</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Clarify: is this Class II obesity (BMI 35–39.9) or misuse of E66.09 for BMI ≥ 40? V28 requires specificity.</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E66.9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Obesity, unspecified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in V28 — removed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E66.9 no longer maps to HCC under V28. Flag all claims using E66.9 for risk adjustment — these are zero-value and represent coding waste.</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Z68.41</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BMI 40.0–44.9, adult</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Supporting code only</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Must accompany E66.01. Automate: E66.01 without a Z68.4x companion code = incomplete and audit-vulnerable.</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Z68.42</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BMI 45.0–49.9, adult</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Supporting code only</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BMI value from current measurement year required — not carried forward from prior year.</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Z68.43</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BMI 50.0–59.9, adult</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Supporting code only</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Super-morbid obesity. Should trigger referral documentation to bariatric specialist.</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Z68.44</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BMI 60.0–69.9, adult</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Supporting code only</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Extremely rare. Flag for clinical plausibility review.</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8: Vascular Disease &amp; Claudication</w:t>
      </w:r>
    </w:p>
    <w:p>
      <w:pPr>
        <w:pStyle w:val="Heading2"/>
        <w:spacing w:after="60" w:before="280"/>
      </w:pPr>
      <w:r>
        <w:rPr>
          <w:rFonts w:ascii="Arial" w:cs="Arial" w:eastAsia="Arial" w:hAnsi="Arial"/>
          <w:b/>
          <w:bCs/>
          <w:color w:val="92400E"/>
          <w:sz w:val="26"/>
          <w:szCs w:val="26"/>
        </w:rPr>
        <w:t xml:space="preserve">OIG Evidence &amp; Context</w:t>
      </w:r>
    </w:p>
    <w:p>
      <w:pPr>
        <w:spacing w:after="100" w:before="40"/>
      </w:pPr>
      <w:r>
        <w:rPr>
          <w:rFonts w:ascii="Arial" w:cs="Arial" w:eastAsia="Arial" w:hAnsi="Arial"/>
          <w:b/>
          <w:bCs/>
          <w:color w:val="92400E"/>
          <w:sz w:val="22"/>
          <w:szCs w:val="22"/>
        </w:rPr>
        <w:t xml:space="preserve">Error rate: HIGH — OIG found documentation generally not supportive of vascular HCC mapping.</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[5,7]</w:t>
      </w:r>
      <w:r>
        <w:rPr>
          <w:rFonts w:ascii="Arial" w:cs="Arial" w:eastAsia="Arial" w:hAnsi="Arial"/>
          <w:color w:val="1F2937"/>
          <w:sz w:val="22"/>
          <w:szCs w:val="22"/>
        </w:rPr>
        <w:t xml:space="preserve"> Two specific OIG findings: (1) vascular claudication diagnosed without appearance in the 2 preceding years — suggesting new coding without clinical basis; (2) patients with vascular claudication medications typically used for neurogenic claudication (spinal stenosis) rather than peripheral vascular disease — a specific data crosswalk OIG uses in its SQL-based audit logic.</w:t>
      </w:r>
      <w:r>
        <w:rPr>
          <w:rFonts w:ascii="Arial" w:cs="Arial" w:eastAsia="Arial" w:hAnsi="Arial"/>
          <w:color w:val="4B5563"/>
          <w:sz w:val="17"/>
          <w:szCs w:val="17"/>
          <w:vertAlign w:val="superscript"/>
        </w:rPr>
        <w:t xml:space="preserve"> [2]</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I70.211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Atherosclerosis of native arteries, right leg, with intermittent claudication</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108 — Vascular Disease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ABI (ankle-brachial index) test claim or peripheral arterial imaging. Claudication without vascular workup = flag.</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I70.212</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Atherosclerosis of native arteries, left leg, with intermittent claudication</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108 — Vascular Disease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Laterality required. Flag if patient also has lumbar stenosis (M48.06) — may be neurogenic, not vascular claudication.</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I70.221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Atherosclerosis of native arteries, right leg, with rest pain</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108 — Vascular Disease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Rest pain = more severe. Requires documented critical limb ischemia workup. Vascular surgery consult claim should be present.</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I70.261</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Atherosclerosis of native arteries, right leg, with gangrene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108 — Vascular Disease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wound care or surgical debridement claim. Gangrene without treatment = implausible.</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I70.00</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Atherosclerosis of aorta</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108 — Vascular Disease</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imaging (CT aortography, CPT 74175) or prior aortic surgery claim.</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I73.9</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Peripheral vascular disease, unspecified</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108 — Vascular Disease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Unspecified — flag all I73.9. V28 penalizes unspecified codes. Query provider for laterality and severity.</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M48.06</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Spinal stenosis, lumbar region (neurogenic claudication)</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for claudication</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OIG specifically flags confusion between I70.21x (vascular) and M48.06 (neurogenic). Validate which is clinically correct.</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9: Chronic Kidney Disease (CKD) — Staging Accuracy</w:t>
      </w:r>
    </w:p>
    <w:p>
      <w:pPr>
        <w:pStyle w:val="Heading2"/>
        <w:spacing w:after="60" w:before="280"/>
      </w:pPr>
      <w:r>
        <w:rPr>
          <w:rFonts w:ascii="Arial" w:cs="Arial" w:eastAsia="Arial" w:hAnsi="Arial"/>
          <w:b/>
          <w:bCs/>
          <w:color w:val="007A8C"/>
          <w:sz w:val="26"/>
          <w:szCs w:val="26"/>
        </w:rPr>
        <w:t xml:space="preserve">OIG Evidence &amp; Context</w:t>
      </w:r>
    </w:p>
    <w:p>
      <w:pPr>
        <w:spacing w:after="100" w:before="40"/>
      </w:pPr>
      <w:r>
        <w:rPr>
          <w:rFonts w:ascii="Arial" w:cs="Arial" w:eastAsia="Arial" w:hAnsi="Arial"/>
          <w:b/>
          <w:bCs/>
          <w:color w:val="92400E"/>
          <w:sz w:val="22"/>
          <w:szCs w:val="22"/>
        </w:rPr>
        <w:t xml:space="preserve">Error rate: MEDIUM–HIGH — V28 and 2027 Advance Notice signal CKD as emerging target.</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[11,12]</w:t>
      </w:r>
      <w:r>
        <w:rPr>
          <w:rFonts w:ascii="Arial" w:cs="Arial" w:eastAsia="Arial" w:hAnsi="Arial"/>
          <w:color w:val="1F2937"/>
          <w:sz w:val="22"/>
          <w:szCs w:val="22"/>
        </w:rPr>
        <w:t xml:space="preserve"> CMS's 2027 Advance Notice proposes to reduce the CKD Stage 3A HCC coefficient by 50.4% — the single largest proposed reduction of any condition. This reflects systematic overcoding of CKD Stage 3A (the lowest-severity CKD that maps to a CMS HCC). The CVA focus: is CKD staging validated with a current-year eGFR lab result? Staging without contemporaneous lab evidence is a RADV failure.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N18.1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Chronic kidney disease, stage 1 (eGFR ≥ 90, with albuminuria)</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 Non-risk-adjusting</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CKD Stage 1 does not map to a risk-adjusting HCC. Flag if coded for risk adjustment — wasted coding effort.</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N18.2</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Chronic kidney disease, stage 2 (eGFR 60–89)</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 Non-risk-adjusting</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Does not generate HCC payment. However, must be coded for comorbidity documentation with diabetes (E11.22).</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N18.31</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Chronic kidney disease, stage 3a (eGFR 45–59)</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329 — CKD Stage 3–4</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Proposed 50.4% coefficient cut in 2027. Validate: current-year eGFR lab (CPT 82565) between 45–59. No lab = flag.</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N18.32</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Chronic kidney disease, stage 3b (eGFR 30–44)</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329 — CKD Stage 3–4</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Same validation. eGFR 30–44 required from current-year lab. Stage 3b carries higher weight than 3a.</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N18.4</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Chronic kidney disease, stage 4 (eGFR 15–29)</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330 — CKD Stage 5</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Higher HCC weight. Requires nephrology claim and current eGFR lab 15–29. Upcoding from N18.32 to N18.4 without lab = flag.</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N18.5</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Chronic kidney disease, stage 5 (eGFR &lt;15, no dialysis)</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330 — CKD Stage 5</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current eGFR &lt;15. Nephrology consult and dialysis preparation claims should accompany.</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N18.6</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End-stage renal disease (dialysis-dependent)</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134 — ESRD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Dialysis claim (CPT 90935, 90937, or HCPCS G0257) required. Cross-reference dialysis facility claims.</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Category 10: Chronic Obstructive Pulmonary Disease (COPD)</w:t>
      </w:r>
    </w:p>
    <w:p>
      <w:pPr>
        <w:pStyle w:val="Heading2"/>
        <w:spacing w:after="60" w:before="280"/>
      </w:pPr>
      <w:r>
        <w:rPr>
          <w:rFonts w:ascii="Arial" w:cs="Arial" w:eastAsia="Arial" w:hAnsi="Arial"/>
          <w:b/>
          <w:bCs/>
          <w:color w:val="007A8C"/>
          <w:sz w:val="26"/>
          <w:szCs w:val="26"/>
        </w:rPr>
        <w:t xml:space="preserve">OIG Evidence &amp; Context</w:t>
      </w:r>
    </w:p>
    <w:p>
      <w:pPr>
        <w:spacing w:after="100" w:before="40"/>
      </w:pPr>
      <w:r>
        <w:rPr>
          <w:rFonts w:ascii="Arial" w:cs="Arial" w:eastAsia="Arial" w:hAnsi="Arial"/>
          <w:b/>
          <w:bCs/>
          <w:color w:val="92400E"/>
          <w:sz w:val="22"/>
          <w:szCs w:val="22"/>
        </w:rPr>
        <w:t xml:space="preserve">Error rate: MEDIUM–HIGH — CMS reducing COPD coefficient 18.8% in 2027 Advance Notice.</w:t>
      </w:r>
      <w:r>
        <w:rPr>
          <w:rFonts w:ascii="Arial" w:cs="Arial" w:eastAsia="Arial" w:hAnsi="Arial"/>
          <w:color w:val="1F2937"/>
          <w:sz w:val="22"/>
          <w:szCs w:val="22"/>
        </w:rPr>
        <w:t xml:space="preserve"> </w:t>
      </w:r>
      <w:r>
        <w:rPr>
          <w:rFonts w:ascii="Arial" w:cs="Arial" w:eastAsia="Arial" w:hAnsi="Arial"/>
          <w:color w:val="4B5563"/>
          <w:sz w:val="17"/>
          <w:szCs w:val="17"/>
          <w:vertAlign w:val="superscript"/>
        </w:rPr>
        <w:t xml:space="preserve"> [11,13]</w:t>
      </w:r>
      <w:r>
        <w:rPr>
          <w:rFonts w:ascii="Arial" w:cs="Arial" w:eastAsia="Arial" w:hAnsi="Arial"/>
          <w:color w:val="1F2937"/>
          <w:sz w:val="22"/>
          <w:szCs w:val="22"/>
        </w:rPr>
        <w:t xml:space="preserve"> CMS and STAT News analysis specifically identified lung disease as one of the chronic conditions CMS is ratcheting down due to documented upcoding intensity.</w:t>
      </w:r>
      <w:r>
        <w:rPr>
          <w:rFonts w:ascii="Arial" w:cs="Arial" w:eastAsia="Arial" w:hAnsi="Arial"/>
          <w:color w:val="4B5563"/>
          <w:sz w:val="17"/>
          <w:szCs w:val="17"/>
          <w:vertAlign w:val="superscript"/>
        </w:rPr>
        <w:t xml:space="preserve"> [13]</w:t>
      </w:r>
      <w:r>
        <w:rPr>
          <w:rFonts w:ascii="Arial" w:cs="Arial" w:eastAsia="Arial" w:hAnsi="Arial"/>
          <w:color w:val="1F2937"/>
          <w:sz w:val="22"/>
          <w:szCs w:val="22"/>
        </w:rPr>
        <w:t xml:space="preserve"> The core CVA issue: COPD coded at an exacerbation level (J44.1) without evidence of an acute exacerbation encounter (ER visit, steroid burst, or antibiotic prescription for acute bronchitis/COPD). Also: J44.9 (unspecified COPD) no longer maps to a CMS HCC in V28 — plans must ensure specificity.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000"/>
        <w:gridCol w:w="1400"/>
        <w:gridCol w:w="1400"/>
        <w:gridCol w:w="3440"/>
      </w:tblGrid>
      <w:tr>
        <w:trPr>
          <w:tblHeader/>
        </w:trPr>
        <w:tc>
          <w:tcPr>
            <w:tcW w:type="dxa" w:w="112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ICD-10-CM Code</w:t>
            </w:r>
          </w:p>
        </w:tc>
        <w:tc>
          <w:tcPr>
            <w:tcW w:type="dxa" w:w="20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Description</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HCC V28 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OIG Audit Flag</w:t>
            </w:r>
          </w:p>
        </w:tc>
        <w:tc>
          <w:tcPr>
            <w:tcW w:type="dxa" w:w="3440"/>
            <w:tcBorders>
              <w:top w:val="single" w:color="0D1B4B" w:sz="4"/>
              <w:left w:val="none" w:color="FFFFFF" w:sz="0"/>
              <w:bottom w:val="single" w:color="0D1B4B" w:sz="4"/>
              <w:right w:val="none" w:color="FFFFFF" w:sz="0"/>
            </w:tcBorders>
            <w:shd w:fill="0D1B4B" w:val="clear"/>
            <w:tcMar>
              <w:top w:type="dxa" w:w="80"/>
              <w:left w:type="dxa" w:w="120"/>
              <w:bottom w:type="dxa" w:w="80"/>
              <w:right w:type="dxa" w:w="80"/>
            </w:tcMar>
          </w:tcPr>
          <w:p>
            <w:r>
              <w:rPr>
                <w:rFonts w:ascii="Arial" w:cs="Arial" w:eastAsia="Arial" w:hAnsi="Arial"/>
                <w:b/>
                <w:bCs/>
                <w:color w:val="FFFFFF"/>
                <w:sz w:val="18"/>
                <w:szCs w:val="18"/>
              </w:rPr>
              <w:t xml:space="preserve">CVA Trigger / Validation Logic</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J44.0</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COPD with acute lower respiratory infection</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111 — COPD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antibiotic prescription claim AND physician documentation of acute infection on same or adjacent date. Not appropriate for routine bronchitis.</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J44.1</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COPD with acute exacerbation</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111 — COPD</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92400E"/>
                <w:sz w:val="18"/>
                <w:szCs w:val="18"/>
              </w:rPr>
              <w:t xml:space="preserve">HIGH</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Highest-volume COPD code. Validate: (1) systemic steroid prescription (prednisone burst) within 14 days; OR (2) ER/inpatient claim for respiratory distress. No treatment = flag.</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J44.9</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COPD, unspecified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in V28 — removed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991B1B"/>
                <w:sz w:val="18"/>
                <w:szCs w:val="18"/>
              </w:rPr>
              <w:t xml:space="preserve">CRITICAL</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J44.9 was removed from V28 HCC mapping. Any plan submitting J44.9 for risk adjustment receives ZERO payment for it. Flag all J44.9 claims — query providers for J44.0 or J44.1 with clinical basis.</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J43.9</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Emphysema, unspecified</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HCC 111 — COPD</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007A8C"/>
                <w:sz w:val="18"/>
                <w:szCs w:val="18"/>
              </w:rPr>
              <w:t xml:space="preserve">MEDIUM</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Requires PFT (pulmonary function test, CPT 94010–94070) confirming obstructive pattern. Radiological emphysema alone insufficient.</w:t>
            </w:r>
          </w:p>
        </w:tc>
      </w:tr>
      <w:tr>
        <w:tc>
          <w:tcPr>
            <w:tcW w:type="dxa" w:w="112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Courier New" w:cs="Courier New" w:eastAsia="Courier New" w:hAnsi="Courier New"/>
                <w:b/>
                <w:bCs/>
                <w:color w:val="0D1B4B"/>
                <w:sz w:val="20"/>
                <w:szCs w:val="20"/>
              </w:rPr>
              <w:t xml:space="preserve">J45.20</w:t>
            </w:r>
          </w:p>
        </w:tc>
        <w:tc>
          <w:tcPr>
            <w:tcW w:type="dxa" w:w="20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Mild intermittent asthma, uncomplicated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 — distinct from COPD</w:t>
            </w:r>
          </w:p>
        </w:tc>
        <w:tc>
          <w:tcPr>
            <w:tcW w:type="dxa" w:w="140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FFFFF" w:val="clear"/>
            <w:tcMar>
              <w:top w:type="dxa" w:w="70"/>
              <w:left w:type="dxa" w:w="120"/>
              <w:bottom w:type="dxa" w:w="70"/>
              <w:right w:type="dxa" w:w="80"/>
            </w:tcMar>
          </w:tcPr>
          <w:p>
            <w:r>
              <w:rPr>
                <w:rFonts w:ascii="Arial" w:cs="Arial" w:eastAsia="Arial" w:hAnsi="Arial"/>
                <w:b w:val="false"/>
                <w:bCs w:val="false"/>
                <w:color w:val="1F2937"/>
                <w:sz w:val="18"/>
                <w:szCs w:val="18"/>
              </w:rPr>
              <w:t xml:space="preserve">Confirm COPD vs. asthma distinction. OIG has flagged mixed coding of asthma and COPD in the same member record.</w:t>
            </w:r>
          </w:p>
        </w:tc>
      </w:tr>
      <w:tr>
        <w:tc>
          <w:tcPr>
            <w:tcW w:type="dxa" w:w="112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Courier New" w:cs="Courier New" w:eastAsia="Courier New" w:hAnsi="Courier New"/>
                <w:b/>
                <w:bCs/>
                <w:color w:val="0D1B4B"/>
                <w:sz w:val="20"/>
                <w:szCs w:val="20"/>
              </w:rPr>
              <w:t xml:space="preserve">Z87.891</w:t>
            </w:r>
          </w:p>
        </w:tc>
        <w:tc>
          <w:tcPr>
            <w:tcW w:type="dxa" w:w="20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Personal history of COPD or other respiratory disease</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No HCC</w:t>
            </w:r>
          </w:p>
        </w:tc>
        <w:tc>
          <w:tcPr>
            <w:tcW w:type="dxa" w:w="140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bCs/>
                <w:color w:val="374151"/>
                <w:sz w:val="18"/>
                <w:szCs w:val="18"/>
              </w:rPr>
              <w:t xml:space="preserve">—</w:t>
            </w:r>
          </w:p>
        </w:tc>
        <w:tc>
          <w:tcPr>
            <w:tcW w:type="dxa" w:w="3440"/>
            <w:tcBorders>
              <w:top w:val="single" w:color="D1D5DB" w:sz="4"/>
              <w:left w:val="none" w:color="FFFFFF" w:sz="0"/>
              <w:bottom w:val="single" w:color="D1D5DB" w:sz="4"/>
              <w:right w:val="none" w:color="FFFFFF" w:sz="0"/>
            </w:tcBorders>
            <w:shd w:fill="F1F5F9" w:val="clear"/>
            <w:tcMar>
              <w:top w:type="dxa" w:w="70"/>
              <w:left w:type="dxa" w:w="120"/>
              <w:bottom w:type="dxa" w:w="70"/>
              <w:right w:type="dxa" w:w="80"/>
            </w:tcMar>
          </w:tcPr>
          <w:p>
            <w:r>
              <w:rPr>
                <w:rFonts w:ascii="Arial" w:cs="Arial" w:eastAsia="Arial" w:hAnsi="Arial"/>
                <w:b w:val="false"/>
                <w:bCs w:val="false"/>
                <w:color w:val="1F2937"/>
                <w:sz w:val="18"/>
                <w:szCs w:val="18"/>
              </w:rPr>
              <w:t xml:space="preserve">For patients who previously had COPD exacerbations but are currently stable and without ongoing treatment — rarely used but correct in some cases.</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Consolidated Summary: 10 CVA Expansion Categories</w:t>
      </w:r>
    </w:p>
    <w:p>
      <w:pPr>
        <w:spacing w:after="100" w:before="40"/>
      </w:pPr>
      <w:r>
        <w:rPr>
          <w:rFonts w:ascii="Arial" w:cs="Arial" w:eastAsia="Arial" w:hAnsi="Arial"/>
          <w:color w:val="1F2937"/>
          <w:sz w:val="22"/>
          <w:szCs w:val="22"/>
        </w:rPr>
        <w:t xml:space="preserve">All 10 categories below are either explicitly named in OIG published audits and toolkits, or are directly targeted by CMS V28 model changes and 2027 Advance Notice coefficient reductions.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400"/>
        <w:gridCol w:w="1300"/>
        <w:gridCol w:w="1300"/>
        <w:gridCol w:w="2000"/>
        <w:gridCol w:w="1360"/>
      </w:tblGrid>
      <w:tr>
        <w:trPr>
          <w:tblHeader/>
        </w:trPr>
        <w:tc>
          <w:tcPr>
            <w:tcW w:type="dxa" w:w="4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w:t>
            </w:r>
          </w:p>
        </w:tc>
        <w:tc>
          <w:tcPr>
            <w:tcW w:type="dxa" w:w="16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Category</w:t>
            </w:r>
          </w:p>
        </w:tc>
        <w:tc>
          <w:tcPr>
            <w:tcW w:type="dxa" w:w="14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Key ICD-10-CM Codes</w:t>
            </w:r>
          </w:p>
        </w:tc>
        <w:tc>
          <w:tcPr>
            <w:tcW w:type="dxa" w:w="13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OIG Error Rate</w:t>
            </w:r>
          </w:p>
        </w:tc>
        <w:tc>
          <w:tcPr>
            <w:tcW w:type="dxa" w:w="13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V28 Impact</w:t>
            </w:r>
          </w:p>
        </w:tc>
        <w:tc>
          <w:tcPr>
            <w:tcW w:type="dxa" w:w="200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Primary Automation Trigger</w:t>
            </w:r>
          </w:p>
        </w:tc>
        <w:tc>
          <w:tcPr>
            <w:tcW w:type="dxa" w:w="1360"/>
            <w:tcBorders>
              <w:top w:val="single" w:color="0D1B4B" w:sz="4"/>
              <w:left w:val="none" w:color="FFFFFF" w:sz="0"/>
              <w:bottom w:val="single" w:color="0D1B4B" w:sz="4"/>
              <w:right w:val="none" w:color="FFFFFF" w:sz="0"/>
            </w:tcBorders>
            <w:shd w:fill="0D1B4B" w:val="clear"/>
            <w:tcMar>
              <w:top w:type="dxa" w:w="80"/>
              <w:left w:type="dxa" w:w="100"/>
              <w:bottom w:type="dxa" w:w="80"/>
              <w:right w:type="dxa" w:w="60"/>
            </w:tcMar>
          </w:tcPr>
          <w:p>
            <w:r>
              <w:rPr>
                <w:rFonts w:ascii="Arial" w:cs="Arial" w:eastAsia="Arial" w:hAnsi="Arial"/>
                <w:b/>
                <w:bCs/>
                <w:color w:val="FFFFFF"/>
                <w:sz w:val="17"/>
                <w:szCs w:val="17"/>
              </w:rPr>
              <w:t xml:space="preserve">Source</w:t>
            </w:r>
          </w:p>
        </w:tc>
      </w:tr>
      <w:tr>
        <w:tc>
          <w:tcPr>
            <w:tcW w:type="dxa" w:w="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1</w:t>
            </w:r>
          </w:p>
        </w:tc>
        <w:tc>
          <w:tcPr>
            <w:tcW w:type="dxa" w:w="16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Acute Stroke</w:t>
            </w:r>
          </w:p>
        </w:tc>
        <w:tc>
          <w:tcPr>
            <w:tcW w:type="dxa" w:w="1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I63.00–I63.9</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bCs/>
                <w:color w:val="991B1B"/>
                <w:sz w:val="17"/>
                <w:szCs w:val="17"/>
              </w:rPr>
              <w:t xml:space="preserve">&gt;90%</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HCC 99</w:t>
            </w:r>
          </w:p>
        </w:tc>
        <w:tc>
          <w:tcPr>
            <w:tcW w:type="dxa" w:w="20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No inpatient claim ±30 days</w:t>
            </w:r>
          </w:p>
        </w:tc>
        <w:tc>
          <w:tcPr>
            <w:tcW w:type="dxa" w:w="136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[1,2,3]</w:t>
            </w:r>
          </w:p>
        </w:tc>
      </w:tr>
      <w:tr>
        <w:tc>
          <w:tcPr>
            <w:tcW w:type="dxa" w:w="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2</w:t>
            </w:r>
          </w:p>
        </w:tc>
        <w:tc>
          <w:tcPr>
            <w:tcW w:type="dxa" w:w="16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Acute MI</w:t>
            </w:r>
          </w:p>
        </w:tc>
        <w:tc>
          <w:tcPr>
            <w:tcW w:type="dxa" w:w="1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I21.01–I21.4</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bCs/>
                <w:color w:val="991B1B"/>
                <w:sz w:val="17"/>
                <w:szCs w:val="17"/>
              </w:rPr>
              <w:t xml:space="preserve">&gt;90%</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HCC 86</w:t>
            </w:r>
          </w:p>
        </w:tc>
        <w:tc>
          <w:tcPr>
            <w:tcW w:type="dxa" w:w="20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No inpatient claim ±60 days</w:t>
            </w:r>
          </w:p>
        </w:tc>
        <w:tc>
          <w:tcPr>
            <w:tcW w:type="dxa" w:w="136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[1,2]</w:t>
            </w:r>
          </w:p>
        </w:tc>
      </w:tr>
      <w:tr>
        <w:tc>
          <w:tcPr>
            <w:tcW w:type="dxa" w:w="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3</w:t>
            </w:r>
          </w:p>
        </w:tc>
        <w:tc>
          <w:tcPr>
            <w:tcW w:type="dxa" w:w="16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Pulmonary Embolism</w:t>
            </w:r>
          </w:p>
        </w:tc>
        <w:tc>
          <w:tcPr>
            <w:tcW w:type="dxa" w:w="1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I26.01–I26.90, I82.4x</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92400E"/>
                <w:sz w:val="17"/>
                <w:szCs w:val="17"/>
              </w:rPr>
              <w:t xml:space="preserve">HIGH</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HCC 267</w:t>
            </w:r>
          </w:p>
        </w:tc>
        <w:tc>
          <w:tcPr>
            <w:tcW w:type="dxa" w:w="20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No anticoagulant in pharmacy claims</w:t>
            </w:r>
          </w:p>
        </w:tc>
        <w:tc>
          <w:tcPr>
            <w:tcW w:type="dxa" w:w="136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[1,2]</w:t>
            </w:r>
          </w:p>
        </w:tc>
      </w:tr>
      <w:tr>
        <w:tc>
          <w:tcPr>
            <w:tcW w:type="dxa" w:w="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4</w:t>
            </w:r>
          </w:p>
        </w:tc>
        <w:tc>
          <w:tcPr>
            <w:tcW w:type="dxa" w:w="16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Active Cancers</w:t>
            </w:r>
          </w:p>
        </w:tc>
        <w:tc>
          <w:tcPr>
            <w:tcW w:type="dxa" w:w="1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C34.x, C50.x, C18.x, C61, C56.x</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bCs/>
                <w:color w:val="991B1B"/>
                <w:sz w:val="17"/>
                <w:szCs w:val="17"/>
              </w:rPr>
              <w:t xml:space="preserve">&gt;90%</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HCC 9,10</w:t>
            </w:r>
          </w:p>
        </w:tc>
        <w:tc>
          <w:tcPr>
            <w:tcW w:type="dxa" w:w="20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No chemo/radiation/surgery ±180 days</w:t>
            </w:r>
          </w:p>
        </w:tc>
        <w:tc>
          <w:tcPr>
            <w:tcW w:type="dxa" w:w="136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[1,2,4]</w:t>
            </w:r>
          </w:p>
        </w:tc>
      </w:tr>
      <w:tr>
        <w:tc>
          <w:tcPr>
            <w:tcW w:type="dxa" w:w="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5</w:t>
            </w:r>
          </w:p>
        </w:tc>
        <w:tc>
          <w:tcPr>
            <w:tcW w:type="dxa" w:w="16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Major Depression</w:t>
            </w:r>
          </w:p>
        </w:tc>
        <w:tc>
          <w:tcPr>
            <w:tcW w:type="dxa" w:w="1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F32.0–F33.3</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92400E"/>
                <w:sz w:val="17"/>
                <w:szCs w:val="17"/>
              </w:rPr>
              <w:t xml:space="preserve">HIGH</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HCC 155</w:t>
            </w:r>
          </w:p>
        </w:tc>
        <w:tc>
          <w:tcPr>
            <w:tcW w:type="dxa" w:w="20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No antidepressant Rx; no face-to-face claim</w:t>
            </w:r>
          </w:p>
        </w:tc>
        <w:tc>
          <w:tcPr>
            <w:tcW w:type="dxa" w:w="136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[1,5,6]</w:t>
            </w:r>
          </w:p>
        </w:tc>
      </w:tr>
      <w:tr>
        <w:tc>
          <w:tcPr>
            <w:tcW w:type="dxa" w:w="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6</w:t>
            </w:r>
          </w:p>
        </w:tc>
        <w:tc>
          <w:tcPr>
            <w:tcW w:type="dxa" w:w="16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Diabetes Complications</w:t>
            </w:r>
          </w:p>
        </w:tc>
        <w:tc>
          <w:tcPr>
            <w:tcW w:type="dxa" w:w="1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E11.22–E11.65</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92400E"/>
                <w:sz w:val="17"/>
                <w:szCs w:val="17"/>
              </w:rPr>
              <w:t xml:space="preserve">HIGH</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HCC 37</w:t>
            </w:r>
          </w:p>
        </w:tc>
        <w:tc>
          <w:tcPr>
            <w:tcW w:type="dxa" w:w="20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No explicit complication linkage in physician note</w:t>
            </w:r>
          </w:p>
        </w:tc>
        <w:tc>
          <w:tcPr>
            <w:tcW w:type="dxa" w:w="136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[7,8,9,10]</w:t>
            </w:r>
          </w:p>
        </w:tc>
      </w:tr>
      <w:tr>
        <w:tc>
          <w:tcPr>
            <w:tcW w:type="dxa" w:w="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7</w:t>
            </w:r>
          </w:p>
        </w:tc>
        <w:tc>
          <w:tcPr>
            <w:tcW w:type="dxa" w:w="16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Morbid Obesity</w:t>
            </w:r>
          </w:p>
        </w:tc>
        <w:tc>
          <w:tcPr>
            <w:tcW w:type="dxa" w:w="1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E66.01, Z68.41–Z68.44</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92400E"/>
                <w:sz w:val="17"/>
                <w:szCs w:val="17"/>
              </w:rPr>
              <w:t xml:space="preserve">HIGH</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HCC 22</w:t>
            </w:r>
          </w:p>
        </w:tc>
        <w:tc>
          <w:tcPr>
            <w:tcW w:type="dxa" w:w="20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No current-year BMI from face-to-face encounter</w:t>
            </w:r>
          </w:p>
        </w:tc>
        <w:tc>
          <w:tcPr>
            <w:tcW w:type="dxa" w:w="136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[7,11]</w:t>
            </w:r>
          </w:p>
        </w:tc>
      </w:tr>
      <w:tr>
        <w:tc>
          <w:tcPr>
            <w:tcW w:type="dxa" w:w="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8</w:t>
            </w:r>
          </w:p>
        </w:tc>
        <w:tc>
          <w:tcPr>
            <w:tcW w:type="dxa" w:w="16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Vascular / Claudication</w:t>
            </w:r>
          </w:p>
        </w:tc>
        <w:tc>
          <w:tcPr>
            <w:tcW w:type="dxa" w:w="1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I70.211–I70.261, I73.9</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92400E"/>
                <w:sz w:val="17"/>
                <w:szCs w:val="17"/>
              </w:rPr>
              <w:t xml:space="preserve">HIGH</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HCC 108</w:t>
            </w:r>
          </w:p>
        </w:tc>
        <w:tc>
          <w:tcPr>
            <w:tcW w:type="dxa" w:w="20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No ABI test or vascular imaging claim</w:t>
            </w:r>
          </w:p>
        </w:tc>
        <w:tc>
          <w:tcPr>
            <w:tcW w:type="dxa" w:w="136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[5,7]</w:t>
            </w:r>
          </w:p>
        </w:tc>
      </w:tr>
      <w:tr>
        <w:tc>
          <w:tcPr>
            <w:tcW w:type="dxa" w:w="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9</w:t>
            </w:r>
          </w:p>
        </w:tc>
        <w:tc>
          <w:tcPr>
            <w:tcW w:type="dxa" w:w="16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CKD Staging</w:t>
            </w:r>
          </w:p>
        </w:tc>
        <w:tc>
          <w:tcPr>
            <w:tcW w:type="dxa" w:w="14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N18.31–N18.6</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MEDIUM-HIGH</w:t>
            </w:r>
          </w:p>
        </w:tc>
        <w:tc>
          <w:tcPr>
            <w:tcW w:type="dxa" w:w="13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HCC 329–330</w:t>
            </w:r>
          </w:p>
        </w:tc>
        <w:tc>
          <w:tcPr>
            <w:tcW w:type="dxa" w:w="200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No current-year eGFR lab matching coded stage</w:t>
            </w:r>
          </w:p>
        </w:tc>
        <w:tc>
          <w:tcPr>
            <w:tcW w:type="dxa" w:w="1360"/>
            <w:tcBorders>
              <w:top w:val="single" w:color="CBD5E1" w:sz="4"/>
              <w:left w:val="none" w:color="FFFFFF" w:sz="0"/>
              <w:bottom w:val="single" w:color="CBD5E1" w:sz="4"/>
              <w:right w:val="none" w:color="FFFFFF" w:sz="0"/>
            </w:tcBorders>
            <w:shd w:fill="FFFFFF" w:val="clear"/>
            <w:tcMar>
              <w:top w:type="dxa" w:w="70"/>
              <w:left w:type="dxa" w:w="100"/>
              <w:bottom w:type="dxa" w:w="70"/>
              <w:right w:type="dxa" w:w="60"/>
            </w:tcMar>
          </w:tcPr>
          <w:p>
            <w:r>
              <w:rPr>
                <w:rFonts w:ascii="Arial" w:cs="Arial" w:eastAsia="Arial" w:hAnsi="Arial"/>
                <w:b w:val="false"/>
                <w:bCs w:val="false"/>
                <w:color w:val="1F2937"/>
                <w:sz w:val="17"/>
                <w:szCs w:val="17"/>
              </w:rPr>
              <w:t xml:space="preserve">[11,12]</w:t>
            </w:r>
          </w:p>
        </w:tc>
      </w:tr>
      <w:tr>
        <w:tc>
          <w:tcPr>
            <w:tcW w:type="dxa" w:w="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10</w:t>
            </w:r>
          </w:p>
        </w:tc>
        <w:tc>
          <w:tcPr>
            <w:tcW w:type="dxa" w:w="16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COPD</w:t>
            </w:r>
          </w:p>
        </w:tc>
        <w:tc>
          <w:tcPr>
            <w:tcW w:type="dxa" w:w="14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J44.0–J44.9</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MEDIUM-HIGH</w:t>
            </w:r>
          </w:p>
        </w:tc>
        <w:tc>
          <w:tcPr>
            <w:tcW w:type="dxa" w:w="13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HCC 111</w:t>
            </w:r>
          </w:p>
        </w:tc>
        <w:tc>
          <w:tcPr>
            <w:tcW w:type="dxa" w:w="200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J44.9 = no V28 HCC; J44.1 without steroid Rx</w:t>
            </w:r>
          </w:p>
        </w:tc>
        <w:tc>
          <w:tcPr>
            <w:tcW w:type="dxa" w:w="1360"/>
            <w:tcBorders>
              <w:top w:val="single" w:color="CBD5E1" w:sz="4"/>
              <w:left w:val="none" w:color="FFFFFF" w:sz="0"/>
              <w:bottom w:val="single" w:color="CBD5E1" w:sz="4"/>
              <w:right w:val="none" w:color="FFFFFF" w:sz="0"/>
            </w:tcBorders>
            <w:shd w:fill="F1F5F9" w:val="clear"/>
            <w:tcMar>
              <w:top w:type="dxa" w:w="70"/>
              <w:left w:type="dxa" w:w="100"/>
              <w:bottom w:type="dxa" w:w="70"/>
              <w:right w:type="dxa" w:w="60"/>
            </w:tcMar>
          </w:tcPr>
          <w:p>
            <w:r>
              <w:rPr>
                <w:rFonts w:ascii="Arial" w:cs="Arial" w:eastAsia="Arial" w:hAnsi="Arial"/>
                <w:b w:val="false"/>
                <w:bCs w:val="false"/>
                <w:color w:val="1F2937"/>
                <w:sz w:val="17"/>
                <w:szCs w:val="17"/>
              </w:rPr>
              <w:t xml:space="preserve">[11,13]</w:t>
            </w:r>
          </w:p>
        </w:tc>
      </w:tr>
    </w:tbl>
    <w:p>
      <w:pPr>
        <w:spacing w:after="200" w:before="0"/>
      </w:pPr>
      <w:r>
        <w:t xml:space="preserve"/>
      </w:r>
    </w:p>
    <w:p>
      <w:pPr>
        <w:pStyle w:val="Heading1"/>
        <w:pBdr>
          <w:bottom w:val="single" w:color="007A8C" w:sz="10"/>
        </w:pBdr>
        <w:spacing w:after="80" w:before="400"/>
      </w:pPr>
      <w:r>
        <w:rPr>
          <w:rFonts w:ascii="Arial" w:cs="Arial" w:eastAsia="Arial" w:hAnsi="Arial"/>
          <w:b/>
          <w:bCs/>
          <w:color w:val="0D1B4B"/>
          <w:sz w:val="36"/>
          <w:szCs w:val="36"/>
        </w:rPr>
        <w:t xml:space="preserve">References &amp; Source Citations</w:t>
      </w:r>
    </w:p>
    <w:p>
      <w:pPr>
        <w:spacing w:after="80" w:before="0"/>
      </w:pPr>
      <w:r>
        <w:t xml:space="preserve"/>
      </w:r>
    </w:p>
    <w:p>
      <w:pPr>
        <w:spacing w:after="20" w:before="100"/>
      </w:pPr>
      <w:r>
        <w:rPr>
          <w:rFonts w:ascii="Arial" w:cs="Arial" w:eastAsia="Arial" w:hAnsi="Arial"/>
          <w:b/>
          <w:bCs/>
          <w:color w:val="007A8C"/>
          <w:sz w:val="20"/>
          <w:szCs w:val="20"/>
        </w:rPr>
        <w:t xml:space="preserve">[1]  </w:t>
      </w:r>
      <w:r>
        <w:rPr>
          <w:rFonts w:ascii="Arial" w:cs="Arial" w:eastAsia="Arial" w:hAnsi="Arial"/>
          <w:b/>
          <w:bCs/>
          <w:color w:val="0D1B4B"/>
          <w:sz w:val="20"/>
          <w:szCs w:val="20"/>
        </w:rPr>
        <w:t xml:space="preserve">OIG Toolkit — High-Risk Diagnosis Codes for Medicare Advantage</w:t>
      </w:r>
      <w:r>
        <w:rPr>
          <w:rFonts w:ascii="Arial" w:cs="Arial" w:eastAsia="Arial" w:hAnsi="Arial"/>
          <w:color w:val="4B5563"/>
          <w:sz w:val="18"/>
          <w:szCs w:val="18"/>
        </w:rPr>
        <w:t xml:space="preserve">  —  OIG / RISE Health, December 2023</w:t>
      </w:r>
    </w:p>
    <w:p>
      <w:pPr>
        <w:spacing w:after="20" w:before="0"/>
        <w:ind w:left="560"/>
      </w:pPr>
      <w:r>
        <w:rPr>
          <w:rFonts w:ascii="Arial" w:cs="Arial" w:eastAsia="Arial" w:hAnsi="Arial"/>
          <w:color w:val="1F2937"/>
          <w:sz w:val="19"/>
          <w:szCs w:val="19"/>
        </w:rPr>
        <w:t xml:space="preserve">OIG identified 8 high-risk diagnosis code groups with error rates of 70–90%+. Acute stroke and acute MI: &gt;90% error rate. Cancers without treatment evidence: &gt;90%. Toolkit includes SQL query code replicating OIG audit logic — available to MAOs for internal use.</w:t>
      </w:r>
    </w:p>
    <w:p>
      <w:pPr>
        <w:spacing w:after="100" w:before="0"/>
        <w:ind w:left="560"/>
      </w:pPr>
      <w:r>
        <w:rPr>
          <w:rFonts w:ascii="Arial" w:cs="Arial" w:eastAsia="Arial" w:hAnsi="Arial"/>
          <w:color w:val="007A8C"/>
          <w:sz w:val="17"/>
          <w:szCs w:val="17"/>
        </w:rPr>
        <w:t xml:space="preserve">https://oig.hhs.gov/oas/reports/region7/72301213.pdf</w:t>
      </w:r>
    </w:p>
    <w:p>
      <w:pPr>
        <w:spacing w:after="20" w:before="100"/>
      </w:pPr>
      <w:r>
        <w:rPr>
          <w:rFonts w:ascii="Arial" w:cs="Arial" w:eastAsia="Arial" w:hAnsi="Arial"/>
          <w:b/>
          <w:bCs/>
          <w:color w:val="007A8C"/>
          <w:sz w:val="20"/>
          <w:szCs w:val="20"/>
        </w:rPr>
        <w:t xml:space="preserve">[2]  </w:t>
      </w:r>
      <w:r>
        <w:rPr>
          <w:rFonts w:ascii="Arial" w:cs="Arial" w:eastAsia="Arial" w:hAnsi="Arial"/>
          <w:b/>
          <w:bCs/>
          <w:color w:val="0D1B4B"/>
          <w:sz w:val="20"/>
          <w:szCs w:val="20"/>
        </w:rPr>
        <w:t xml:space="preserve">OIG Audit Roundup — 3 MA Plans Overpaid $8.4M; Diagnosis Code Compliance Patterns</w:t>
      </w:r>
      <w:r>
        <w:rPr>
          <w:rFonts w:ascii="Arial" w:cs="Arial" w:eastAsia="Arial" w:hAnsi="Arial"/>
          <w:color w:val="4B5563"/>
          <w:sz w:val="18"/>
          <w:szCs w:val="18"/>
        </w:rPr>
        <w:t xml:space="preserve">  —  RISE Health, January 2025</w:t>
      </w:r>
    </w:p>
    <w:p>
      <w:pPr>
        <w:spacing w:after="20" w:before="0"/>
        <w:ind w:left="560"/>
      </w:pPr>
      <w:r>
        <w:rPr>
          <w:rFonts w:ascii="Arial" w:cs="Arial" w:eastAsia="Arial" w:hAnsi="Arial"/>
          <w:color w:val="1F2937"/>
          <w:sz w:val="19"/>
          <w:szCs w:val="19"/>
        </w:rPr>
        <w:t xml:space="preserve">Covers UCare ($4.7M overpayment), Detroit-based plan, and Triple-S audits. Audited conditions: acute stroke, AMI, embolism, lung/breast/colon/prostate/ovarian cancer, sepsis, pressure ulcer, major depressive disorder, vascular claudication. OIG SQL logic documented for each condition group.</w:t>
      </w:r>
    </w:p>
    <w:p>
      <w:pPr>
        <w:spacing w:after="100" w:before="0"/>
        <w:ind w:left="560"/>
      </w:pPr>
      <w:r>
        <w:rPr>
          <w:rFonts w:ascii="Arial" w:cs="Arial" w:eastAsia="Arial" w:hAnsi="Arial"/>
          <w:color w:val="007A8C"/>
          <w:sz w:val="17"/>
          <w:szCs w:val="17"/>
        </w:rPr>
        <w:t xml:space="preserve">https://www.risehealth.org/insights-articles/article/oig-audit-roundup-3-ma-plans-were-overpaid-a-total-of-84m-for-high-risk-diagnosis-codes/</w:t>
      </w:r>
    </w:p>
    <w:p>
      <w:pPr>
        <w:spacing w:after="20" w:before="100"/>
      </w:pPr>
      <w:r>
        <w:rPr>
          <w:rFonts w:ascii="Arial" w:cs="Arial" w:eastAsia="Arial" w:hAnsi="Arial"/>
          <w:b/>
          <w:bCs/>
          <w:color w:val="007A8C"/>
          <w:sz w:val="20"/>
          <w:szCs w:val="20"/>
        </w:rPr>
        <w:t xml:space="preserve">[3]  </w:t>
      </w:r>
      <w:r>
        <w:rPr>
          <w:rFonts w:ascii="Arial" w:cs="Arial" w:eastAsia="Arial" w:hAnsi="Arial"/>
          <w:b/>
          <w:bCs/>
          <w:color w:val="0D1B4B"/>
          <w:sz w:val="20"/>
          <w:szCs w:val="20"/>
        </w:rPr>
        <w:t xml:space="preserve">CVA/Stroke CDI Guide — ICD-10-CM Coding Tips, FY 2026</w:t>
      </w:r>
      <w:r>
        <w:rPr>
          <w:rFonts w:ascii="Arial" w:cs="Arial" w:eastAsia="Arial" w:hAnsi="Arial"/>
          <w:color w:val="4B5563"/>
          <w:sz w:val="18"/>
          <w:szCs w:val="18"/>
        </w:rPr>
        <w:t xml:space="preserve">  —  AAPC / CCO Members, April 2026</w:t>
      </w:r>
    </w:p>
    <w:p>
      <w:pPr>
        <w:spacing w:after="20" w:before="0"/>
        <w:ind w:left="560"/>
      </w:pPr>
      <w:r>
        <w:rPr>
          <w:rFonts w:ascii="Arial" w:cs="Arial" w:eastAsia="Arial" w:hAnsi="Arial"/>
          <w:color w:val="1F2937"/>
          <w:sz w:val="19"/>
          <w:szCs w:val="19"/>
        </w:rPr>
        <w:t xml:space="preserve">Comprehensive FY2026 clinical documentation guide for stroke coding. Confirms: I63.x requires imaging confirmation; acute vs. sequelae is the highest-impact documentation distinction; outpatient-only I63.x codes are the primary OIG audit trigger; HCC 99 mapping under V28.</w:t>
      </w:r>
    </w:p>
    <w:p>
      <w:pPr>
        <w:spacing w:after="100" w:before="0"/>
        <w:ind w:left="560"/>
      </w:pPr>
      <w:r>
        <w:rPr>
          <w:rFonts w:ascii="Arial" w:cs="Arial" w:eastAsia="Arial" w:hAnsi="Arial"/>
          <w:color w:val="007A8C"/>
          <w:sz w:val="17"/>
          <w:szCs w:val="17"/>
        </w:rPr>
        <w:t xml:space="preserve">https://www.cco.us/clinical-documentation-guides/cerebrovascular-accident-cva-stroke-and-cerebral-hemorrhage-vs-tia/</w:t>
      </w:r>
    </w:p>
    <w:p>
      <w:pPr>
        <w:spacing w:after="20" w:before="100"/>
      </w:pPr>
      <w:r>
        <w:rPr>
          <w:rFonts w:ascii="Arial" w:cs="Arial" w:eastAsia="Arial" w:hAnsi="Arial"/>
          <w:b/>
          <w:bCs/>
          <w:color w:val="007A8C"/>
          <w:sz w:val="20"/>
          <w:szCs w:val="20"/>
        </w:rPr>
        <w:t xml:space="preserve">[4]  </w:t>
      </w:r>
      <w:r>
        <w:rPr>
          <w:rFonts w:ascii="Arial" w:cs="Arial" w:eastAsia="Arial" w:hAnsi="Arial"/>
          <w:b/>
          <w:bCs/>
          <w:color w:val="0D1B4B"/>
          <w:sz w:val="20"/>
          <w:szCs w:val="20"/>
        </w:rPr>
        <w:t xml:space="preserve">Compliance Issues in ICD-10 Coding for Risk-Based Contracts and HCCs</w:t>
      </w:r>
      <w:r>
        <w:rPr>
          <w:rFonts w:ascii="Arial" w:cs="Arial" w:eastAsia="Arial" w:hAnsi="Arial"/>
          <w:color w:val="4B5563"/>
          <w:sz w:val="18"/>
          <w:szCs w:val="18"/>
        </w:rPr>
        <w:t xml:space="preserve">  —  Coding Intel, Updated February 2026</w:t>
      </w:r>
    </w:p>
    <w:p>
      <w:pPr>
        <w:spacing w:after="20" w:before="0"/>
        <w:ind w:left="560"/>
      </w:pPr>
      <w:r>
        <w:rPr>
          <w:rFonts w:ascii="Arial" w:cs="Arial" w:eastAsia="Arial" w:hAnsi="Arial"/>
          <w:color w:val="1F2937"/>
          <w:sz w:val="19"/>
          <w:szCs w:val="19"/>
        </w:rPr>
        <w:t xml:space="preserve">Documents specific OIG finding: for 21 enrollee-years, records showed prior colon cancer but did not justify active C18.x coding. Also: active cancer requires surgery, chemo, radiation, or adjuvant hormonal therapy — no time cutoff exists. History of malignant neoplasm (Z85.x) is correct when treatment is complete.</w:t>
      </w:r>
    </w:p>
    <w:p>
      <w:pPr>
        <w:spacing w:after="100" w:before="0"/>
        <w:ind w:left="560"/>
      </w:pPr>
      <w:r>
        <w:rPr>
          <w:rFonts w:ascii="Arial" w:cs="Arial" w:eastAsia="Arial" w:hAnsi="Arial"/>
          <w:color w:val="007A8C"/>
          <w:sz w:val="17"/>
          <w:szCs w:val="17"/>
        </w:rPr>
        <w:t xml:space="preserve">https://codingintel.com/compliance-in-hcc-issues-icd-10-coding-risk-based-contracts/</w:t>
      </w:r>
    </w:p>
    <w:p>
      <w:pPr>
        <w:spacing w:after="20" w:before="100"/>
      </w:pPr>
      <w:r>
        <w:rPr>
          <w:rFonts w:ascii="Arial" w:cs="Arial" w:eastAsia="Arial" w:hAnsi="Arial"/>
          <w:b/>
          <w:bCs/>
          <w:color w:val="007A8C"/>
          <w:sz w:val="20"/>
          <w:szCs w:val="20"/>
        </w:rPr>
        <w:t xml:space="preserve">[5]  </w:t>
      </w:r>
      <w:r>
        <w:rPr>
          <w:rFonts w:ascii="Arial" w:cs="Arial" w:eastAsia="Arial" w:hAnsi="Arial"/>
          <w:b/>
          <w:bCs/>
          <w:color w:val="0D1B4B"/>
          <w:sz w:val="20"/>
          <w:szCs w:val="20"/>
        </w:rPr>
        <w:t xml:space="preserve">OIG Risk Adjustment Compliance Audit — Three Clear Takeaways</w:t>
      </w:r>
      <w:r>
        <w:rPr>
          <w:rFonts w:ascii="Arial" w:cs="Arial" w:eastAsia="Arial" w:hAnsi="Arial"/>
          <w:color w:val="4B5563"/>
          <w:sz w:val="18"/>
          <w:szCs w:val="18"/>
        </w:rPr>
        <w:t xml:space="preserve">  —  Cotiviti / OIG Audit Summary, 2023</w:t>
      </w:r>
    </w:p>
    <w:p>
      <w:pPr>
        <w:spacing w:after="20" w:before="0"/>
        <w:ind w:left="560"/>
      </w:pPr>
      <w:r>
        <w:rPr>
          <w:rFonts w:ascii="Arial" w:cs="Arial" w:eastAsia="Arial" w:hAnsi="Arial"/>
          <w:color w:val="1F2937"/>
          <w:sz w:val="19"/>
          <w:szCs w:val="19"/>
        </w:rPr>
        <w:t xml:space="preserve">Documents OIG finding that documentation was generally not supportive of vascular HCC mapping. Also identifies transposed diagnosis code numbers as a systematic data entry error pattern caught by OIG automated software. Major depressive disorder and vascular claudication identified as distinct high-risk categories.</w:t>
      </w:r>
    </w:p>
    <w:p>
      <w:pPr>
        <w:spacing w:after="100" w:before="0"/>
        <w:ind w:left="560"/>
      </w:pPr>
      <w:r>
        <w:rPr>
          <w:rFonts w:ascii="Arial" w:cs="Arial" w:eastAsia="Arial" w:hAnsi="Arial"/>
          <w:color w:val="007A8C"/>
          <w:sz w:val="17"/>
          <w:szCs w:val="17"/>
        </w:rPr>
        <w:t xml:space="preserve">https://resources.cotiviti.com/risk-adjustment/oig-risk-adjustment-compliance-audit-showcases-3-clear-takeaways</w:t>
      </w:r>
    </w:p>
    <w:p>
      <w:pPr>
        <w:spacing w:after="20" w:before="100"/>
      </w:pPr>
      <w:r>
        <w:rPr>
          <w:rFonts w:ascii="Arial" w:cs="Arial" w:eastAsia="Arial" w:hAnsi="Arial"/>
          <w:b/>
          <w:bCs/>
          <w:color w:val="007A8C"/>
          <w:sz w:val="20"/>
          <w:szCs w:val="20"/>
        </w:rPr>
        <w:t xml:space="preserve">[6]  </w:t>
      </w:r>
      <w:r>
        <w:rPr>
          <w:rFonts w:ascii="Arial" w:cs="Arial" w:eastAsia="Arial" w:hAnsi="Arial"/>
          <w:b/>
          <w:bCs/>
          <w:color w:val="0D1B4B"/>
          <w:sz w:val="20"/>
          <w:szCs w:val="20"/>
        </w:rPr>
        <w:t xml:space="preserve">Key FY 2026 ICD-10-CM Updates — Behavioral Health Expansion</w:t>
      </w:r>
      <w:r>
        <w:rPr>
          <w:rFonts w:ascii="Arial" w:cs="Arial" w:eastAsia="Arial" w:hAnsi="Arial"/>
          <w:color w:val="4B5563"/>
          <w:sz w:val="18"/>
          <w:szCs w:val="18"/>
        </w:rPr>
        <w:t xml:space="preserve">  —  UASI Solutions, December 2025</w:t>
      </w:r>
    </w:p>
    <w:p>
      <w:pPr>
        <w:spacing w:after="20" w:before="0"/>
        <w:ind w:left="560"/>
      </w:pPr>
      <w:r>
        <w:rPr>
          <w:rFonts w:ascii="Arial" w:cs="Arial" w:eastAsia="Arial" w:hAnsi="Arial"/>
          <w:color w:val="1F2937"/>
          <w:sz w:val="19"/>
          <w:szCs w:val="19"/>
        </w:rPr>
        <w:t xml:space="preserve">FY 2026 update expanded the F32–F33 (Major depressive disorder) series with added symptom severity and episode descriptors. Captures psychiatric service coding specificity requirements for accurate HCC/RAF capture under V28. New codes create documentation gaps providers frequently misapply.</w:t>
      </w:r>
    </w:p>
    <w:p>
      <w:pPr>
        <w:spacing w:after="100" w:before="0"/>
        <w:ind w:left="560"/>
      </w:pPr>
      <w:r>
        <w:rPr>
          <w:rFonts w:ascii="Arial" w:cs="Arial" w:eastAsia="Arial" w:hAnsi="Arial"/>
          <w:color w:val="007A8C"/>
          <w:sz w:val="17"/>
          <w:szCs w:val="17"/>
        </w:rPr>
        <w:t xml:space="preserve">https://www.uasisolutions.com/key-fy-2026-icd-10-cm-updates</w:t>
      </w:r>
    </w:p>
    <w:p>
      <w:pPr>
        <w:spacing w:after="20" w:before="100"/>
      </w:pPr>
      <w:r>
        <w:rPr>
          <w:rFonts w:ascii="Arial" w:cs="Arial" w:eastAsia="Arial" w:hAnsi="Arial"/>
          <w:b/>
          <w:bCs/>
          <w:color w:val="007A8C"/>
          <w:sz w:val="20"/>
          <w:szCs w:val="20"/>
        </w:rPr>
        <w:t xml:space="preserve">[7]  </w:t>
      </w:r>
      <w:r>
        <w:rPr>
          <w:rFonts w:ascii="Arial" w:cs="Arial" w:eastAsia="Arial" w:hAnsi="Arial"/>
          <w:b/>
          <w:bCs/>
          <w:color w:val="0D1B4B"/>
          <w:sz w:val="20"/>
          <w:szCs w:val="20"/>
        </w:rPr>
        <w:t xml:space="preserve">Preparing for a Risk Adjustment Audit: Tips from the OIG Work Plan</w:t>
      </w:r>
      <w:r>
        <w:rPr>
          <w:rFonts w:ascii="Arial" w:cs="Arial" w:eastAsia="Arial" w:hAnsi="Arial"/>
          <w:color w:val="4B5563"/>
          <w:sz w:val="18"/>
          <w:szCs w:val="18"/>
        </w:rPr>
        <w:t xml:space="preserve">  —  Wolters Kluwer, February 2024</w:t>
      </w:r>
    </w:p>
    <w:p>
      <w:pPr>
        <w:spacing w:after="20" w:before="0"/>
        <w:ind w:left="560"/>
      </w:pPr>
      <w:r>
        <w:rPr>
          <w:rFonts w:ascii="Arial" w:cs="Arial" w:eastAsia="Arial" w:hAnsi="Arial"/>
          <w:color w:val="1F2937"/>
          <w:sz w:val="19"/>
          <w:szCs w:val="19"/>
        </w:rPr>
        <w:t xml:space="preserve">Documents OIG consistent audit trends: acute stroke/AMI pulled if no inpatient claim; MDD/embolism/vascular claudication/cancers pulled if missing associated medication or treatment claims. From non-targeted audits: diabetes with complications, angina pectoris, and morbid obesity were either not supported or not coded to correct severity. Primary reference for Categories 6, 7, 8.</w:t>
      </w:r>
    </w:p>
    <w:p>
      <w:pPr>
        <w:spacing w:after="100" w:before="0"/>
        <w:ind w:left="560"/>
      </w:pPr>
      <w:r>
        <w:rPr>
          <w:rFonts w:ascii="Arial" w:cs="Arial" w:eastAsia="Arial" w:hAnsi="Arial"/>
          <w:color w:val="007A8C"/>
          <w:sz w:val="17"/>
          <w:szCs w:val="17"/>
        </w:rPr>
        <w:t xml:space="preserve">https://www.wolterskluwer.com/en/expert-insights/preparing-for-a-risk-adjustment-audit-tips-from-the-oig-work-plan</w:t>
      </w:r>
    </w:p>
    <w:p>
      <w:pPr>
        <w:spacing w:after="20" w:before="100"/>
      </w:pPr>
      <w:r>
        <w:rPr>
          <w:rFonts w:ascii="Arial" w:cs="Arial" w:eastAsia="Arial" w:hAnsi="Arial"/>
          <w:b/>
          <w:bCs/>
          <w:color w:val="007A8C"/>
          <w:sz w:val="20"/>
          <w:szCs w:val="20"/>
        </w:rPr>
        <w:t xml:space="preserve">[8]  </w:t>
      </w:r>
      <w:r>
        <w:rPr>
          <w:rFonts w:ascii="Arial" w:cs="Arial" w:eastAsia="Arial" w:hAnsi="Arial"/>
          <w:b/>
          <w:bCs/>
          <w:color w:val="0D1B4B"/>
          <w:sz w:val="20"/>
          <w:szCs w:val="20"/>
        </w:rPr>
        <w:t xml:space="preserve">ICD-10 Codes for Type 2 Diabetes — Full Coding Guide 2026</w:t>
      </w:r>
      <w:r>
        <w:rPr>
          <w:rFonts w:ascii="Arial" w:cs="Arial" w:eastAsia="Arial" w:hAnsi="Arial"/>
          <w:color w:val="4B5563"/>
          <w:sz w:val="18"/>
          <w:szCs w:val="18"/>
        </w:rPr>
        <w:t xml:space="preserve">  —  OmniMD / CMS HCC Guidelines, 2026</w:t>
      </w:r>
    </w:p>
    <w:p>
      <w:pPr>
        <w:spacing w:after="20" w:before="0"/>
        <w:ind w:left="560"/>
      </w:pPr>
      <w:r>
        <w:rPr>
          <w:rFonts w:ascii="Arial" w:cs="Arial" w:eastAsia="Arial" w:hAnsi="Arial"/>
          <w:color w:val="1F2937"/>
          <w:sz w:val="19"/>
          <w:szCs w:val="19"/>
        </w:rPr>
        <w:t xml:space="preserve">Documents the complication linkage requirement: physician must explicitly connect the complication to diabetes (e.g., 'diabetic nephropathy' not just both conditions existing). E11.22 requires N18.x secondary code. E11.621 requires L97.x. CMS HCC guidelines confirm that diabetes with chronic complications carries different risk weights than uncomplicated diabetes.</w:t>
      </w:r>
    </w:p>
    <w:p>
      <w:pPr>
        <w:spacing w:after="100" w:before="0"/>
        <w:ind w:left="560"/>
      </w:pPr>
      <w:r>
        <w:rPr>
          <w:rFonts w:ascii="Arial" w:cs="Arial" w:eastAsia="Arial" w:hAnsi="Arial"/>
          <w:color w:val="007A8C"/>
          <w:sz w:val="17"/>
          <w:szCs w:val="17"/>
        </w:rPr>
        <w:t xml:space="preserve">https://omnimd.com/blog/icd-10-codes-diabetes-documentation-billing-guide/</w:t>
      </w:r>
    </w:p>
    <w:p>
      <w:pPr>
        <w:spacing w:after="20" w:before="100"/>
      </w:pPr>
      <w:r>
        <w:rPr>
          <w:rFonts w:ascii="Arial" w:cs="Arial" w:eastAsia="Arial" w:hAnsi="Arial"/>
          <w:b/>
          <w:bCs/>
          <w:color w:val="007A8C"/>
          <w:sz w:val="20"/>
          <w:szCs w:val="20"/>
        </w:rPr>
        <w:t xml:space="preserve">[9]  </w:t>
      </w:r>
      <w:r>
        <w:rPr>
          <w:rFonts w:ascii="Arial" w:cs="Arial" w:eastAsia="Arial" w:hAnsi="Arial"/>
          <w:b/>
          <w:bCs/>
          <w:color w:val="0D1B4B"/>
          <w:sz w:val="20"/>
          <w:szCs w:val="20"/>
        </w:rPr>
        <w:t xml:space="preserve">CMS-HCC Model V28 — HCC Coding Changes from V24</w:t>
      </w:r>
      <w:r>
        <w:rPr>
          <w:rFonts w:ascii="Arial" w:cs="Arial" w:eastAsia="Arial" w:hAnsi="Arial"/>
          <w:color w:val="4B5563"/>
          <w:sz w:val="18"/>
          <w:szCs w:val="18"/>
        </w:rPr>
        <w:t xml:space="preserve">  —  Coding Intel, December 2025</w:t>
      </w:r>
    </w:p>
    <w:p>
      <w:pPr>
        <w:spacing w:after="20" w:before="0"/>
        <w:ind w:left="560"/>
      </w:pPr>
      <w:r>
        <w:rPr>
          <w:rFonts w:ascii="Arial" w:cs="Arial" w:eastAsia="Arial" w:hAnsi="Arial"/>
          <w:color w:val="1F2937"/>
          <w:sz w:val="19"/>
          <w:szCs w:val="19"/>
        </w:rPr>
        <w:t xml:space="preserve">V28 changed diabetes so that uncomplicated, acute complications, and chronic complications now have closer coefficients — specifically to blunt upcoding from E11.9 to E11.2x. V28 removed 2,027 diagnostic codes from HCC mapping vs. V24 (9,797 → 7,770 valid codes). Documents that V28 is 100% in effect January 1, 2026.</w:t>
      </w:r>
    </w:p>
    <w:p>
      <w:pPr>
        <w:spacing w:after="100" w:before="0"/>
        <w:ind w:left="560"/>
      </w:pPr>
      <w:r>
        <w:rPr>
          <w:rFonts w:ascii="Arial" w:cs="Arial" w:eastAsia="Arial" w:hAnsi="Arial"/>
          <w:color w:val="007A8C"/>
          <w:sz w:val="17"/>
          <w:szCs w:val="17"/>
        </w:rPr>
        <w:t xml:space="preserve">https://codingintel.com/hcc-coding-changes/</w:t>
      </w:r>
    </w:p>
    <w:p>
      <w:pPr>
        <w:spacing w:after="20" w:before="100"/>
      </w:pPr>
      <w:r>
        <w:rPr>
          <w:rFonts w:ascii="Arial" w:cs="Arial" w:eastAsia="Arial" w:hAnsi="Arial"/>
          <w:b/>
          <w:bCs/>
          <w:color w:val="007A8C"/>
          <w:sz w:val="20"/>
          <w:szCs w:val="20"/>
        </w:rPr>
        <w:t xml:space="preserve">[10]  </w:t>
      </w:r>
      <w:r>
        <w:rPr>
          <w:rFonts w:ascii="Arial" w:cs="Arial" w:eastAsia="Arial" w:hAnsi="Arial"/>
          <w:b/>
          <w:bCs/>
          <w:color w:val="0D1B4B"/>
          <w:sz w:val="20"/>
          <w:szCs w:val="20"/>
        </w:rPr>
        <w:t xml:space="preserve">2026 ICD-10-CM Updates: 487 New Codes Impact MA Plan Revenue</w:t>
      </w:r>
      <w:r>
        <w:rPr>
          <w:rFonts w:ascii="Arial" w:cs="Arial" w:eastAsia="Arial" w:hAnsi="Arial"/>
          <w:color w:val="4B5563"/>
          <w:sz w:val="18"/>
          <w:szCs w:val="18"/>
        </w:rPr>
        <w:t xml:space="preserve">  —  RaapidInc, March 2026</w:t>
      </w:r>
    </w:p>
    <w:p>
      <w:pPr>
        <w:spacing w:after="20" w:before="0"/>
        <w:ind w:left="560"/>
      </w:pPr>
      <w:r>
        <w:rPr>
          <w:rFonts w:ascii="Arial" w:cs="Arial" w:eastAsia="Arial" w:hAnsi="Arial"/>
          <w:color w:val="1F2937"/>
          <w:sz w:val="19"/>
          <w:szCs w:val="19"/>
        </w:rPr>
        <w:t xml:space="preserve">Documents new E11.A (diabetes in remission) code for FY 2026. V28 requires specificity — most unspecified codes no longer map to HCCs. MEAT documentation must clearly support diagnoses for RADV audit defense. Key reference for diabetes coding changes.</w:t>
      </w:r>
    </w:p>
    <w:p>
      <w:pPr>
        <w:spacing w:after="100" w:before="0"/>
        <w:ind w:left="560"/>
      </w:pPr>
      <w:r>
        <w:rPr>
          <w:rFonts w:ascii="Arial" w:cs="Arial" w:eastAsia="Arial" w:hAnsi="Arial"/>
          <w:color w:val="007A8C"/>
          <w:sz w:val="17"/>
          <w:szCs w:val="17"/>
        </w:rPr>
        <w:t xml:space="preserve">https://www.raapidinc.com/blogs/2026-icd-10-cm-updates-medicare-advantage/</w:t>
      </w:r>
    </w:p>
    <w:p>
      <w:pPr>
        <w:spacing w:after="20" w:before="100"/>
      </w:pPr>
      <w:r>
        <w:rPr>
          <w:rFonts w:ascii="Arial" w:cs="Arial" w:eastAsia="Arial" w:hAnsi="Arial"/>
          <w:b/>
          <w:bCs/>
          <w:color w:val="007A8C"/>
          <w:sz w:val="20"/>
          <w:szCs w:val="20"/>
        </w:rPr>
        <w:t xml:space="preserve">[11]  </w:t>
      </w:r>
      <w:r>
        <w:rPr>
          <w:rFonts w:ascii="Arial" w:cs="Arial" w:eastAsia="Arial" w:hAnsi="Arial"/>
          <w:b/>
          <w:bCs/>
          <w:color w:val="0D1B4B"/>
          <w:sz w:val="20"/>
          <w:szCs w:val="20"/>
        </w:rPr>
        <w:t xml:space="preserve">CMS-HCC Model V28 and 2027 Advance Notice — Coefficient Reductions</w:t>
      </w:r>
      <w:r>
        <w:rPr>
          <w:rFonts w:ascii="Arial" w:cs="Arial" w:eastAsia="Arial" w:hAnsi="Arial"/>
          <w:color w:val="4B5563"/>
          <w:sz w:val="18"/>
          <w:szCs w:val="18"/>
        </w:rPr>
        <w:t xml:space="preserve">  —  RaapidInc / CMS 2027 Advance Notice, March 2026</w:t>
      </w:r>
    </w:p>
    <w:p>
      <w:pPr>
        <w:spacing w:after="20" w:before="0"/>
        <w:ind w:left="560"/>
      </w:pPr>
      <w:r>
        <w:rPr>
          <w:rFonts w:ascii="Arial" w:cs="Arial" w:eastAsia="Arial" w:hAnsi="Arial"/>
          <w:color w:val="1F2937"/>
          <w:sz w:val="19"/>
          <w:szCs w:val="19"/>
        </w:rPr>
        <w:t xml:space="preserve">CMS 2027 Advance Notice proposes: CKD Stage 3A coefficient cut 50.4%; COPD cut 18.8%; morbid obesity cut 19.4%. V28 fully in effect 2026 (100% vs. prior 67%). J44.9 (unspecified COPD) and E66.9 (unspecified obesity) removed from HCC mapping in V28. Core reference for Categories 7, 9, 10.</w:t>
      </w:r>
    </w:p>
    <w:p>
      <w:pPr>
        <w:spacing w:after="100" w:before="0"/>
        <w:ind w:left="560"/>
      </w:pPr>
      <w:r>
        <w:rPr>
          <w:rFonts w:ascii="Arial" w:cs="Arial" w:eastAsia="Arial" w:hAnsi="Arial"/>
          <w:color w:val="007A8C"/>
          <w:sz w:val="17"/>
          <w:szCs w:val="17"/>
        </w:rPr>
        <w:t xml:space="preserve">https://www.raapidinc.com/blogs/cms-hcc-model-v28/</w:t>
      </w:r>
    </w:p>
    <w:p>
      <w:pPr>
        <w:spacing w:after="20" w:before="100"/>
      </w:pPr>
      <w:r>
        <w:rPr>
          <w:rFonts w:ascii="Arial" w:cs="Arial" w:eastAsia="Arial" w:hAnsi="Arial"/>
          <w:b/>
          <w:bCs/>
          <w:color w:val="007A8C"/>
          <w:sz w:val="20"/>
          <w:szCs w:val="20"/>
        </w:rPr>
        <w:t xml:space="preserve">[12]  </w:t>
      </w:r>
      <w:r>
        <w:rPr>
          <w:rFonts w:ascii="Arial" w:cs="Arial" w:eastAsia="Arial" w:hAnsi="Arial"/>
          <w:b/>
          <w:bCs/>
          <w:color w:val="0D1B4B"/>
          <w:sz w:val="20"/>
          <w:szCs w:val="20"/>
        </w:rPr>
        <w:t xml:space="preserve">International Classification of Diseases, 10th Revision, Coding for Diabetes — CKD staging</w:t>
      </w:r>
      <w:r>
        <w:rPr>
          <w:rFonts w:ascii="Arial" w:cs="Arial" w:eastAsia="Arial" w:hAnsi="Arial"/>
          <w:color w:val="4B5563"/>
          <w:sz w:val="18"/>
          <w:szCs w:val="18"/>
        </w:rPr>
        <w:t xml:space="preserve">  —  PMC / National Library of Medicine, Published</w:t>
      </w:r>
    </w:p>
    <w:p>
      <w:pPr>
        <w:spacing w:after="20" w:before="0"/>
        <w:ind w:left="560"/>
      </w:pPr>
      <w:r>
        <w:rPr>
          <w:rFonts w:ascii="Arial" w:cs="Arial" w:eastAsia="Arial" w:hAnsi="Arial"/>
          <w:color w:val="1F2937"/>
          <w:sz w:val="19"/>
          <w:szCs w:val="19"/>
        </w:rPr>
        <w:t xml:space="preserve">Documents ICD-10-CM structure for CKD staging (N18.1–N18.6) and eGFR-based staging requirements. E11.22 (diabetes with CKD) must pair with N18.x secondary code. Lab validation (eGFR via CPT 82565) required to support staged CKD coding.</w:t>
      </w:r>
    </w:p>
    <w:p>
      <w:pPr>
        <w:spacing w:after="100" w:before="0"/>
        <w:ind w:left="560"/>
      </w:pPr>
      <w:r>
        <w:rPr>
          <w:rFonts w:ascii="Arial" w:cs="Arial" w:eastAsia="Arial" w:hAnsi="Arial"/>
          <w:color w:val="007A8C"/>
          <w:sz w:val="17"/>
          <w:szCs w:val="17"/>
        </w:rPr>
        <w:t xml:space="preserve">https://pmc.ncbi.nlm.nih.gov/articles/PMC5669129/</w:t>
      </w:r>
    </w:p>
    <w:p>
      <w:pPr>
        <w:spacing w:after="20" w:before="100"/>
      </w:pPr>
      <w:r>
        <w:rPr>
          <w:rFonts w:ascii="Arial" w:cs="Arial" w:eastAsia="Arial" w:hAnsi="Arial"/>
          <w:b/>
          <w:bCs/>
          <w:color w:val="007A8C"/>
          <w:sz w:val="20"/>
          <w:szCs w:val="20"/>
        </w:rPr>
        <w:t xml:space="preserve">[13]  </w:t>
      </w:r>
      <w:r>
        <w:rPr>
          <w:rFonts w:ascii="Arial" w:cs="Arial" w:eastAsia="Arial" w:hAnsi="Arial"/>
          <w:b/>
          <w:bCs/>
          <w:color w:val="0D1B4B"/>
          <w:sz w:val="20"/>
          <w:szCs w:val="20"/>
        </w:rPr>
        <w:t xml:space="preserve">Federal Government Targets MA Upcoding — Diabetes, Morbid Obesity, Lung Disease</w:t>
      </w:r>
      <w:r>
        <w:rPr>
          <w:rFonts w:ascii="Arial" w:cs="Arial" w:eastAsia="Arial" w:hAnsi="Arial"/>
          <w:color w:val="4B5563"/>
          <w:sz w:val="18"/>
          <w:szCs w:val="18"/>
        </w:rPr>
        <w:t xml:space="preserve">  —  STAT News, February 2026</w:t>
      </w:r>
    </w:p>
    <w:p>
      <w:pPr>
        <w:spacing w:after="20" w:before="0"/>
        <w:ind w:left="560"/>
      </w:pPr>
      <w:r>
        <w:rPr>
          <w:rFonts w:ascii="Arial" w:cs="Arial" w:eastAsia="Arial" w:hAnsi="Arial"/>
          <w:color w:val="1F2937"/>
          <w:sz w:val="19"/>
          <w:szCs w:val="19"/>
        </w:rPr>
        <w:t xml:space="preserve">CMS is ratcheting down payments for common chronic diseases including diabetes, morbid obesity, and lung disease (COPD) specifically because data analysis shows insurers were using upcoding to game the risk adjustment system. CMS proposes using newer claims data that implies patients with these conditions are not seeing physicians as frequently as their risk profiles suggest.</w:t>
      </w:r>
    </w:p>
    <w:p>
      <w:pPr>
        <w:spacing w:after="100" w:before="0"/>
        <w:ind w:left="560"/>
      </w:pPr>
      <w:r>
        <w:rPr>
          <w:rFonts w:ascii="Arial" w:cs="Arial" w:eastAsia="Arial" w:hAnsi="Arial"/>
          <w:color w:val="007A8C"/>
          <w:sz w:val="17"/>
          <w:szCs w:val="17"/>
        </w:rPr>
        <w:t xml:space="preserve">https://www.statnews.com/2026/02/09/medicare-advantage-new-cms-risk-scores-target-insurer-upcoding/</w:t>
      </w:r>
    </w:p>
    <w:p>
      <w:pPr>
        <w:spacing w:after="240" w:before="0"/>
      </w:pPr>
      <w:r>
        <w:t xml:space="preserve"/>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60"/>
    </w:pPr>
    <w:r>
      <w:rPr>
        <w:rFonts w:ascii="Arial" w:cs="Arial" w:eastAsia="Arial" w:hAnsi="Arial"/>
        <w:color w:val="4B5563"/>
        <w:sz w:val="16"/>
        <w:szCs w:val="16"/>
      </w:rPr>
      <w:t xml:space="preserve">Diagnosis Code CVA Expansion Reference  |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8C" w:sz="4" w:space="4"/>
      </w:pBdr>
      <w:spacing w:after="60"/>
      <w:jc w:val="right"/>
    </w:pPr>
    <w:r>
      <w:rPr>
        <w:rFonts w:ascii="Arial" w:cs="Arial" w:eastAsia="Arial" w:hAnsi="Arial"/>
        <w:color w:val="4B5563"/>
        <w:sz w:val="15"/>
        <w:szCs w:val="15"/>
      </w:rPr>
      <w:t xml:space="preserve">HUMANA MEDICARE ADVANTAGE  |  CVA DIAGNOSIS CODE EXPANSION  |  WITH OIG &amp; CMS CITATIONS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0D1B4B"/>
      <w:sz w:val="36"/>
      <w:szCs w:val="36"/>
    </w:rPr>
  </w:style>
  <w:style w:type="paragraph" w:styleId="Heading2">
    <w:name w:val="Heading 2"/>
    <w:basedOn w:val="Normal"/>
    <w:next w:val="Normal"/>
    <w:qFormat/>
    <w:pPr>
      <w:spacing w:after="60" w:before="280"/>
      <w:outlineLvl w:val="1"/>
    </w:pPr>
    <w:rPr>
      <w:rFonts w:ascii="Arial" w:cs="Arial" w:eastAsia="Arial" w:hAnsi="Arial"/>
      <w:b/>
      <w:bCs/>
      <w:color w:val="007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2026-05-21T16:22:48.830Z</dcterms:created>
  <dcterms:modified xsi:type="dcterms:W3CDTF">2026-05-21T16:22:48.848Z</dcterms:modified>
</cp:coreProperties>
</file>

<file path=docProps/custom.xml><?xml version="1.0" encoding="utf-8"?>
<Properties xmlns="http://schemas.openxmlformats.org/officeDocument/2006/custom-properties" xmlns:vt="http://schemas.openxmlformats.org/officeDocument/2006/docPropsVTypes"/>
</file>