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64748B"/>
          <w:spacing w:val="80"/>
          <w:sz w:val="20"/>
          <w:szCs w:val="20"/>
        </w:rPr>
        <w:t xml:space="preserve">STRATEGIC PROPOSAL</w:t>
      </w:r>
    </w:p>
    <w:p>
      <w:pPr>
        <w:spacing w:after="120" w:before="0"/>
      </w:pPr>
      <w:r>
        <w:rPr>
          <w:rFonts w:ascii="Arial" w:cs="Arial" w:eastAsia="Arial" w:hAnsi="Arial"/>
          <w:b/>
          <w:bCs/>
          <w:color w:val="0D1B4B"/>
          <w:sz w:val="52"/>
          <w:szCs w:val="52"/>
        </w:rPr>
        <w:t xml:space="preserve">Expanding Clinical Validation Audits to Procedure Codes</w:t>
      </w:r>
    </w:p>
    <w:p>
      <w:pPr>
        <w:spacing w:after="80" w:before="0"/>
      </w:pPr>
      <w:r>
        <w:rPr>
          <w:rFonts w:ascii="Arial" w:cs="Arial" w:eastAsia="Arial" w:hAnsi="Arial"/>
          <w:color w:val="00778B"/>
          <w:sz w:val="24"/>
          <w:szCs w:val="24"/>
        </w:rPr>
        <w:t xml:space="preserve">Addressing Procedure-Level Spend Integrity for Humana Medicare Advantage in the Era of Accelerated CMS and OIG Oversight</w:t>
      </w:r>
    </w:p>
    <w:p>
      <w:pPr>
        <w:pBdr>
          <w:bottom w:val="single" w:color="00778B" w:sz="8" w:space="4"/>
        </w:pBdr>
        <w:spacing w:after="240" w:before="80"/>
      </w:pPr>
      <w:r>
        <w:rPr>
          <w:rFonts w:ascii="Arial" w:cs="Arial" w:eastAsia="Arial" w:hAnsi="Arial"/>
          <w:b/>
          <w:bCs/>
          <w:color w:val="0D1B4B"/>
          <w:sz w:val="22"/>
          <w:szCs w:val="22"/>
        </w:rPr>
        <w:t xml:space="preserve">Prepared for:  </w:t>
      </w:r>
      <w:r>
        <w:rPr>
          <w:rFonts w:ascii="Arial" w:cs="Arial" w:eastAsia="Arial" w:hAnsi="Arial"/>
          <w:color w:val="374151"/>
          <w:sz w:val="22"/>
          <w:szCs w:val="22"/>
        </w:rPr>
        <w:t xml:space="preserve">Head of Operations, Humana Medicare Advantage</w:t>
      </w:r>
      <w:r>
        <w:rPr>
          <w:rFonts w:ascii="Arial" w:cs="Arial" w:eastAsia="Arial" w:hAnsi="Arial"/>
          <w:color w:val="64748B"/>
          <w:sz w:val="22"/>
          <w:szCs w:val="22"/>
        </w:rPr>
        <w:t xml:space="preserve">     |     </w:t>
      </w:r>
      <w:r>
        <w:rPr>
          <w:rFonts w:ascii="Arial" w:cs="Arial" w:eastAsia="Arial" w:hAnsi="Arial"/>
          <w:color w:val="374151"/>
          <w:sz w:val="22"/>
          <w:szCs w:val="22"/>
        </w:rPr>
        <w:t xml:space="preserve">May 2026</w:t>
      </w:r>
    </w:p>
    <w:p>
      <w:pPr>
        <w:spacing w:after="240" w:before="0"/>
      </w:pPr>
      <w:r>
        <w:t xml:space="preserve"/>
      </w:r>
    </w:p>
    <w:p>
      <w:pPr>
        <w:pStyle w:val="Heading1"/>
        <w:pBdr>
          <w:bottom w:val="single" w:color="00778B" w:sz="6" w:space="4"/>
        </w:pBdr>
        <w:spacing w:after="120" w:before="360"/>
      </w:pPr>
      <w:r>
        <w:rPr>
          <w:rFonts w:ascii="Arial" w:cs="Arial" w:eastAsia="Arial" w:hAnsi="Arial"/>
          <w:b/>
          <w:bCs/>
          <w:color w:val="0D1B4B"/>
          <w:sz w:val="36"/>
          <w:szCs w:val="36"/>
        </w:rPr>
        <w:t xml:space="preserve">1. Executive Summary</w:t>
      </w:r>
    </w:p>
    <w:p>
      <w:pPr>
        <w:spacing w:after="120" w:before="60"/>
      </w:pPr>
      <w:r>
        <w:rPr>
          <w:rFonts w:ascii="Arial" w:cs="Arial" w:eastAsia="Arial" w:hAnsi="Arial"/>
          <w:color w:val="1F2937"/>
          <w:sz w:val="22"/>
          <w:szCs w:val="22"/>
        </w:rPr>
        <w:t xml:space="preserve">Humana's current Clinical Validation Audit (CVA) program covers 20 diagnosis-based conditions — sepsis, AKI, pneumonia, and similar conditions. This proposal argues that expanding CVA scope to encompass </w:t>
      </w:r>
      <w:r>
        <w:rPr>
          <w:rFonts w:ascii="Arial" w:cs="Arial" w:eastAsia="Arial" w:hAnsi="Arial"/>
          <w:b/>
          <w:bCs/>
          <w:color w:val="0D1B4B"/>
          <w:sz w:val="22"/>
          <w:szCs w:val="22"/>
        </w:rPr>
        <w:t xml:space="preserve">ICD-10-PCS procedure codes</w:t>
      </w:r>
      <w:r>
        <w:rPr>
          <w:rFonts w:ascii="Arial" w:cs="Arial" w:eastAsia="Arial" w:hAnsi="Arial"/>
          <w:color w:val="1F2937"/>
          <w:sz w:val="22"/>
          <w:szCs w:val="22"/>
        </w:rPr>
        <w:t xml:space="preserve"> is both strategically necessary and operationally achievable, particularly for high-spend surgical categories where federal improper payment data reveals systematic documentation failures.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C0392B" w:val="clear"/>
            <w:vAlign w:val="top"/>
          </w:tcPr>
          <w:p/>
        </w:tc>
        <w:tc>
          <w:tcPr>
            <w:tcW w:type="dxa" w:w="9120"/>
            <w:tcBorders>
              <w:top w:val="single" w:color="C0392B" w:sz="4"/>
              <w:left w:val="none" w:color="FFFFFF" w:sz="0"/>
              <w:bottom w:val="single" w:color="C0392B" w:sz="4"/>
              <w:right w:val="single" w:color="C0392B" w:sz="4"/>
            </w:tcBorders>
            <w:shd w:fill="F8FAFC" w:val="clear"/>
            <w:tcMar>
              <w:top w:type="dxa" w:w="120"/>
              <w:left w:type="dxa" w:w="180"/>
              <w:bottom w:type="dxa" w:w="120"/>
              <w:right w:type="dxa" w:w="120"/>
            </w:tcMar>
          </w:tcPr>
          <w:p>
            <w:pPr>
              <w:spacing w:after="80"/>
            </w:pPr>
            <w:r>
              <w:rPr>
                <w:rFonts w:ascii="Arial" w:cs="Arial" w:eastAsia="Arial" w:hAnsi="Arial"/>
                <w:b/>
                <w:bCs/>
                <w:color w:val="C0392B"/>
                <w:sz w:val="20"/>
                <w:szCs w:val="20"/>
              </w:rPr>
              <w:t xml:space="preserve">OIG FINDING DIRECTLY RELEVANT TO HUMANA</w:t>
            </w:r>
          </w:p>
          <w:p>
            <w:pPr>
              <w:spacing w:after="0"/>
            </w:pPr>
            <w:r>
              <w:rPr>
                <w:rFonts w:ascii="Arial" w:cs="Arial" w:eastAsia="Arial" w:hAnsi="Arial"/>
                <w:color w:val="1F2937"/>
                <w:sz w:val="22"/>
                <w:szCs w:val="22"/>
              </w:rPr>
              <w:t xml:space="preserve">OIG audited Humana Health Plan, Inc. (Contract H2649) and found that for 202 of 240 sampled enrollee-years, the diagnosis codes submitted to CMS were not supported by medical records — an 84.2% error rate. OIG estimated Humana received at least $13.1 million in overpayments for 2017–2018. Recommendations to refund $6.77M remain open and unimplemented as of March 2026.</w:t>
            </w:r>
          </w:p>
        </w:tc>
      </w:tr>
    </w:tbl>
    <w:p>
      <w:pPr>
        <w:spacing w:after="160" w:before="0"/>
      </w:pPr>
      <w:r>
        <w:t xml:space="preserve"/>
      </w:r>
    </w:p>
    <w:p>
      <w:pPr>
        <w:spacing w:after="120" w:before="60"/>
      </w:pPr>
      <w:r>
        <w:rPr>
          <w:rFonts w:ascii="Arial" w:cs="Arial" w:eastAsia="Arial" w:hAnsi="Arial"/>
          <w:color w:val="1F2937"/>
          <w:sz w:val="22"/>
          <w:szCs w:val="22"/>
        </w:rPr>
        <w:t xml:space="preserve">This finding covers only diagnosis codes. Procedure codes — where CMS has identified a 43.6% improper payment rate and $546.7 million in projected improper payments for knee and hip replacement alone — represent a larger, entirely unvalidated exposure surface. The regulatory environment demands action. CMS and OIG are accelerating audit activity in 2026 at a pace that has no precedent in the program's history.</w:t>
      </w:r>
    </w:p>
    <w:p>
      <w:pPr>
        <w:spacing w:after="80" w:before="0"/>
      </w:pPr>
      <w:r>
        <w:t xml:space="preserve"/>
      </w:r>
    </w:p>
    <w:p>
      <w:pPr>
        <w:spacing w:after="120" w:before="60"/>
      </w:pPr>
      <w:r>
        <w:rPr>
          <w:rFonts w:ascii="Arial" w:cs="Arial" w:eastAsia="Arial" w:hAnsi="Arial"/>
          <w:color w:val="1F2937"/>
          <w:sz w:val="22"/>
          <w:szCs w:val="22"/>
        </w:rPr>
        <w:t xml:space="preserve">This document provides the clinical, regulatory, and financial rationale for the proposal; identifies the highest-priority procedure code categories; maps the CMS approval pathway; and offers a rigorous stress test of the strategy's failure modes and mitigations.</w:t>
      </w:r>
    </w:p>
    <w:p>
      <w:pPr>
        <w:spacing w:after="200" w:before="0"/>
      </w:pPr>
      <w:r>
        <w:t xml:space="preserve"/>
      </w:r>
    </w:p>
    <w:p>
      <w:pPr>
        <w:pStyle w:val="Heading1"/>
        <w:pBdr>
          <w:bottom w:val="single" w:color="00778B" w:sz="6" w:space="4"/>
        </w:pBdr>
        <w:spacing w:after="120" w:before="360"/>
      </w:pPr>
      <w:r>
        <w:rPr>
          <w:rFonts w:ascii="Arial" w:cs="Arial" w:eastAsia="Arial" w:hAnsi="Arial"/>
          <w:b/>
          <w:bCs/>
          <w:color w:val="0D1B4B"/>
          <w:sz w:val="36"/>
          <w:szCs w:val="36"/>
        </w:rPr>
        <w:t xml:space="preserve">2. The Regulatory Environment: Why 2026 Is the Inflection Point</w:t>
      </w:r>
    </w:p>
    <w:p>
      <w:pPr>
        <w:pStyle w:val="Heading2"/>
        <w:spacing w:after="80" w:before="280"/>
      </w:pPr>
      <w:r>
        <w:rPr>
          <w:rFonts w:ascii="Arial" w:cs="Arial" w:eastAsia="Arial" w:hAnsi="Arial"/>
          <w:b/>
          <w:bCs/>
          <w:color w:val="00778B"/>
          <w:sz w:val="28"/>
          <w:szCs w:val="28"/>
        </w:rPr>
        <w:t xml:space="preserve">2.1 CMS Has Massively Escalated Its Audit Infrastructure</w:t>
      </w:r>
    </w:p>
    <w:p>
      <w:pPr>
        <w:spacing w:after="120" w:before="60"/>
      </w:pPr>
      <w:r>
        <w:rPr>
          <w:rFonts w:ascii="Arial" w:cs="Arial" w:eastAsia="Arial" w:hAnsi="Arial"/>
          <w:color w:val="1F2937"/>
          <w:sz w:val="22"/>
          <w:szCs w:val="22"/>
        </w:rPr>
        <w:t xml:space="preserve">Beginning in 2025, CMS announced a sweeping expansion of its Risk Adjustment Data Validation (RADV) program. CMS now intends to audit all eligible MA contracts annually rather than a limited subset — increasing from approximately 60 plans per year to approximately 550 plans.</w:t>
      </w:r>
      <w:r>
        <w:rPr>
          <w:rFonts w:ascii="Arial" w:cs="Arial" w:eastAsia="Arial" w:hAnsi="Arial"/>
          <w:color w:val="64748B"/>
          <w:sz w:val="18"/>
          <w:szCs w:val="18"/>
          <w:vertAlign w:val="superscript"/>
        </w:rPr>
        <w:t xml:space="preserve"> [CMS Press Release, March 2026]</w:t>
      </w:r>
    </w:p>
    <w:p>
      <w:pPr>
        <w:spacing w:after="80" w:before="0"/>
      </w:pPr>
      <w:r>
        <w:t xml:space="preserve"/>
      </w:r>
    </w:p>
    <w:p>
      <w:pPr>
        <w:spacing w:after="120" w:before="60"/>
      </w:pPr>
      <w:r>
        <w:rPr>
          <w:rFonts w:ascii="Arial" w:cs="Arial" w:eastAsia="Arial" w:hAnsi="Arial"/>
          <w:color w:val="1F2937"/>
          <w:sz w:val="22"/>
          <w:szCs w:val="22"/>
        </w:rPr>
        <w:t xml:space="preserve">To support this expansion, CMS is growing its team of medical coders from 40 to approximately 2,000 by September 2025, and plans to deploy artificial intelligence and machine learning to identify unsupported diagnoses, with all final determinations made by certified human coders.</w:t>
      </w:r>
      <w:r>
        <w:rPr>
          <w:rFonts w:ascii="Arial" w:cs="Arial" w:eastAsia="Arial" w:hAnsi="Arial"/>
          <w:color w:val="64748B"/>
          <w:sz w:val="18"/>
          <w:szCs w:val="18"/>
          <w:vertAlign w:val="superscript"/>
        </w:rPr>
        <w:t xml:space="preserve"> [CMS.gov — Aggressive Strategy to Enhance MA Audits, March 2026]</w:t>
      </w:r>
    </w:p>
    <w:p>
      <w:pPr>
        <w:spacing w:after="80" w:before="0"/>
      </w:pPr>
      <w:r>
        <w:t xml:space="preserve"/>
      </w:r>
    </w:p>
    <w:p>
      <w:pPr>
        <w:spacing w:after="120" w:before="60"/>
      </w:pPr>
      <w:r>
        <w:rPr>
          <w:rFonts w:ascii="Arial" w:cs="Arial" w:eastAsia="Arial" w:hAnsi="Arial"/>
          <w:color w:val="1F2937"/>
          <w:sz w:val="22"/>
          <w:szCs w:val="22"/>
        </w:rPr>
        <w:t xml:space="preserve">The number of records reviewed per MA plan has increased from approximately 35 to between 35 and 200 per plan per year, substantially raising documentation demands across the industry.</w:t>
      </w:r>
      <w:r>
        <w:rPr>
          <w:rFonts w:ascii="Arial" w:cs="Arial" w:eastAsia="Arial" w:hAnsi="Arial"/>
          <w:color w:val="64748B"/>
          <w:sz w:val="18"/>
          <w:szCs w:val="18"/>
          <w:vertAlign w:val="superscript"/>
        </w:rPr>
        <w:t xml:space="preserve"> [CMS RADV Program Expansion, March 2026]</w:t>
      </w:r>
    </w:p>
    <w:p>
      <w:pPr>
        <w:spacing w:after="120" w:before="0"/>
      </w:pPr>
      <w:r>
        <w:t xml:space="preserve"/>
      </w:r>
    </w:p>
    <w:p>
      <w:pPr>
        <w:pStyle w:val="Heading2"/>
        <w:spacing w:after="80" w:before="280"/>
      </w:pPr>
      <w:r>
        <w:rPr>
          <w:rFonts w:ascii="Arial" w:cs="Arial" w:eastAsia="Arial" w:hAnsi="Arial"/>
          <w:b/>
          <w:bCs/>
          <w:color w:val="00778B"/>
          <w:sz w:val="28"/>
          <w:szCs w:val="28"/>
        </w:rPr>
        <w:t xml:space="preserve">2.2 OIG Has Made Medicare Advantage Its Top Enforcement Priority</w:t>
      </w:r>
    </w:p>
    <w:p>
      <w:pPr>
        <w:spacing w:after="120" w:before="60"/>
      </w:pPr>
      <w:r>
        <w:rPr>
          <w:rFonts w:ascii="Arial" w:cs="Arial" w:eastAsia="Arial" w:hAnsi="Arial"/>
          <w:color w:val="1F2937"/>
          <w:sz w:val="22"/>
          <w:szCs w:val="22"/>
        </w:rPr>
        <w:t xml:space="preserve">On February 3, 2026, the OIG issued its Industry Segment-Specific Compliance Program Guidance (ICPG) for Medicare Advantage — the first MA-specific compliance guidance since 1999. This landmark document reflects over a quarter century of evolution in the MA program and enforcement experience.</w:t>
      </w:r>
      <w:r>
        <w:rPr>
          <w:rFonts w:ascii="Arial" w:cs="Arial" w:eastAsia="Arial" w:hAnsi="Arial"/>
          <w:color w:val="64748B"/>
          <w:sz w:val="18"/>
          <w:szCs w:val="18"/>
          <w:vertAlign w:val="superscript"/>
        </w:rPr>
        <w:t xml:space="preserve"> [OIG ICPG for Medicare Advantage, February 3, 2026]</w:t>
      </w:r>
    </w:p>
    <w:p>
      <w:pPr>
        <w:spacing w:after="80" w:before="0"/>
      </w:pPr>
      <w:r>
        <w:t xml:space="preserve"/>
      </w:r>
    </w:p>
    <w:p>
      <w:pPr>
        <w:spacing w:after="120" w:before="60"/>
      </w:pPr>
      <w:r>
        <w:rPr>
          <w:rFonts w:ascii="Arial" w:cs="Arial" w:eastAsia="Arial" w:hAnsi="Arial"/>
          <w:color w:val="1F2937"/>
          <w:sz w:val="22"/>
          <w:szCs w:val="22"/>
        </w:rPr>
        <w:t xml:space="preserve">As of 2025, more than 50% of all Medicare beneficiaries are enrolled in MA plans, representing over 30 million individuals and hundreds of billions in annual federal spending. This rapid growth has made Medicare Advantage one of the highest-priority enforcement targets for OIG, DOJ, and CMS.</w:t>
      </w:r>
      <w:r>
        <w:rPr>
          <w:rFonts w:ascii="Arial" w:cs="Arial" w:eastAsia="Arial" w:hAnsi="Arial"/>
          <w:color w:val="64748B"/>
          <w:sz w:val="18"/>
          <w:szCs w:val="18"/>
          <w:vertAlign w:val="superscript"/>
        </w:rPr>
        <w:t xml:space="preserve"> [OIG ICPG, February 2026 / Doctors Management Analysis, March 2026]</w:t>
      </w:r>
    </w:p>
    <w:p>
      <w:pPr>
        <w:spacing w:after="80" w:before="0"/>
      </w:pPr>
      <w:r>
        <w:t xml:space="preserve"/>
      </w:r>
    </w:p>
    <w:p>
      <w:pPr>
        <w:spacing w:after="120" w:before="60"/>
      </w:pPr>
      <w:r>
        <w:rPr>
          <w:rFonts w:ascii="Arial" w:cs="Arial" w:eastAsia="Arial" w:hAnsi="Arial"/>
          <w:color w:val="1F2937"/>
          <w:sz w:val="22"/>
          <w:szCs w:val="22"/>
        </w:rPr>
        <w:t xml:space="preserve">The DOJ's False Claims Act Working Group has explicitly identified MA fraud as a priority enforcement area. Record FCA recoveries of $6.8 billion in fiscal year 2025 were driven substantially by MA-related cases.</w:t>
      </w:r>
      <w:r>
        <w:rPr>
          <w:rFonts w:ascii="Arial" w:cs="Arial" w:eastAsia="Arial" w:hAnsi="Arial"/>
          <w:color w:val="64748B"/>
          <w:sz w:val="18"/>
          <w:szCs w:val="18"/>
          <w:vertAlign w:val="superscript"/>
        </w:rPr>
        <w:t xml:space="preserve"> [Doctors Management — OIG ICPG Analysis, March 2026]</w:t>
      </w:r>
    </w:p>
    <w:p>
      <w:pPr>
        <w:spacing w:after="80" w:before="0"/>
      </w:pPr>
      <w:r>
        <w:t xml:space="preserve"/>
      </w:r>
    </w:p>
    <w:p>
      <w:pPr>
        <w:spacing w:after="120" w:before="60"/>
      </w:pPr>
      <w:r>
        <w:rPr>
          <w:rFonts w:ascii="Arial" w:cs="Arial" w:eastAsia="Arial" w:hAnsi="Arial"/>
          <w:color w:val="1F2937"/>
          <w:sz w:val="22"/>
          <w:szCs w:val="22"/>
        </w:rPr>
        <w:t xml:space="preserve">The OIG's updated 2026 guidance identifies seven key compliance risk areas, with heightened focus on data accuracy and documentation, expanded oversight of artificial intelligence use, and increased scrutiny of third parties and vertically integrated organizations.</w:t>
      </w:r>
      <w:r>
        <w:rPr>
          <w:rFonts w:ascii="Arial" w:cs="Arial" w:eastAsia="Arial" w:hAnsi="Arial"/>
          <w:color w:val="64748B"/>
          <w:sz w:val="18"/>
          <w:szCs w:val="18"/>
          <w:vertAlign w:val="superscript"/>
        </w:rPr>
        <w:t xml:space="preserve"> [Alston &amp; Bird Health Care Advisory, February 2026 — citing OIG ICPG]</w:t>
      </w:r>
    </w:p>
    <w:p>
      <w:pPr>
        <w:spacing w:after="120" w:before="0"/>
      </w:pPr>
      <w:r>
        <w:t xml:space="preserve"/>
      </w:r>
    </w:p>
    <w:p>
      <w:pPr>
        <w:pStyle w:val="Heading2"/>
        <w:spacing w:after="80" w:before="280"/>
      </w:pPr>
      <w:r>
        <w:rPr>
          <w:rFonts w:ascii="Arial" w:cs="Arial" w:eastAsia="Arial" w:hAnsi="Arial"/>
          <w:b/>
          <w:bCs/>
          <w:color w:val="00778B"/>
          <w:sz w:val="28"/>
          <w:szCs w:val="28"/>
        </w:rPr>
        <w:t xml:space="preserve">2.3 The Systemic Scale of MA Overpayments</w:t>
      </w:r>
    </w:p>
    <w:p>
      <w:pPr>
        <w:spacing w:after="120" w:before="60"/>
      </w:pPr>
      <w:r>
        <w:rPr>
          <w:rFonts w:ascii="Arial" w:cs="Arial" w:eastAsia="Arial" w:hAnsi="Arial"/>
          <w:color w:val="1F2937"/>
          <w:sz w:val="22"/>
          <w:szCs w:val="22"/>
        </w:rPr>
        <w:t xml:space="preserve">Federal estimates suggest that MA organizations may be submitting unsupported diagnosis data, resulting in approximately $17 billion in overpayments annually.</w:t>
      </w:r>
      <w:r>
        <w:rPr>
          <w:rFonts w:ascii="Arial" w:cs="Arial" w:eastAsia="Arial" w:hAnsi="Arial"/>
          <w:color w:val="64748B"/>
          <w:sz w:val="18"/>
          <w:szCs w:val="18"/>
          <w:vertAlign w:val="superscript"/>
        </w:rPr>
        <w:t xml:space="preserve"> [CMS / RADV Program — cited in Wolters Kluwer RADV Analysis, April 2026]</w:t>
      </w:r>
    </w:p>
    <w:p>
      <w:pPr>
        <w:spacing w:after="80" w:before="0"/>
      </w:pPr>
      <w:r>
        <w:t xml:space="preserve"/>
      </w:r>
    </w:p>
    <w:p>
      <w:pPr>
        <w:spacing w:after="120" w:before="60"/>
      </w:pPr>
      <w:r>
        <w:rPr>
          <w:rFonts w:ascii="Arial" w:cs="Arial" w:eastAsia="Arial" w:hAnsi="Arial"/>
          <w:color w:val="1F2937"/>
          <w:sz w:val="22"/>
          <w:szCs w:val="22"/>
        </w:rPr>
        <w:t xml:space="preserve">Across OIG audits of MA organizations, approximately 70% of high-risk diagnosis codes were not supported in the associated medical records. Some diagnosis codes were not supported more than 90% of the time.</w:t>
      </w:r>
      <w:r>
        <w:rPr>
          <w:rFonts w:ascii="Arial" w:cs="Arial" w:eastAsia="Arial" w:hAnsi="Arial"/>
          <w:color w:val="64748B"/>
          <w:sz w:val="18"/>
          <w:szCs w:val="18"/>
          <w:vertAlign w:val="superscript"/>
        </w:rPr>
        <w:t xml:space="preserve"> [OIG Toolkit for Reducing Improper Payments in MA, November 2023]</w:t>
      </w:r>
    </w:p>
    <w:p>
      <w:pPr>
        <w:spacing w:after="80" w:before="0"/>
      </w:pPr>
      <w:r>
        <w:t xml:space="preserve"/>
      </w:r>
    </w:p>
    <w:p>
      <w:pPr>
        <w:spacing w:after="120" w:before="60"/>
      </w:pPr>
      <w:r>
        <w:rPr>
          <w:rFonts w:ascii="Arial" w:cs="Arial" w:eastAsia="Arial" w:hAnsi="Arial"/>
          <w:color w:val="1F2937"/>
          <w:sz w:val="22"/>
          <w:szCs w:val="22"/>
        </w:rPr>
        <w:t xml:space="preserve">CMS estimates that 9.5% of payments to MA organizations are improper, mainly due to unsupported diagnoses submitted by MA organizations. Prior OIG reviews have shown that some diagnoses are more at risk than others to be unsupported by medical record documentation.</w:t>
      </w:r>
      <w:r>
        <w:rPr>
          <w:rFonts w:ascii="Arial" w:cs="Arial" w:eastAsia="Arial" w:hAnsi="Arial"/>
          <w:color w:val="64748B"/>
          <w:sz w:val="18"/>
          <w:szCs w:val="18"/>
          <w:vertAlign w:val="superscript"/>
        </w:rPr>
        <w:t xml:space="preserve"> [OIG Work Plan — Medicare Advantage Risk-Adjustment Data, W-00-24-35079]</w:t>
      </w:r>
    </w:p>
    <w:p>
      <w:pPr>
        <w:spacing w:after="200" w:before="0"/>
      </w:pPr>
      <w:r>
        <w:t xml:space="preserve"/>
      </w:r>
    </w:p>
    <w:p>
      <w:pPr>
        <w:pStyle w:val="Heading1"/>
        <w:pBdr>
          <w:bottom w:val="single" w:color="00778B" w:sz="6" w:space="4"/>
        </w:pBdr>
        <w:spacing w:after="120" w:before="360"/>
      </w:pPr>
      <w:r>
        <w:rPr>
          <w:rFonts w:ascii="Arial" w:cs="Arial" w:eastAsia="Arial" w:hAnsi="Arial"/>
          <w:b/>
          <w:bCs/>
          <w:color w:val="0D1B4B"/>
          <w:sz w:val="36"/>
          <w:szCs w:val="36"/>
        </w:rPr>
        <w:t xml:space="preserve">3. The Case for Expanding CVA to Procedure Codes</w:t>
      </w:r>
    </w:p>
    <w:p>
      <w:pPr>
        <w:pStyle w:val="Heading2"/>
        <w:spacing w:after="80" w:before="280"/>
      </w:pPr>
      <w:r>
        <w:rPr>
          <w:rFonts w:ascii="Arial" w:cs="Arial" w:eastAsia="Arial" w:hAnsi="Arial"/>
          <w:b/>
          <w:bCs/>
          <w:color w:val="00778B"/>
          <w:sz w:val="28"/>
          <w:szCs w:val="28"/>
        </w:rPr>
        <w:t xml:space="preserve">3.1 The Critical Gap: Procedure Codes Are Unvalidated</w:t>
      </w:r>
    </w:p>
    <w:p>
      <w:pPr>
        <w:spacing w:after="120" w:before="60"/>
      </w:pPr>
      <w:r>
        <w:rPr>
          <w:rFonts w:ascii="Arial" w:cs="Arial" w:eastAsia="Arial" w:hAnsi="Arial"/>
          <w:color w:val="1F2937"/>
          <w:sz w:val="22"/>
          <w:szCs w:val="22"/>
        </w:rPr>
        <w:t xml:space="preserve">The current CVA framework — however well-designed for diagnosis-based conditions — is structurally blind to one of the largest sources of improper payments in Medicare: procedure-level billing errors, medical necessity failures, and clinical documentation deficiencies attached to surgical and interventional claims.</w:t>
      </w:r>
    </w:p>
    <w:p>
      <w:pPr>
        <w:spacing w:after="80" w:before="0"/>
      </w:pPr>
      <w:r>
        <w:t xml:space="preserve"/>
      </w:r>
    </w:p>
    <w:p>
      <w:pPr>
        <w:spacing w:after="120" w:before="60"/>
      </w:pPr>
      <w:r>
        <w:rPr>
          <w:rFonts w:ascii="Arial" w:cs="Arial" w:eastAsia="Arial" w:hAnsi="Arial"/>
          <w:color w:val="1F2937"/>
          <w:sz w:val="22"/>
          <w:szCs w:val="22"/>
        </w:rPr>
        <w:t xml:space="preserve">ICD-10-PCS procedure codes define procedures with specificity across body part, approach, device, and qualifier. A single procedure such as total knee replacement or spinal fusion can map to dozens of distinct codes based on technique, laterality, and implant type — each carrying different DRG assignments and reimbursement levels. This specificity creates both an analytical opportunity and a coding accuracy obligation.</w:t>
      </w:r>
      <w:r>
        <w:rPr>
          <w:rFonts w:ascii="Arial" w:cs="Arial" w:eastAsia="Arial" w:hAnsi="Arial"/>
          <w:color w:val="64748B"/>
          <w:sz w:val="18"/>
          <w:szCs w:val="18"/>
          <w:vertAlign w:val="superscript"/>
        </w:rPr>
        <w:t xml:space="preserve"> [Health Catalyst — ICD-10 PCS: Harnessing the Power of Procedure Codes]</w:t>
      </w:r>
    </w:p>
    <w:p>
      <w:pPr>
        <w:spacing w:after="120" w:before="0"/>
      </w:pPr>
      <w:r>
        <w:t xml:space="preserve"/>
      </w:r>
    </w:p>
    <w:p>
      <w:pPr>
        <w:pStyle w:val="Heading2"/>
        <w:spacing w:after="80" w:before="280"/>
      </w:pPr>
      <w:r>
        <w:rPr>
          <w:rFonts w:ascii="Arial" w:cs="Arial" w:eastAsia="Arial" w:hAnsi="Arial"/>
          <w:b/>
          <w:bCs/>
          <w:color w:val="00778B"/>
          <w:sz w:val="28"/>
          <w:szCs w:val="28"/>
        </w:rPr>
        <w:t xml:space="preserve">3.2 Knee and Hip Replacement: The Highest-Priority Target</w:t>
      </w:r>
    </w:p>
    <w:p>
      <w:pPr>
        <w:spacing w:after="120" w:before="60"/>
      </w:pPr>
      <w:r>
        <w:rPr>
          <w:rFonts w:ascii="Arial" w:cs="Arial" w:eastAsia="Arial" w:hAnsi="Arial"/>
          <w:color w:val="1F2937"/>
          <w:sz w:val="22"/>
          <w:szCs w:val="22"/>
        </w:rPr>
        <w:t xml:space="preserve">According to CMS's 2024 Medicare Fee-for-Service Supplemental Improper Payment Data, the improper payment rate for major hip and knee replacements or reattachment of lower extremity is 43.6%, with a projected improper payment amount of $546.7 million. Major hip and knee replacements have the highest projected improper payments of all Medicare Part A service types.</w:t>
      </w:r>
      <w:r>
        <w:rPr>
          <w:rFonts w:ascii="Arial" w:cs="Arial" w:eastAsia="Arial" w:hAnsi="Arial"/>
          <w:color w:val="64748B"/>
          <w:sz w:val="18"/>
          <w:szCs w:val="18"/>
          <w:vertAlign w:val="superscript"/>
        </w:rPr>
        <w:t xml:space="preserve"> [CMS.gov — Hip &amp; Knee Replacement Compliance Tips, updated February 2026]</w:t>
      </w:r>
    </w:p>
    <w:p>
      <w:pPr>
        <w:spacing w:after="80" w:before="0"/>
      </w:pPr>
      <w:r>
        <w:t xml:space="preserve"/>
      </w:r>
    </w:p>
    <w:p>
      <w:pPr>
        <w:spacing w:after="120" w:before="60"/>
      </w:pPr>
      <w:r>
        <w:rPr>
          <w:rFonts w:ascii="Arial" w:cs="Arial" w:eastAsia="Arial" w:hAnsi="Arial"/>
          <w:color w:val="1F2937"/>
          <w:sz w:val="22"/>
          <w:szCs w:val="22"/>
        </w:rPr>
        <w:t xml:space="preserve">Medical necessity accounted for 92.8% of improper payments for major hip and knee joint replacement or reattachment of lower extremity during the 2024 reporting period. Insufficient documentation (4.5%), no documentation (1.8%), and incorrect coding (0.9%) drove the remainder.</w:t>
      </w:r>
      <w:r>
        <w:rPr>
          <w:rFonts w:ascii="Arial" w:cs="Arial" w:eastAsia="Arial" w:hAnsi="Arial"/>
          <w:color w:val="64748B"/>
          <w:sz w:val="18"/>
          <w:szCs w:val="18"/>
          <w:vertAlign w:val="superscript"/>
        </w:rPr>
        <w:t xml:space="preserve"> [CMS 2024 Supplemental Improper Payment Data]</w:t>
      </w:r>
    </w:p>
    <w:p>
      <w:pPr>
        <w:spacing w:after="80" w:before="0"/>
      </w:pPr>
      <w:r>
        <w:t xml:space="preserve"/>
      </w:r>
    </w:p>
    <w:p>
      <w:pPr>
        <w:spacing w:after="120" w:before="60"/>
      </w:pPr>
      <w:r>
        <w:rPr>
          <w:rFonts w:ascii="Arial" w:cs="Arial" w:eastAsia="Arial" w:hAnsi="Arial"/>
          <w:color w:val="1F2937"/>
          <w:sz w:val="22"/>
          <w:szCs w:val="22"/>
        </w:rPr>
        <w:t xml:space="preserve">This is a critical data point. When 92.8% of improper payments in the highest-improper-payment service category stem from medical necessity failures, the corrective mechanism is a clinical validation program — precisely what Humana's CVA infrastructure is designed to deliver. The gap is that CVA has not been extended to this category.</w:t>
      </w:r>
    </w:p>
    <w:p>
      <w:pPr>
        <w:spacing w:after="120" w:before="0"/>
      </w:pPr>
      <w:r>
        <w:t xml:space="preserve"/>
      </w:r>
    </w:p>
    <w:p>
      <w:pPr>
        <w:pStyle w:val="Heading2"/>
        <w:spacing w:after="80" w:before="280"/>
      </w:pPr>
      <w:r>
        <w:rPr>
          <w:rFonts w:ascii="Arial" w:cs="Arial" w:eastAsia="Arial" w:hAnsi="Arial"/>
          <w:b/>
          <w:bCs/>
          <w:color w:val="00778B"/>
          <w:sz w:val="28"/>
          <w:szCs w:val="28"/>
        </w:rPr>
        <w:t xml:space="preserve">3.3 Humana's Own Financials Confirm Procedure Spend Pressure</w:t>
      </w:r>
    </w:p>
    <w:p>
      <w:pPr>
        <w:spacing w:after="120" w:before="60"/>
      </w:pPr>
      <w:r>
        <w:rPr>
          <w:rFonts w:ascii="Arial" w:cs="Arial" w:eastAsia="Arial" w:hAnsi="Arial"/>
          <w:color w:val="1F2937"/>
          <w:sz w:val="22"/>
          <w:szCs w:val="22"/>
        </w:rPr>
        <w:t xml:space="preserve">Humana reported that higher-than-anticipated medical cost trends in 2023 were driven by increases in physician, outpatient surgical, and supplemental benefit cost categories. The fourth-quarter 2023 Adjusted Insurance segment benefit ratio reached approximately 91.4%, compared to the expected 89.5% — approximately $475 million in net pressure, nearly evenly split between inpatient and non-inpatient spend.</w:t>
      </w:r>
      <w:r>
        <w:rPr>
          <w:rFonts w:ascii="Arial" w:cs="Arial" w:eastAsia="Arial" w:hAnsi="Arial"/>
          <w:color w:val="64748B"/>
          <w:sz w:val="18"/>
          <w:szCs w:val="18"/>
          <w:vertAlign w:val="superscript"/>
        </w:rPr>
        <w:t xml:space="preserve"> [Humana Inc. Form 8-K, January 2024 (Exhibit 99.3 — Prepared Management Remarks)]</w:t>
      </w:r>
    </w:p>
    <w:p>
      <w:pPr>
        <w:spacing w:after="80" w:before="0"/>
      </w:pPr>
      <w:r>
        <w:t xml:space="preserve"/>
      </w:r>
    </w:p>
    <w:p>
      <w:pPr>
        <w:spacing w:after="120" w:before="60"/>
      </w:pPr>
      <w:r>
        <w:rPr>
          <w:rFonts w:ascii="Arial" w:cs="Arial" w:eastAsia="Arial" w:hAnsi="Arial"/>
          <w:color w:val="1F2937"/>
          <w:sz w:val="22"/>
          <w:szCs w:val="22"/>
        </w:rPr>
        <w:t xml:space="preserve">Humana's insurance medical loss ratio was 93.1% in a recent quarter, up one percentage point year over year, with MA members comprising the large majority of the insured population driving this ratio.</w:t>
      </w:r>
      <w:r>
        <w:rPr>
          <w:rFonts w:ascii="Arial" w:cs="Arial" w:eastAsia="Arial" w:hAnsi="Arial"/>
          <w:color w:val="64748B"/>
          <w:sz w:val="18"/>
          <w:szCs w:val="18"/>
          <w:vertAlign w:val="superscript"/>
        </w:rPr>
        <w:t xml:space="preserve"> [Healthcare Dive — Humana Medicare Advantage 2026 Coverage, February 2026]</w:t>
      </w:r>
    </w:p>
    <w:p>
      <w:pPr>
        <w:spacing w:after="80" w:before="0"/>
      </w:pPr>
      <w:r>
        <w:t xml:space="preserve"/>
      </w:r>
    </w:p>
    <w:p>
      <w:pPr>
        <w:spacing w:after="120" w:before="60"/>
      </w:pPr>
      <w:r>
        <w:rPr>
          <w:rFonts w:ascii="Arial" w:cs="Arial" w:eastAsia="Arial" w:hAnsi="Arial"/>
          <w:color w:val="1F2937"/>
          <w:sz w:val="22"/>
          <w:szCs w:val="22"/>
        </w:rPr>
        <w:t xml:space="preserve">Surgical spend is a documented contributor to Humana's MLR pressure. A procedure-code CVA program that identifies and prospectively corrects medical necessity and documentation failures in surgical categories directly addresses this trend.</w:t>
      </w:r>
    </w:p>
    <w:p>
      <w:pPr>
        <w:spacing w:after="200" w:before="0"/>
      </w:pPr>
      <w:r>
        <w:t xml:space="preserve"/>
      </w:r>
    </w:p>
    <w:p>
      <w:pPr>
        <w:pStyle w:val="Heading1"/>
        <w:pBdr>
          <w:bottom w:val="single" w:color="00778B" w:sz="6" w:space="4"/>
        </w:pBdr>
        <w:spacing w:after="120" w:before="360"/>
      </w:pPr>
      <w:r>
        <w:rPr>
          <w:rFonts w:ascii="Arial" w:cs="Arial" w:eastAsia="Arial" w:hAnsi="Arial"/>
          <w:b/>
          <w:bCs/>
          <w:color w:val="0D1B4B"/>
          <w:sz w:val="36"/>
          <w:szCs w:val="36"/>
        </w:rPr>
        <w:t xml:space="preserve">4. Proposed Procedure-Code CVA Framework: Five Tiers</w:t>
      </w:r>
    </w:p>
    <w:p>
      <w:pPr>
        <w:spacing w:after="120" w:before="60"/>
      </w:pPr>
      <w:r>
        <w:rPr>
          <w:rFonts w:ascii="Arial" w:cs="Arial" w:eastAsia="Arial" w:hAnsi="Arial"/>
          <w:color w:val="1F2937"/>
          <w:sz w:val="22"/>
          <w:szCs w:val="22"/>
        </w:rPr>
        <w:t xml:space="preserve">The following framework prioritizes procedure categories by three factors: (1) CMS/OIG documented improper payment rates, (2) current Humana spend trajectory, and (3) the availability of objective medical necessity criteria for clinical validation.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800"/>
        <w:gridCol w:w="2760"/>
        <w:gridCol w:w="1200"/>
      </w:tblGrid>
      <w:tr>
        <w:trPr>
          <w:tblHeader/>
        </w:trPr>
        <w:tc>
          <w:tcPr>
            <w:tcW w:type="dxa" w:w="900"/>
            <w:tcBorders>
              <w:top w:val="single" w:color="00778B" w:sz="4"/>
              <w:left w:val="none" w:color="FFFFFF" w:sz="0"/>
              <w:bottom w:val="single" w:color="00778B" w:sz="4"/>
              <w:right w:val="none" w:color="FFFFFF" w:sz="0"/>
            </w:tcBorders>
            <w:shd w:fill="0D1B4B"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700"/>
            <w:tcBorders>
              <w:top w:val="single" w:color="00778B" w:sz="4"/>
              <w:left w:val="none" w:color="FFFFFF" w:sz="0"/>
              <w:bottom w:val="single" w:color="00778B" w:sz="4"/>
              <w:right w:val="none" w:color="FFFFFF" w:sz="0"/>
            </w:tcBorders>
            <w:shd w:fill="0D1B4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800"/>
            <w:tcBorders>
              <w:top w:val="single" w:color="00778B" w:sz="4"/>
              <w:left w:val="none" w:color="FFFFFF" w:sz="0"/>
              <w:bottom w:val="single" w:color="00778B" w:sz="4"/>
              <w:right w:val="none" w:color="FFFFFF" w:sz="0"/>
            </w:tcBorders>
            <w:shd w:fill="0D1B4B" w:val="clear"/>
            <w:tcMar>
              <w:top w:type="dxa" w:w="80"/>
              <w:left w:type="dxa" w:w="120"/>
              <w:bottom w:type="dxa" w:w="80"/>
              <w:right w:type="dxa" w:w="120"/>
            </w:tcMar>
          </w:tcPr>
          <w:p>
            <w:r>
              <w:rPr>
                <w:rFonts w:ascii="Arial" w:cs="Arial" w:eastAsia="Arial" w:hAnsi="Arial"/>
                <w:b/>
                <w:bCs/>
                <w:color w:val="FFFFFF"/>
                <w:sz w:val="20"/>
                <w:szCs w:val="20"/>
              </w:rPr>
              <w:t xml:space="preserve">Key ICD-10-PCS Codes</w:t>
            </w:r>
          </w:p>
        </w:tc>
        <w:tc>
          <w:tcPr>
            <w:tcW w:type="dxa" w:w="2760"/>
            <w:tcBorders>
              <w:top w:val="single" w:color="00778B" w:sz="4"/>
              <w:left w:val="none" w:color="FFFFFF" w:sz="0"/>
              <w:bottom w:val="single" w:color="00778B" w:sz="4"/>
              <w:right w:val="none" w:color="FFFFFF" w:sz="0"/>
            </w:tcBorders>
            <w:shd w:fill="0D1B4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1200"/>
            <w:tcBorders>
              <w:top w:val="single" w:color="00778B" w:sz="4"/>
              <w:left w:val="none" w:color="FFFFFF" w:sz="0"/>
              <w:bottom w:val="single" w:color="00778B" w:sz="4"/>
              <w:right w:val="none" w:color="FFFFFF" w:sz="0"/>
            </w:tcBorders>
            <w:shd w:fill="0D1B4B" w:val="clear"/>
            <w:tcMar>
              <w:top w:type="dxa" w:w="80"/>
              <w:left w:type="dxa" w:w="120"/>
              <w:bottom w:type="dxa" w:w="80"/>
              <w:right w:type="dxa" w:w="120"/>
            </w:tcMar>
          </w:tcPr>
          <w:p>
            <w:r>
              <w:rPr>
                <w:rFonts w:ascii="Arial" w:cs="Arial" w:eastAsia="Arial" w:hAnsi="Arial"/>
                <w:b/>
                <w:bCs/>
                <w:color w:val="FFFFFF"/>
                <w:sz w:val="20"/>
                <w:szCs w:val="20"/>
              </w:rPr>
              <w:t xml:space="preserve">Est. Annual Exposure</w:t>
            </w:r>
          </w:p>
        </w:tc>
      </w:tr>
      <w:tr>
        <w:tc>
          <w:tcPr>
            <w:tcW w:type="dxa" w:w="90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Tier 1
(Immediate)</w:t>
            </w:r>
          </w:p>
        </w:tc>
        <w:tc>
          <w:tcPr>
            <w:tcW w:type="dxa" w:w="170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Total Knee &amp; Hip Arthroplasty</w:t>
            </w:r>
          </w:p>
        </w:tc>
        <w:tc>
          <w:tcPr>
            <w:tcW w:type="dxa" w:w="180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0SRC, 0SR9 series</w:t>
            </w:r>
          </w:p>
        </w:tc>
        <w:tc>
          <w:tcPr>
            <w:tcW w:type="dxa" w:w="276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43.6% improper payment rate; $546.7M projected; 92.8% due to medical necessity (CMS 2024)</w:t>
            </w:r>
          </w:p>
        </w:tc>
        <w:tc>
          <w:tcPr>
            <w:tcW w:type="dxa" w:w="120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$82M+</w:t>
            </w:r>
          </w:p>
        </w:tc>
      </w:tr>
      <w:tr>
        <w:tc>
          <w:tcPr>
            <w:tcW w:type="dxa" w:w="900"/>
            <w:tcBorders>
              <w:top w:val="single" w:color="DDDDDD" w:sz="4"/>
              <w:left w:val="none" w:color="FFFFFF" w:sz="0"/>
              <w:bottom w:val="single" w:color="DDDDDD" w:sz="4"/>
              <w:right w:val="none" w:color="FFFFFF" w:sz="0"/>
            </w:tcBorders>
            <w:shd w:fill="F4F7FA" w:val="clear"/>
            <w:tcMar>
              <w:top w:type="dxa" w:w="80"/>
              <w:left w:type="dxa" w:w="120"/>
              <w:bottom w:type="dxa" w:w="80"/>
              <w:right w:type="dxa" w:w="120"/>
            </w:tcMar>
          </w:tcPr>
          <w:p>
            <w:r>
              <w:rPr>
                <w:rFonts w:ascii="Arial" w:cs="Arial" w:eastAsia="Arial" w:hAnsi="Arial"/>
                <w:color w:val="1F2937"/>
                <w:sz w:val="20"/>
                <w:szCs w:val="20"/>
              </w:rPr>
              <w:t xml:space="preserve">Tier 1
(Immediate)</w:t>
            </w:r>
          </w:p>
        </w:tc>
        <w:tc>
          <w:tcPr>
            <w:tcW w:type="dxa" w:w="1700"/>
            <w:tcBorders>
              <w:top w:val="single" w:color="DDDDDD" w:sz="4"/>
              <w:left w:val="none" w:color="FFFFFF" w:sz="0"/>
              <w:bottom w:val="single" w:color="DDDDDD" w:sz="4"/>
              <w:right w:val="none" w:color="FFFFFF" w:sz="0"/>
            </w:tcBorders>
            <w:shd w:fill="F4F7FA" w:val="clear"/>
            <w:tcMar>
              <w:top w:type="dxa" w:w="80"/>
              <w:left w:type="dxa" w:w="120"/>
              <w:bottom w:type="dxa" w:w="80"/>
              <w:right w:type="dxa" w:w="120"/>
            </w:tcMar>
          </w:tcPr>
          <w:p>
            <w:r>
              <w:rPr>
                <w:rFonts w:ascii="Arial" w:cs="Arial" w:eastAsia="Arial" w:hAnsi="Arial"/>
                <w:color w:val="1F2937"/>
                <w:sz w:val="20"/>
                <w:szCs w:val="20"/>
              </w:rPr>
              <w:t xml:space="preserve">Spine Fusion</w:t>
            </w:r>
          </w:p>
        </w:tc>
        <w:tc>
          <w:tcPr>
            <w:tcW w:type="dxa" w:w="1800"/>
            <w:tcBorders>
              <w:top w:val="single" w:color="DDDDDD" w:sz="4"/>
              <w:left w:val="none" w:color="FFFFFF" w:sz="0"/>
              <w:bottom w:val="single" w:color="DDDDDD" w:sz="4"/>
              <w:right w:val="none" w:color="FFFFFF" w:sz="0"/>
            </w:tcBorders>
            <w:shd w:fill="F4F7FA" w:val="clear"/>
            <w:tcMar>
              <w:top w:type="dxa" w:w="80"/>
              <w:left w:type="dxa" w:w="120"/>
              <w:bottom w:type="dxa" w:w="80"/>
              <w:right w:type="dxa" w:w="120"/>
            </w:tcMar>
          </w:tcPr>
          <w:p>
            <w:r>
              <w:rPr>
                <w:rFonts w:ascii="Arial" w:cs="Arial" w:eastAsia="Arial" w:hAnsi="Arial"/>
                <w:color w:val="1F2937"/>
                <w:sz w:val="20"/>
                <w:szCs w:val="20"/>
              </w:rPr>
              <w:t xml:space="preserve">0SG, 0RG series</w:t>
            </w:r>
          </w:p>
        </w:tc>
        <w:tc>
          <w:tcPr>
            <w:tcW w:type="dxa" w:w="2760"/>
            <w:tcBorders>
              <w:top w:val="single" w:color="DDDDDD" w:sz="4"/>
              <w:left w:val="none" w:color="FFFFFF" w:sz="0"/>
              <w:bottom w:val="single" w:color="DDDDDD" w:sz="4"/>
              <w:right w:val="none" w:color="FFFFFF" w:sz="0"/>
            </w:tcBorders>
            <w:shd w:fill="F4F7FA" w:val="clear"/>
            <w:tcMar>
              <w:top w:type="dxa" w:w="80"/>
              <w:left w:type="dxa" w:w="120"/>
              <w:bottom w:type="dxa" w:w="80"/>
              <w:right w:type="dxa" w:w="120"/>
            </w:tcMar>
          </w:tcPr>
          <w:p>
            <w:r>
              <w:rPr>
                <w:rFonts w:ascii="Arial" w:cs="Arial" w:eastAsia="Arial" w:hAnsi="Arial"/>
                <w:color w:val="1F2937"/>
                <w:sz w:val="20"/>
                <w:szCs w:val="20"/>
              </w:rPr>
              <w:t xml:space="preserve">High DRG complexity; OIG toolkit flags post-procedural DX manipulation; rapid volume growth in MA population</w:t>
            </w:r>
          </w:p>
        </w:tc>
        <w:tc>
          <w:tcPr>
            <w:tcW w:type="dxa" w:w="1200"/>
            <w:tcBorders>
              <w:top w:val="single" w:color="DDDDDD" w:sz="4"/>
              <w:left w:val="none" w:color="FFFFFF" w:sz="0"/>
              <w:bottom w:val="single" w:color="DDDDDD" w:sz="4"/>
              <w:right w:val="none" w:color="FFFFFF" w:sz="0"/>
            </w:tcBorders>
            <w:shd w:fill="F4F7FA" w:val="clear"/>
            <w:tcMar>
              <w:top w:type="dxa" w:w="80"/>
              <w:left w:type="dxa" w:w="120"/>
              <w:bottom w:type="dxa" w:w="80"/>
              <w:right w:type="dxa" w:w="120"/>
            </w:tcMar>
          </w:tcPr>
          <w:p>
            <w:r>
              <w:rPr>
                <w:rFonts w:ascii="Arial" w:cs="Arial" w:eastAsia="Arial" w:hAnsi="Arial"/>
                <w:color w:val="1F2937"/>
                <w:sz w:val="20"/>
                <w:szCs w:val="20"/>
              </w:rPr>
              <w:t xml:space="preserve">$55M+</w:t>
            </w:r>
          </w:p>
        </w:tc>
      </w:tr>
      <w:tr>
        <w:tc>
          <w:tcPr>
            <w:tcW w:type="dxa" w:w="90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Tier 2
(90 Days)</w:t>
            </w:r>
          </w:p>
        </w:tc>
        <w:tc>
          <w:tcPr>
            <w:tcW w:type="dxa" w:w="170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Cardiac: CABG, TAVR, Valve Replacement, PCI</w:t>
            </w:r>
          </w:p>
        </w:tc>
        <w:tc>
          <w:tcPr>
            <w:tcW w:type="dxa" w:w="180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021, 02R, 02U series</w:t>
            </w:r>
          </w:p>
        </w:tc>
        <w:tc>
          <w:tcPr>
            <w:tcW w:type="dxa" w:w="276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 DRG; cardiac upcoding flagged in OIG audits; opportunity for implant-type code accuracy review</w:t>
            </w:r>
          </w:p>
        </w:tc>
        <w:tc>
          <w:tcPr>
            <w:tcW w:type="dxa" w:w="120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$38M+</w:t>
            </w:r>
          </w:p>
        </w:tc>
      </w:tr>
      <w:tr>
        <w:tc>
          <w:tcPr>
            <w:tcW w:type="dxa" w:w="900"/>
            <w:tcBorders>
              <w:top w:val="single" w:color="DDDDDD" w:sz="4"/>
              <w:left w:val="none" w:color="FFFFFF" w:sz="0"/>
              <w:bottom w:val="single" w:color="DDDDDD" w:sz="4"/>
              <w:right w:val="none" w:color="FFFFFF" w:sz="0"/>
            </w:tcBorders>
            <w:shd w:fill="F4F7FA" w:val="clear"/>
            <w:tcMar>
              <w:top w:type="dxa" w:w="80"/>
              <w:left w:type="dxa" w:w="120"/>
              <w:bottom w:type="dxa" w:w="80"/>
              <w:right w:type="dxa" w:w="120"/>
            </w:tcMar>
          </w:tcPr>
          <w:p>
            <w:r>
              <w:rPr>
                <w:rFonts w:ascii="Arial" w:cs="Arial" w:eastAsia="Arial" w:hAnsi="Arial"/>
                <w:color w:val="1F2937"/>
                <w:sz w:val="20"/>
                <w:szCs w:val="20"/>
              </w:rPr>
              <w:t xml:space="preserve">Tier 3
(6 Months)</w:t>
            </w:r>
          </w:p>
        </w:tc>
        <w:tc>
          <w:tcPr>
            <w:tcW w:type="dxa" w:w="1700"/>
            <w:tcBorders>
              <w:top w:val="single" w:color="DDDDDD" w:sz="4"/>
              <w:left w:val="none" w:color="FFFFFF" w:sz="0"/>
              <w:bottom w:val="single" w:color="DDDDDD" w:sz="4"/>
              <w:right w:val="none" w:color="FFFFFF" w:sz="0"/>
            </w:tcBorders>
            <w:shd w:fill="F4F7FA" w:val="clear"/>
            <w:tcMar>
              <w:top w:type="dxa" w:w="80"/>
              <w:left w:type="dxa" w:w="120"/>
              <w:bottom w:type="dxa" w:w="80"/>
              <w:right w:type="dxa" w:w="120"/>
            </w:tcMar>
          </w:tcPr>
          <w:p>
            <w:r>
              <w:rPr>
                <w:rFonts w:ascii="Arial" w:cs="Arial" w:eastAsia="Arial" w:hAnsi="Arial"/>
                <w:color w:val="1F2937"/>
                <w:sz w:val="20"/>
                <w:szCs w:val="20"/>
              </w:rPr>
              <w:t xml:space="preserve">Bariatric &amp; Robotic-Assisted Surgery</w:t>
            </w:r>
          </w:p>
        </w:tc>
        <w:tc>
          <w:tcPr>
            <w:tcW w:type="dxa" w:w="1800"/>
            <w:tcBorders>
              <w:top w:val="single" w:color="DDDDDD" w:sz="4"/>
              <w:left w:val="none" w:color="FFFFFF" w:sz="0"/>
              <w:bottom w:val="single" w:color="DDDDDD" w:sz="4"/>
              <w:right w:val="none" w:color="FFFFFF" w:sz="0"/>
            </w:tcBorders>
            <w:shd w:fill="F4F7FA" w:val="clear"/>
            <w:tcMar>
              <w:top w:type="dxa" w:w="80"/>
              <w:left w:type="dxa" w:w="120"/>
              <w:bottom w:type="dxa" w:w="80"/>
              <w:right w:type="dxa" w:w="120"/>
            </w:tcMar>
          </w:tcPr>
          <w:p>
            <w:r>
              <w:rPr>
                <w:rFonts w:ascii="Arial" w:cs="Arial" w:eastAsia="Arial" w:hAnsi="Arial"/>
                <w:color w:val="1F2937"/>
                <w:sz w:val="20"/>
                <w:szCs w:val="20"/>
              </w:rPr>
              <w:t xml:space="preserve">0DB, 0D1 series + New Tech section</w:t>
            </w:r>
          </w:p>
        </w:tc>
        <w:tc>
          <w:tcPr>
            <w:tcW w:type="dxa" w:w="2760"/>
            <w:tcBorders>
              <w:top w:val="single" w:color="DDDDDD" w:sz="4"/>
              <w:left w:val="none" w:color="FFFFFF" w:sz="0"/>
              <w:bottom w:val="single" w:color="DDDDDD" w:sz="4"/>
              <w:right w:val="none" w:color="FFFFFF" w:sz="0"/>
            </w:tcBorders>
            <w:shd w:fill="F4F7FA" w:val="clear"/>
            <w:tcMar>
              <w:top w:type="dxa" w:w="80"/>
              <w:left w:type="dxa" w:w="120"/>
              <w:bottom w:type="dxa" w:w="80"/>
              <w:right w:type="dxa" w:w="120"/>
            </w:tcMar>
          </w:tcPr>
          <w:p>
            <w:r>
              <w:rPr>
                <w:rFonts w:ascii="Arial" w:cs="Arial" w:eastAsia="Arial" w:hAnsi="Arial"/>
                <w:color w:val="1F2937"/>
                <w:sz w:val="20"/>
                <w:szCs w:val="20"/>
              </w:rPr>
              <w:t xml:space="preserve">Rapid volume growth; robotic-assistance codes trigger DRG shifts; new technology codes prone to misuse</w:t>
            </w:r>
          </w:p>
        </w:tc>
        <w:tc>
          <w:tcPr>
            <w:tcW w:type="dxa" w:w="1200"/>
            <w:tcBorders>
              <w:top w:val="single" w:color="DDDDDD" w:sz="4"/>
              <w:left w:val="none" w:color="FFFFFF" w:sz="0"/>
              <w:bottom w:val="single" w:color="DDDDDD" w:sz="4"/>
              <w:right w:val="none" w:color="FFFFFF" w:sz="0"/>
            </w:tcBorders>
            <w:shd w:fill="F4F7FA" w:val="clear"/>
            <w:tcMar>
              <w:top w:type="dxa" w:w="80"/>
              <w:left w:type="dxa" w:w="120"/>
              <w:bottom w:type="dxa" w:w="80"/>
              <w:right w:type="dxa" w:w="120"/>
            </w:tcMar>
          </w:tcPr>
          <w:p>
            <w:r>
              <w:rPr>
                <w:rFonts w:ascii="Arial" w:cs="Arial" w:eastAsia="Arial" w:hAnsi="Arial"/>
                <w:color w:val="1F2937"/>
                <w:sz w:val="20"/>
                <w:szCs w:val="20"/>
              </w:rPr>
              <w:t xml:space="preserve">$14M+</w:t>
            </w:r>
          </w:p>
        </w:tc>
      </w:tr>
      <w:tr>
        <w:tc>
          <w:tcPr>
            <w:tcW w:type="dxa" w:w="90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Tier 4
(12 Months)</w:t>
            </w:r>
          </w:p>
        </w:tc>
        <w:tc>
          <w:tcPr>
            <w:tcW w:type="dxa" w:w="170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Neurostimulator Implantation</w:t>
            </w:r>
          </w:p>
        </w:tc>
        <w:tc>
          <w:tcPr>
            <w:tcW w:type="dxa" w:w="180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0HU, 00H series</w:t>
            </w:r>
          </w:p>
        </w:tc>
        <w:tc>
          <w:tcPr>
            <w:tcW w:type="dxa" w:w="276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OIG March 2026 Work Plan explicitly added inpatient neurostimulator implants as new audit target [OIG Work Plan Item, March 16, 2026]</w:t>
            </w:r>
          </w:p>
        </w:tc>
        <w:tc>
          <w:tcPr>
            <w:tcW w:type="dxa" w:w="120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$9M+</w:t>
            </w:r>
          </w:p>
        </w:tc>
      </w:tr>
      <w:tr>
        <w:tc>
          <w:tcPr>
            <w:tcW w:type="dxa" w:w="900"/>
            <w:tcBorders>
              <w:top w:val="single" w:color="DDDDDD" w:sz="4"/>
              <w:left w:val="none" w:color="FFFFFF" w:sz="0"/>
              <w:bottom w:val="single" w:color="DDDDDD" w:sz="4"/>
              <w:right w:val="none" w:color="FFFFFF" w:sz="0"/>
            </w:tcBorders>
            <w:shd w:fill="F4F7FA" w:val="clear"/>
            <w:tcMar>
              <w:top w:type="dxa" w:w="80"/>
              <w:left w:type="dxa" w:w="120"/>
              <w:bottom w:type="dxa" w:w="80"/>
              <w:right w:type="dxa" w:w="120"/>
            </w:tcMar>
          </w:tcPr>
          <w:p>
            <w:r>
              <w:rPr>
                <w:rFonts w:ascii="Arial" w:cs="Arial" w:eastAsia="Arial" w:hAnsi="Arial"/>
                <w:color w:val="1F2937"/>
                <w:sz w:val="20"/>
                <w:szCs w:val="20"/>
              </w:rPr>
              <w:t xml:space="preserve">Tier 5
(Ongoing)</w:t>
            </w:r>
          </w:p>
        </w:tc>
        <w:tc>
          <w:tcPr>
            <w:tcW w:type="dxa" w:w="1700"/>
            <w:tcBorders>
              <w:top w:val="single" w:color="DDDDDD" w:sz="4"/>
              <w:left w:val="none" w:color="FFFFFF" w:sz="0"/>
              <w:bottom w:val="single" w:color="DDDDDD" w:sz="4"/>
              <w:right w:val="none" w:color="FFFFFF" w:sz="0"/>
            </w:tcBorders>
            <w:shd w:fill="F4F7FA" w:val="clear"/>
            <w:tcMar>
              <w:top w:type="dxa" w:w="80"/>
              <w:left w:type="dxa" w:w="120"/>
              <w:bottom w:type="dxa" w:w="80"/>
              <w:right w:type="dxa" w:w="120"/>
            </w:tcMar>
          </w:tcPr>
          <w:p>
            <w:r>
              <w:rPr>
                <w:rFonts w:ascii="Arial" w:cs="Arial" w:eastAsia="Arial" w:hAnsi="Arial"/>
                <w:color w:val="1F2937"/>
                <w:sz w:val="20"/>
                <w:szCs w:val="20"/>
              </w:rPr>
              <w:t xml:space="preserve">ED Procedure Code / Site-of-Service Mismatches</w:t>
            </w:r>
          </w:p>
        </w:tc>
        <w:tc>
          <w:tcPr>
            <w:tcW w:type="dxa" w:w="1800"/>
            <w:tcBorders>
              <w:top w:val="single" w:color="DDDDDD" w:sz="4"/>
              <w:left w:val="none" w:color="FFFFFF" w:sz="0"/>
              <w:bottom w:val="single" w:color="DDDDDD" w:sz="4"/>
              <w:right w:val="none" w:color="FFFFFF" w:sz="0"/>
            </w:tcBorders>
            <w:shd w:fill="F4F7FA" w:val="clear"/>
            <w:tcMar>
              <w:top w:type="dxa" w:w="80"/>
              <w:left w:type="dxa" w:w="120"/>
              <w:bottom w:type="dxa" w:w="80"/>
              <w:right w:type="dxa" w:w="120"/>
            </w:tcMar>
          </w:tcPr>
          <w:p>
            <w:r>
              <w:rPr>
                <w:rFonts w:ascii="Arial" w:cs="Arial" w:eastAsia="Arial" w:hAnsi="Arial"/>
                <w:color w:val="1F2937"/>
                <w:sz w:val="20"/>
                <w:szCs w:val="20"/>
              </w:rPr>
              <w:t xml:space="preserve">99281-99285 equivalents</w:t>
            </w:r>
          </w:p>
        </w:tc>
        <w:tc>
          <w:tcPr>
            <w:tcW w:type="dxa" w:w="2760"/>
            <w:tcBorders>
              <w:top w:val="single" w:color="DDDDDD" w:sz="4"/>
              <w:left w:val="none" w:color="FFFFFF" w:sz="0"/>
              <w:bottom w:val="single" w:color="DDDDDD" w:sz="4"/>
              <w:right w:val="none" w:color="FFFFFF" w:sz="0"/>
            </w:tcBorders>
            <w:shd w:fill="F4F7FA" w:val="clear"/>
            <w:tcMar>
              <w:top w:type="dxa" w:w="80"/>
              <w:left w:type="dxa" w:w="120"/>
              <w:bottom w:type="dxa" w:w="80"/>
              <w:right w:type="dxa" w:w="120"/>
            </w:tcMar>
          </w:tcPr>
          <w:p>
            <w:r>
              <w:rPr>
                <w:rFonts w:ascii="Arial" w:cs="Arial" w:eastAsia="Arial" w:hAnsi="Arial"/>
                <w:color w:val="1F2937"/>
                <w:sz w:val="20"/>
                <w:szCs w:val="20"/>
              </w:rPr>
              <w:t xml:space="preserve">OIG 2026 found $15M+ in improper payments from ED code/site-of-service mismatches [OIG Report A-07-23-05139, 2026]</w:t>
            </w:r>
          </w:p>
        </w:tc>
        <w:tc>
          <w:tcPr>
            <w:tcW w:type="dxa" w:w="1200"/>
            <w:tcBorders>
              <w:top w:val="single" w:color="DDDDDD" w:sz="4"/>
              <w:left w:val="none" w:color="FFFFFF" w:sz="0"/>
              <w:bottom w:val="single" w:color="DDDDDD" w:sz="4"/>
              <w:right w:val="none" w:color="FFFFFF" w:sz="0"/>
            </w:tcBorders>
            <w:shd w:fill="F4F7FA" w:val="clear"/>
            <w:tcMar>
              <w:top w:type="dxa" w:w="80"/>
              <w:left w:type="dxa" w:w="120"/>
              <w:bottom w:type="dxa" w:w="80"/>
              <w:right w:type="dxa" w:w="120"/>
            </w:tcMar>
          </w:tcPr>
          <w:p>
            <w:r>
              <w:rPr>
                <w:rFonts w:ascii="Arial" w:cs="Arial" w:eastAsia="Arial" w:hAnsi="Arial"/>
                <w:color w:val="1F2937"/>
                <w:sz w:val="20"/>
                <w:szCs w:val="20"/>
              </w:rPr>
              <w:t xml:space="preserve">$15M identified</w:t>
            </w:r>
          </w:p>
        </w:tc>
      </w:tr>
    </w:tbl>
    <w:p>
      <w:pPr>
        <w:spacing w:after="200" w:before="0"/>
      </w:pPr>
      <w:r>
        <w:t xml:space="preserve"/>
      </w:r>
    </w:p>
    <w:p>
      <w:pPr>
        <w:pStyle w:val="Heading1"/>
        <w:pBdr>
          <w:bottom w:val="single" w:color="00778B" w:sz="6" w:space="4"/>
        </w:pBdr>
        <w:spacing w:after="120" w:before="360"/>
      </w:pPr>
      <w:r>
        <w:rPr>
          <w:rFonts w:ascii="Arial" w:cs="Arial" w:eastAsia="Arial" w:hAnsi="Arial"/>
          <w:b/>
          <w:bCs/>
          <w:color w:val="0D1B4B"/>
          <w:sz w:val="36"/>
          <w:szCs w:val="36"/>
        </w:rPr>
        <w:t xml:space="preserve">5. CMS Approval Pathway: Does Humana Need Permission?</w:t>
      </w:r>
    </w:p>
    <w:p>
      <w:pPr>
        <w:spacing w:after="120" w:before="60"/>
      </w:pPr>
      <w:r>
        <w:rPr>
          <w:rFonts w:ascii="Arial" w:cs="Arial" w:eastAsia="Arial" w:hAnsi="Arial"/>
          <w:color w:val="1F2937"/>
          <w:sz w:val="22"/>
          <w:szCs w:val="22"/>
        </w:rPr>
        <w:t xml:space="preserve">A critical question for the Head of Operations: does expanding CVA to procedure codes require CMS approval? The answer is structured across three tracks.</w:t>
      </w:r>
    </w:p>
    <w:p>
      <w:pPr>
        <w:spacing w:after="120" w:before="0"/>
      </w:pPr>
      <w:r>
        <w:t xml:space="preserve"/>
      </w:r>
    </w:p>
    <w:p>
      <w:pPr>
        <w:pStyle w:val="Heading2"/>
        <w:spacing w:after="80" w:before="280"/>
      </w:pPr>
      <w:r>
        <w:rPr>
          <w:rFonts w:ascii="Arial" w:cs="Arial" w:eastAsia="Arial" w:hAnsi="Arial"/>
          <w:b/>
          <w:bCs/>
          <w:color w:val="00778B"/>
          <w:sz w:val="28"/>
          <w:szCs w:val="28"/>
        </w:rPr>
        <w:t xml:space="preserve">Track 1 — Immediate Action (No CMS Approval Required)</w:t>
      </w:r>
    </w:p>
    <w:p>
      <w:pPr>
        <w:spacing w:after="120" w:before="60"/>
      </w:pPr>
      <w:r>
        <w:rPr>
          <w:rFonts w:ascii="Arial" w:cs="Arial" w:eastAsia="Arial" w:hAnsi="Arial"/>
          <w:color w:val="1F2937"/>
          <w:sz w:val="22"/>
          <w:szCs w:val="22"/>
        </w:rPr>
        <w:t xml:space="preserve">Under 42 CFR §422.503(b)(4)(vi), MA Organizations are required to maintain a compliance program aimed at preventing, detecting, and correcting fraud, waste, and abuse. OIG's February 2026 ICPG explicitly recommends that MAOs implement end-to-end claims controls, encounter data validation, NLP-level anomaly detection, and rapid overpayment identification and refund processes.</w:t>
      </w:r>
      <w:r>
        <w:rPr>
          <w:rFonts w:ascii="Arial" w:cs="Arial" w:eastAsia="Arial" w:hAnsi="Arial"/>
          <w:color w:val="64748B"/>
          <w:sz w:val="18"/>
          <w:szCs w:val="18"/>
          <w:vertAlign w:val="superscript"/>
        </w:rPr>
        <w:t xml:space="preserve"> [42 CFR §422.503(b)(4)(vi) | OIG ICPG February 2026 — cited in Hinshaw &amp; Culbertson Alert]</w:t>
      </w:r>
    </w:p>
    <w:p>
      <w:pPr>
        <w:spacing w:after="80" w:before="0"/>
      </w:pPr>
      <w:r>
        <w:t xml:space="preserve"/>
      </w:r>
    </w:p>
    <w:p>
      <w:pPr>
        <w:spacing w:after="120" w:before="60"/>
      </w:pPr>
      <w:r>
        <w:rPr>
          <w:rFonts w:ascii="Arial" w:cs="Arial" w:eastAsia="Arial" w:hAnsi="Arial"/>
          <w:color w:val="1F2937"/>
          <w:sz w:val="22"/>
          <w:szCs w:val="22"/>
        </w:rPr>
        <w:t xml:space="preserve">Procedure-code CVA conducted as an internal post-payment clinical review program falls squarely within Humana's existing MA contract authority and OIG-recommended compliance obligations. No new CMS regulation or approval is required to begin. Humana can launch a Tier 1 pilot within 90 days under existing authority.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B8860B" w:val="clear"/>
            <w:vAlign w:val="top"/>
          </w:tcPr>
          <w:p/>
        </w:tc>
        <w:tc>
          <w:tcPr>
            <w:tcW w:type="dxa" w:w="9120"/>
            <w:tcBorders>
              <w:top w:val="single" w:color="B8860B" w:sz="4"/>
              <w:left w:val="none" w:color="FFFFFF" w:sz="0"/>
              <w:bottom w:val="single" w:color="B8860B" w:sz="4"/>
              <w:right w:val="single" w:color="B8860B" w:sz="4"/>
            </w:tcBorders>
            <w:shd w:fill="F8FAFC" w:val="clear"/>
            <w:tcMar>
              <w:top w:type="dxa" w:w="120"/>
              <w:left w:type="dxa" w:w="180"/>
              <w:bottom w:type="dxa" w:w="120"/>
              <w:right w:type="dxa" w:w="120"/>
            </w:tcMar>
          </w:tcPr>
          <w:p>
            <w:pPr>
              <w:spacing w:after="80"/>
            </w:pPr>
            <w:r>
              <w:rPr>
                <w:rFonts w:ascii="Arial" w:cs="Arial" w:eastAsia="Arial" w:hAnsi="Arial"/>
                <w:b/>
                <w:bCs/>
                <w:color w:val="B8860B"/>
                <w:sz w:val="20"/>
                <w:szCs w:val="20"/>
              </w:rPr>
              <w:t xml:space="preserve">IMPORTANT CONSTRAINT</w:t>
            </w:r>
          </w:p>
          <w:p>
            <w:pPr>
              <w:spacing w:after="0"/>
            </w:pPr>
            <w:r>
              <w:rPr>
                <w:rFonts w:ascii="Arial" w:cs="Arial" w:eastAsia="Arial" w:hAnsi="Arial"/>
                <w:color w:val="1F2937"/>
                <w:sz w:val="22"/>
                <w:szCs w:val="22"/>
              </w:rPr>
              <w:t xml:space="preserve">CMS's February 2024 HPMS memo cautioned against utilization management decisions based solely on artificial intelligence. Any procedure CVA must involve individualized physician review. This is not a limitation — it is exactly what a clinical validation program delivers. Document that all determinations involve qualified clinician judgment.</w:t>
            </w:r>
          </w:p>
        </w:tc>
      </w:tr>
    </w:tbl>
    <w:p>
      <w:pPr>
        <w:spacing w:after="160" w:before="0"/>
      </w:pPr>
      <w:r>
        <w:t xml:space="preserve"/>
      </w:r>
    </w:p>
    <w:p>
      <w:pPr>
        <w:pStyle w:val="Heading2"/>
        <w:spacing w:after="80" w:before="280"/>
      </w:pPr>
      <w:r>
        <w:rPr>
          <w:rFonts w:ascii="Arial" w:cs="Arial" w:eastAsia="Arial" w:hAnsi="Arial"/>
          <w:b/>
          <w:bCs/>
          <w:color w:val="00778B"/>
          <w:sz w:val="28"/>
          <w:szCs w:val="28"/>
        </w:rPr>
        <w:t xml:space="preserve">Track 2 — CMS Alignment via RADV (6–12 Months)</w:t>
      </w:r>
    </w:p>
    <w:p>
      <w:pPr>
        <w:spacing w:after="120" w:before="60"/>
      </w:pPr>
      <w:r>
        <w:rPr>
          <w:rFonts w:ascii="Arial" w:cs="Arial" w:eastAsia="Arial" w:hAnsi="Arial"/>
          <w:color w:val="1F2937"/>
          <w:sz w:val="22"/>
          <w:szCs w:val="22"/>
        </w:rPr>
        <w:t xml:space="preserve">CMS's audit expansion explicitly targets higher-cost procedures more likely to be prone to billing errors or over-billing. CMS plans to increase audits from approximately 60 MA plans per year to all eligible MA plans, with a particular focus on procedures generating the highest improper payment volumes.</w:t>
      </w:r>
      <w:r>
        <w:rPr>
          <w:rFonts w:ascii="Arial" w:cs="Arial" w:eastAsia="Arial" w:hAnsi="Arial"/>
          <w:color w:val="64748B"/>
          <w:sz w:val="18"/>
          <w:szCs w:val="18"/>
          <w:vertAlign w:val="superscript"/>
        </w:rPr>
        <w:t xml:space="preserve"> [StreamlineMD — CMS MA Audit Expansion Analysis, June 2025]</w:t>
      </w:r>
    </w:p>
    <w:p>
      <w:pPr>
        <w:spacing w:after="80" w:before="0"/>
      </w:pPr>
      <w:r>
        <w:t xml:space="preserve"/>
      </w:r>
    </w:p>
    <w:p>
      <w:pPr>
        <w:spacing w:after="120" w:before="60"/>
      </w:pPr>
      <w:r>
        <w:rPr>
          <w:rFonts w:ascii="Arial" w:cs="Arial" w:eastAsia="Arial" w:hAnsi="Arial"/>
          <w:color w:val="1F2937"/>
          <w:sz w:val="22"/>
          <w:szCs w:val="22"/>
        </w:rPr>
        <w:t xml:space="preserve">Humana should engage CMS through the annual MA Rate Notice comment process to have proactive procedure-code CVA findings recognized within RADV settlement calculations. This positions Humana's program as a good-faith compliance investment and may create a mechanism to offset RADV recovery demands against demonstrated proactive audit activity.</w:t>
      </w:r>
    </w:p>
    <w:p>
      <w:pPr>
        <w:spacing w:after="120" w:before="0"/>
      </w:pPr>
      <w:r>
        <w:t xml:space="preserve"/>
      </w:r>
    </w:p>
    <w:p>
      <w:pPr>
        <w:pStyle w:val="Heading2"/>
        <w:spacing w:after="80" w:before="280"/>
      </w:pPr>
      <w:r>
        <w:rPr>
          <w:rFonts w:ascii="Arial" w:cs="Arial" w:eastAsia="Arial" w:hAnsi="Arial"/>
          <w:b/>
          <w:bCs/>
          <w:color w:val="00778B"/>
          <w:sz w:val="28"/>
          <w:szCs w:val="28"/>
        </w:rPr>
        <w:t xml:space="preserve">Track 3 — Formal Policy Advocacy (12–24 Months)</w:t>
      </w:r>
    </w:p>
    <w:p>
      <w:pPr>
        <w:spacing w:after="120" w:before="60"/>
      </w:pPr>
      <w:r>
        <w:rPr>
          <w:rFonts w:ascii="Arial" w:cs="Arial" w:eastAsia="Arial" w:hAnsi="Arial"/>
          <w:color w:val="1F2937"/>
          <w:sz w:val="22"/>
          <w:szCs w:val="22"/>
        </w:rPr>
        <w:t xml:space="preserve">In September 2025, a federal district court vacated CMS's 2023 RADV Final Rule extrapolation provisions. While the fundamental RADV audit process continues, this ruling created a window in which the extrapolation methodology is under appeal — providing an opportunity to advocate for a balanced framework that formally rewards proactive CVA programs.</w:t>
      </w:r>
      <w:r>
        <w:rPr>
          <w:rFonts w:ascii="Arial" w:cs="Arial" w:eastAsia="Arial" w:hAnsi="Arial"/>
          <w:color w:val="64748B"/>
          <w:sz w:val="18"/>
          <w:szCs w:val="18"/>
          <w:vertAlign w:val="superscript"/>
        </w:rPr>
        <w:t xml:space="preserve"> [RADV 2026 Analysis — RaapidInc, February 2026]</w:t>
      </w:r>
    </w:p>
    <w:p>
      <w:pPr>
        <w:spacing w:after="80" w:before="0"/>
      </w:pPr>
      <w:r>
        <w:t xml:space="preserve"/>
      </w:r>
    </w:p>
    <w:p>
      <w:pPr>
        <w:spacing w:after="120" w:before="60"/>
      </w:pPr>
      <w:r>
        <w:rPr>
          <w:rFonts w:ascii="Arial" w:cs="Arial" w:eastAsia="Arial" w:hAnsi="Arial"/>
          <w:color w:val="1F2937"/>
          <w:sz w:val="22"/>
          <w:szCs w:val="22"/>
        </w:rPr>
        <w:t xml:space="preserve">Humana should work through AHIP to advocate for a hybrid diagnosis-plus-procedure validation standard in any revised RADV Final Rule. Plans that voluntarily identify and remediate procedure-level improper payments should receive formal recognition in CMS enforcement calculations.</w:t>
      </w:r>
    </w:p>
    <w:p>
      <w:pPr>
        <w:spacing w:after="200" w:before="0"/>
      </w:pPr>
      <w:r>
        <w:t xml:space="preserve"/>
      </w:r>
    </w:p>
    <w:p>
      <w:pPr>
        <w:pStyle w:val="Heading1"/>
        <w:pBdr>
          <w:bottom w:val="single" w:color="00778B" w:sz="6" w:space="4"/>
        </w:pBdr>
        <w:spacing w:after="120" w:before="360"/>
      </w:pPr>
      <w:r>
        <w:rPr>
          <w:rFonts w:ascii="Arial" w:cs="Arial" w:eastAsia="Arial" w:hAnsi="Arial"/>
          <w:b/>
          <w:bCs/>
          <w:color w:val="0D1B4B"/>
          <w:sz w:val="36"/>
          <w:szCs w:val="36"/>
        </w:rPr>
        <w:t xml:space="preserve">6. Stress Test: Where Could This Strategy Fail?</w:t>
      </w:r>
    </w:p>
    <w:p>
      <w:pPr>
        <w:spacing w:after="120" w:before="60"/>
      </w:pPr>
      <w:r>
        <w:rPr>
          <w:rFonts w:ascii="Arial" w:cs="Arial" w:eastAsia="Arial" w:hAnsi="Arial"/>
          <w:color w:val="1F2937"/>
          <w:sz w:val="22"/>
          <w:szCs w:val="22"/>
        </w:rPr>
        <w:t xml:space="preserve">No proposal should reach the Head of Operations without an honest accounting of its failure modes. The following five risks are real, not hypothetical, and each carries a defined mitigation.</w:t>
      </w:r>
    </w:p>
    <w:p>
      <w:pPr>
        <w:spacing w:after="120" w:before="0"/>
      </w:pPr>
      <w:r>
        <w:t xml:space="preserve"/>
      </w:r>
    </w:p>
    <w:p>
      <w:pPr>
        <w:pStyle w:val="Heading2"/>
        <w:spacing w:after="80" w:before="280"/>
      </w:pPr>
      <w:r>
        <w:rPr>
          <w:rFonts w:ascii="Arial" w:cs="Arial" w:eastAsia="Arial" w:hAnsi="Arial"/>
          <w:b/>
          <w:bCs/>
          <w:color w:val="00778B"/>
          <w:sz w:val="28"/>
          <w:szCs w:val="28"/>
        </w:rPr>
        <w:t xml:space="preserve">Risk 1: Network Disruption — HIGH Probability</w:t>
      </w:r>
    </w:p>
    <w:p>
      <w:pPr>
        <w:spacing w:after="120" w:before="60"/>
      </w:pPr>
      <w:r>
        <w:rPr>
          <w:rFonts w:ascii="Arial" w:cs="Arial" w:eastAsia="Arial" w:hAnsi="Arial"/>
          <w:color w:val="1F2937"/>
          <w:sz w:val="22"/>
          <w:szCs w:val="22"/>
        </w:rPr>
        <w:t xml:space="preserve">MA plan contracts may include claw-back clauses allowing plans to recover payments from providers if CMS identifies overpayments. Many MA plans have already begun requesting records from facilities in preparation for or to respond to audits — increasing documentation pressure on providers who must respond to higher record request volumes with tighter turnaround times.</w:t>
      </w:r>
      <w:r>
        <w:rPr>
          <w:rFonts w:ascii="Arial" w:cs="Arial" w:eastAsia="Arial" w:hAnsi="Arial"/>
          <w:color w:val="64748B"/>
          <w:sz w:val="18"/>
          <w:szCs w:val="18"/>
          <w:vertAlign w:val="superscript"/>
        </w:rPr>
        <w:t xml:space="preserve"> [AHCA Analysis — CMS RADV Program Expansion, August 2025]</w:t>
      </w:r>
    </w:p>
    <w:p>
      <w:pPr>
        <w:spacing w:after="80" w:before="0"/>
      </w:pPr>
      <w:r>
        <w:t xml:space="preserve"/>
      </w:r>
    </w:p>
    <w:p>
      <w:pPr>
        <w:spacing w:after="120" w:before="60"/>
      </w:pPr>
      <w:r>
        <w:rPr>
          <w:rFonts w:ascii="Arial" w:cs="Arial" w:eastAsia="Arial" w:hAnsi="Arial"/>
          <w:b/>
          <w:bCs/>
          <w:color w:val="C0392B"/>
          <w:sz w:val="22"/>
          <w:szCs w:val="22"/>
        </w:rPr>
        <w:t xml:space="preserve">Impact: </w:t>
      </w:r>
      <w:r>
        <w:rPr>
          <w:rFonts w:ascii="Arial" w:cs="Arial" w:eastAsia="Arial" w:hAnsi="Arial"/>
          <w:color w:val="1F2937"/>
          <w:sz w:val="22"/>
          <w:szCs w:val="22"/>
        </w:rPr>
        <w:t xml:space="preserve">Orthopedic, cardiac, and spine surgeon groups are premium network partners. Aggressive clawbacks on surgical claims could trigger contract disputes or network exits in high-volume markets.</w:t>
      </w:r>
    </w:p>
    <w:p>
      <w:pPr>
        <w:spacing w:after="60" w:before="0"/>
      </w:pPr>
      <w:r>
        <w:t xml:space="preserve"/>
      </w:r>
    </w:p>
    <w:p>
      <w:pPr>
        <w:spacing w:after="120" w:before="60"/>
      </w:pPr>
      <w:r>
        <w:rPr>
          <w:rFonts w:ascii="Arial" w:cs="Arial" w:eastAsia="Arial" w:hAnsi="Arial"/>
          <w:b/>
          <w:bCs/>
          <w:color w:val="1A7A4A"/>
          <w:sz w:val="22"/>
          <w:szCs w:val="22"/>
        </w:rPr>
        <w:t xml:space="preserve">Mitigation: </w:t>
      </w:r>
      <w:r>
        <w:rPr>
          <w:rFonts w:ascii="Arial" w:cs="Arial" w:eastAsia="Arial" w:hAnsi="Arial"/>
          <w:color w:val="1F2937"/>
          <w:sz w:val="22"/>
          <w:szCs w:val="22"/>
        </w:rPr>
        <w:t xml:space="preserve">Phase rollout. In Year 1, use CVA findings exclusively for prospective documentation coaching and prior authorization improvements — not retrospective recovery. Establish a Provider Advisory Council for the program's surgical CVA components. Recovery begins in Year 2 after documentation standards are embedded.</w:t>
      </w:r>
    </w:p>
    <w:p>
      <w:pPr>
        <w:spacing w:after="120" w:before="0"/>
      </w:pPr>
      <w:r>
        <w:t xml:space="preserve"/>
      </w:r>
    </w:p>
    <w:p>
      <w:pPr>
        <w:pStyle w:val="Heading2"/>
        <w:spacing w:after="80" w:before="280"/>
      </w:pPr>
      <w:r>
        <w:rPr>
          <w:rFonts w:ascii="Arial" w:cs="Arial" w:eastAsia="Arial" w:hAnsi="Arial"/>
          <w:b/>
          <w:bCs/>
          <w:color w:val="00778B"/>
          <w:sz w:val="28"/>
          <w:szCs w:val="28"/>
        </w:rPr>
        <w:t xml:space="preserve">Risk 2: Medical Necessity Subjectivity — MEDIUM Probability</w:t>
      </w:r>
    </w:p>
    <w:p>
      <w:pPr>
        <w:spacing w:after="120" w:before="60"/>
      </w:pPr>
      <w:r>
        <w:rPr>
          <w:rFonts w:ascii="Arial" w:cs="Arial" w:eastAsia="Arial" w:hAnsi="Arial"/>
          <w:color w:val="1F2937"/>
          <w:sz w:val="22"/>
          <w:szCs w:val="22"/>
        </w:rPr>
        <w:t xml:space="preserve">Unlike sepsis or AKI, where clinical criteria (SIRS, creatinine thresholds) provide objective validation anchors, elective orthopedic and bariatric procedures involve functional impairment scores, BMI criteria, failure of conservative therapy, and quality-of-life assessments — all more subjectively assessable and more legally contestable.</w:t>
      </w:r>
    </w:p>
    <w:p>
      <w:pPr>
        <w:spacing w:after="80" w:before="0"/>
      </w:pPr>
      <w:r>
        <w:t xml:space="preserve"/>
      </w:r>
    </w:p>
    <w:p>
      <w:pPr>
        <w:spacing w:after="120" w:before="60"/>
      </w:pPr>
      <w:r>
        <w:rPr>
          <w:rFonts w:ascii="Arial" w:cs="Arial" w:eastAsia="Arial" w:hAnsi="Arial"/>
          <w:b/>
          <w:bCs/>
          <w:color w:val="1A7A4A"/>
          <w:sz w:val="22"/>
          <w:szCs w:val="22"/>
        </w:rPr>
        <w:t xml:space="preserve">Mitigation: </w:t>
      </w:r>
      <w:r>
        <w:rPr>
          <w:rFonts w:ascii="Arial" w:cs="Arial" w:eastAsia="Arial" w:hAnsi="Arial"/>
          <w:color w:val="1F2937"/>
          <w:sz w:val="22"/>
          <w:szCs w:val="22"/>
        </w:rPr>
        <w:t xml:space="preserve">Anchor all CVA criteria to published national standards: CMS Local Coverage Determinations (LCDs), National Coverage Determinations (NCDs), AAOS guidelines for joint replacement, and ACS criteria for bariatric surgery. Require two independent physician reviewers for all surgical denials. Document clinical rationale per CMS RADV evidentiary standards. Engage external legal counsel before the pilot launch to stress-test the criteria.</w:t>
      </w:r>
    </w:p>
    <w:p>
      <w:pPr>
        <w:spacing w:after="120" w:before="0"/>
      </w:pPr>
      <w:r>
        <w:t xml:space="preserve"/>
      </w:r>
    </w:p>
    <w:p>
      <w:pPr>
        <w:pStyle w:val="Heading2"/>
        <w:spacing w:after="80" w:before="280"/>
      </w:pPr>
      <w:r>
        <w:rPr>
          <w:rFonts w:ascii="Arial" w:cs="Arial" w:eastAsia="Arial" w:hAnsi="Arial"/>
          <w:b/>
          <w:bCs/>
          <w:color w:val="00778B"/>
          <w:sz w:val="28"/>
          <w:szCs w:val="28"/>
        </w:rPr>
        <w:t xml:space="preserve">Risk 3: Coder Expertise Gap — HIGH Probability</w:t>
      </w:r>
    </w:p>
    <w:p>
      <w:pPr>
        <w:spacing w:after="120" w:before="60"/>
      </w:pPr>
      <w:r>
        <w:rPr>
          <w:rFonts w:ascii="Arial" w:cs="Arial" w:eastAsia="Arial" w:hAnsi="Arial"/>
          <w:color w:val="1F2937"/>
          <w:sz w:val="22"/>
          <w:szCs w:val="22"/>
        </w:rPr>
        <w:t xml:space="preserve">ICD-10-PCS procedure codes number over 70,000. The seven-character alphanumeric structure encodes body part, operative approach, device, and qualifier in a way that requires deep surgical knowledge to validate. Diagnosing coding errors in a sepsis record is fundamentally different from detecting a miscoded robotic-assisted spinal fusion approach.</w:t>
      </w:r>
      <w:r>
        <w:rPr>
          <w:rFonts w:ascii="Arial" w:cs="Arial" w:eastAsia="Arial" w:hAnsi="Arial"/>
          <w:color w:val="64748B"/>
          <w:sz w:val="18"/>
          <w:szCs w:val="18"/>
          <w:vertAlign w:val="superscript"/>
        </w:rPr>
        <w:t xml:space="preserve"> [Health Catalyst — ICD-10 PCS Overview; CMS ICD-10-PCS Coding Guidelines 2026]</w:t>
      </w:r>
    </w:p>
    <w:p>
      <w:pPr>
        <w:spacing w:after="80" w:before="0"/>
      </w:pPr>
      <w:r>
        <w:t xml:space="preserve"/>
      </w:r>
    </w:p>
    <w:p>
      <w:pPr>
        <w:spacing w:after="120" w:before="60"/>
      </w:pPr>
      <w:r>
        <w:rPr>
          <w:rFonts w:ascii="Arial" w:cs="Arial" w:eastAsia="Arial" w:hAnsi="Arial"/>
          <w:b/>
          <w:bCs/>
          <w:color w:val="1A7A4A"/>
          <w:sz w:val="22"/>
          <w:szCs w:val="22"/>
        </w:rPr>
        <w:t xml:space="preserve">Mitigation: </w:t>
      </w:r>
      <w:r>
        <w:rPr>
          <w:rFonts w:ascii="Arial" w:cs="Arial" w:eastAsia="Arial" w:hAnsi="Arial"/>
          <w:color w:val="1F2937"/>
          <w:sz w:val="22"/>
          <w:szCs w:val="22"/>
        </w:rPr>
        <w:t xml:space="preserve">Do not attempt to scale the existing CVA team into surgical coding without targeted investment. Partner with a vendor holding AHIMA-certified ICD-10-PCS coders with surgical subspecialty experience. Note that CMS itself is in a talent competition — hiring 2,000 coders by September 2025 — meaning sourcing must begin immediately. Budget for certified surgical CDI specialists as a permanent program component.</w:t>
      </w:r>
    </w:p>
    <w:p>
      <w:pPr>
        <w:spacing w:after="120" w:before="0"/>
      </w:pPr>
      <w:r>
        <w:t xml:space="preserve"/>
      </w:r>
    </w:p>
    <w:p>
      <w:pPr>
        <w:pStyle w:val="Heading2"/>
        <w:spacing w:after="80" w:before="280"/>
      </w:pPr>
      <w:r>
        <w:rPr>
          <w:rFonts w:ascii="Arial" w:cs="Arial" w:eastAsia="Arial" w:hAnsi="Arial"/>
          <w:b/>
          <w:bCs/>
          <w:color w:val="00778B"/>
          <w:sz w:val="28"/>
          <w:szCs w:val="28"/>
        </w:rPr>
        <w:t xml:space="preserve">Risk 4: Operational Overload During RADV Season — MEDIUM Probability</w:t>
      </w:r>
    </w:p>
    <w:p>
      <w:pPr>
        <w:spacing w:after="120" w:before="60"/>
      </w:pPr>
      <w:r>
        <w:rPr>
          <w:rFonts w:ascii="Arial" w:cs="Arial" w:eastAsia="Arial" w:hAnsi="Arial"/>
          <w:color w:val="1F2937"/>
          <w:sz w:val="22"/>
          <w:szCs w:val="22"/>
        </w:rPr>
        <w:t xml:space="preserve">CMS began PY 2020 RADV audits in February 2026 and plans to initiate future audits approximately every three months. Simultaneous audit cycles across multiple payment years — combined with record submission windows of three to five months — create sustained operational demand on compliance, clinical, and medical records teams.</w:t>
      </w:r>
      <w:r>
        <w:rPr>
          <w:rFonts w:ascii="Arial" w:cs="Arial" w:eastAsia="Arial" w:hAnsi="Arial"/>
          <w:color w:val="64748B"/>
          <w:sz w:val="18"/>
          <w:szCs w:val="18"/>
          <w:vertAlign w:val="superscript"/>
        </w:rPr>
        <w:t xml:space="preserve"> [RaapidInc — RADV Audits 2026 Analysis, February 2026]</w:t>
      </w:r>
    </w:p>
    <w:p>
      <w:pPr>
        <w:spacing w:after="80" w:before="0"/>
      </w:pPr>
      <w:r>
        <w:t xml:space="preserve"/>
      </w:r>
    </w:p>
    <w:p>
      <w:pPr>
        <w:spacing w:after="120" w:before="60"/>
      </w:pPr>
      <w:r>
        <w:rPr>
          <w:rFonts w:ascii="Arial" w:cs="Arial" w:eastAsia="Arial" w:hAnsi="Arial"/>
          <w:b/>
          <w:bCs/>
          <w:color w:val="1A7A4A"/>
          <w:sz w:val="22"/>
          <w:szCs w:val="22"/>
        </w:rPr>
        <w:t xml:space="preserve">Mitigation: </w:t>
      </w:r>
      <w:r>
        <w:rPr>
          <w:rFonts w:ascii="Arial" w:cs="Arial" w:eastAsia="Arial" w:hAnsi="Arial"/>
          <w:color w:val="1F2937"/>
          <w:sz w:val="22"/>
          <w:szCs w:val="22"/>
        </w:rPr>
        <w:t xml:space="preserve">Stagger implementation to avoid resource conflicts. Run Tier 1 Procedure CVA pilot in Q3–Q4 2026, after PY 2019 RADV audit response window closes. Use separate vendor and dedicated program team. Establish clear organizational ownership so RADV response and procedure CVA do not compete for the same compliance leadership bandwidth.</w:t>
      </w:r>
    </w:p>
    <w:p>
      <w:pPr>
        <w:spacing w:after="120" w:before="0"/>
      </w:pPr>
      <w:r>
        <w:t xml:space="preserve"/>
      </w:r>
    </w:p>
    <w:p>
      <w:pPr>
        <w:pStyle w:val="Heading2"/>
        <w:spacing w:after="80" w:before="280"/>
      </w:pPr>
      <w:r>
        <w:rPr>
          <w:rFonts w:ascii="Arial" w:cs="Arial" w:eastAsia="Arial" w:hAnsi="Arial"/>
          <w:b/>
          <w:bCs/>
          <w:color w:val="00778B"/>
          <w:sz w:val="28"/>
          <w:szCs w:val="28"/>
        </w:rPr>
        <w:t xml:space="preserve">Risk 5: Regulatory Retaliation Risk — LOW Probability</w:t>
      </w:r>
    </w:p>
    <w:p>
      <w:pPr>
        <w:spacing w:after="120" w:before="60"/>
      </w:pPr>
      <w:r>
        <w:rPr>
          <w:rFonts w:ascii="Arial" w:cs="Arial" w:eastAsia="Arial" w:hAnsi="Arial"/>
          <w:color w:val="1F2937"/>
          <w:sz w:val="22"/>
          <w:szCs w:val="22"/>
        </w:rPr>
        <w:t xml:space="preserve">Providers could file complaints alleging that Humana is systematically denying medically necessary surgical care, triggering CMS IDAG (Independent Dispute and Appeal process) or OIG attention to Humana's utilization management practices — the inverse of the problem this proposal intends to solve.</w:t>
      </w:r>
    </w:p>
    <w:p>
      <w:pPr>
        <w:spacing w:after="80" w:before="0"/>
      </w:pPr>
      <w:r>
        <w:t xml:space="preserve"/>
      </w:r>
    </w:p>
    <w:p>
      <w:pPr>
        <w:spacing w:after="120" w:before="60"/>
      </w:pPr>
      <w:r>
        <w:rPr>
          <w:rFonts w:ascii="Arial" w:cs="Arial" w:eastAsia="Arial" w:hAnsi="Arial"/>
          <w:color w:val="1F2937"/>
          <w:sz w:val="22"/>
          <w:szCs w:val="22"/>
        </w:rPr>
        <w:t xml:space="preserve">CMS requires individualized medical necessity determinations for utilization management and prior authorization decisions. OIG's February 2026 ICPG specifically flagged the risk of AI-only utilization management decisions and recommended that plans ensure human clinical review is preserved in all coverage determination processes.</w:t>
      </w:r>
      <w:r>
        <w:rPr>
          <w:rFonts w:ascii="Arial" w:cs="Arial" w:eastAsia="Arial" w:hAnsi="Arial"/>
          <w:color w:val="64748B"/>
          <w:sz w:val="18"/>
          <w:szCs w:val="18"/>
          <w:vertAlign w:val="superscript"/>
        </w:rPr>
        <w:t xml:space="preserve"> [OIG ICPG February 2026 — cited in Morgan Lewis Analysis, February 2026]</w:t>
      </w:r>
    </w:p>
    <w:p>
      <w:pPr>
        <w:spacing w:after="80" w:before="0"/>
      </w:pPr>
      <w:r>
        <w:t xml:space="preserve"/>
      </w:r>
    </w:p>
    <w:p>
      <w:pPr>
        <w:spacing w:after="120" w:before="60"/>
      </w:pPr>
      <w:r>
        <w:rPr>
          <w:rFonts w:ascii="Arial" w:cs="Arial" w:eastAsia="Arial" w:hAnsi="Arial"/>
          <w:b/>
          <w:bCs/>
          <w:color w:val="1A7A4A"/>
          <w:sz w:val="22"/>
          <w:szCs w:val="22"/>
        </w:rPr>
        <w:t xml:space="preserve">Mitigation: </w:t>
      </w:r>
      <w:r>
        <w:rPr>
          <w:rFonts w:ascii="Arial" w:cs="Arial" w:eastAsia="Arial" w:hAnsi="Arial"/>
          <w:color w:val="1F2937"/>
          <w:sz w:val="22"/>
          <w:szCs w:val="22"/>
        </w:rPr>
        <w:t xml:space="preserve">Frame the program internally and externally as documentation improvement and payment accuracy — not denial management. Ensure every CVA determination involves individualized physician review. Maintain provider communication protocols that offer documentation guidance before any recovery demand is issued.</w:t>
      </w:r>
    </w:p>
    <w:p>
      <w:pPr>
        <w:spacing w:after="200" w:before="0"/>
      </w:pPr>
      <w:r>
        <w:t xml:space="preserve"/>
      </w:r>
    </w:p>
    <w:p>
      <w:pPr>
        <w:pStyle w:val="Heading1"/>
        <w:pBdr>
          <w:bottom w:val="single" w:color="00778B" w:sz="6" w:space="4"/>
        </w:pBdr>
        <w:spacing w:after="120" w:before="360"/>
      </w:pPr>
      <w:r>
        <w:rPr>
          <w:rFonts w:ascii="Arial" w:cs="Arial" w:eastAsia="Arial" w:hAnsi="Arial"/>
          <w:b/>
          <w:bCs/>
          <w:color w:val="0D1B4B"/>
          <w:sz w:val="36"/>
          <w:szCs w:val="36"/>
        </w:rPr>
        <w:t xml:space="preserve">7.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00778B" w:sz="4"/>
              <w:left w:val="none" w:color="FFFFFF" w:sz="0"/>
              <w:bottom w:val="single" w:color="00778B" w:sz="4"/>
              <w:right w:val="none" w:color="FFFFFF" w:sz="0"/>
            </w:tcBorders>
            <w:shd w:fill="0D1B4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00778B" w:sz="4"/>
              <w:left w:val="none" w:color="FFFFFF" w:sz="0"/>
              <w:bottom w:val="single" w:color="00778B" w:sz="4"/>
              <w:right w:val="none" w:color="FFFFFF" w:sz="0"/>
            </w:tcBorders>
            <w:shd w:fill="0D1B4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6360"/>
            <w:tcBorders>
              <w:top w:val="single" w:color="00778B" w:sz="4"/>
              <w:left w:val="none" w:color="FFFFFF" w:sz="0"/>
              <w:bottom w:val="single" w:color="00778B" w:sz="4"/>
              <w:right w:val="none" w:color="FFFFFF" w:sz="0"/>
            </w:tcBorders>
            <w:shd w:fill="0D1B4B"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r>
      <w:tr>
        <w:tc>
          <w:tcPr>
            <w:tcW w:type="dxa" w:w="160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Phase 0: Foundation</w:t>
            </w:r>
          </w:p>
        </w:tc>
        <w:tc>
          <w:tcPr>
            <w:tcW w:type="dxa" w:w="140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Days 1–30</w:t>
            </w:r>
          </w:p>
        </w:tc>
        <w:tc>
          <w:tcPr>
            <w:tcW w:type="dxa" w:w="636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Executive sponsor designation; legal review of MA contract authority; vendor RFP for ICD-10-PCS surgical coding expertise; baseline spend analysis for Tiers 1–2</w:t>
            </w:r>
          </w:p>
        </w:tc>
      </w:tr>
      <w:tr>
        <w:tc>
          <w:tcPr>
            <w:tcW w:type="dxa" w:w="1600"/>
            <w:tcBorders>
              <w:top w:val="single" w:color="DDDDDD" w:sz="4"/>
              <w:left w:val="none" w:color="FFFFFF" w:sz="0"/>
              <w:bottom w:val="single" w:color="DDDDDD" w:sz="4"/>
              <w:right w:val="none" w:color="FFFFFF" w:sz="0"/>
            </w:tcBorders>
            <w:shd w:fill="F4F7FA" w:val="clear"/>
            <w:tcMar>
              <w:top w:type="dxa" w:w="80"/>
              <w:left w:type="dxa" w:w="120"/>
              <w:bottom w:type="dxa" w:w="80"/>
              <w:right w:type="dxa" w:w="120"/>
            </w:tcMar>
          </w:tcPr>
          <w:p>
            <w:r>
              <w:rPr>
                <w:rFonts w:ascii="Arial" w:cs="Arial" w:eastAsia="Arial" w:hAnsi="Arial"/>
                <w:color w:val="1F2937"/>
                <w:sz w:val="20"/>
                <w:szCs w:val="20"/>
              </w:rPr>
              <w:t xml:space="preserve">Phase 1: Pilot</w:t>
            </w:r>
          </w:p>
        </w:tc>
        <w:tc>
          <w:tcPr>
            <w:tcW w:type="dxa" w:w="1400"/>
            <w:tcBorders>
              <w:top w:val="single" w:color="DDDDDD" w:sz="4"/>
              <w:left w:val="none" w:color="FFFFFF" w:sz="0"/>
              <w:bottom w:val="single" w:color="DDDDDD" w:sz="4"/>
              <w:right w:val="none" w:color="FFFFFF" w:sz="0"/>
            </w:tcBorders>
            <w:shd w:fill="F4F7FA" w:val="clear"/>
            <w:tcMar>
              <w:top w:type="dxa" w:w="80"/>
              <w:left w:type="dxa" w:w="120"/>
              <w:bottom w:type="dxa" w:w="80"/>
              <w:right w:type="dxa" w:w="120"/>
            </w:tcMar>
          </w:tcPr>
          <w:p>
            <w:r>
              <w:rPr>
                <w:rFonts w:ascii="Arial" w:cs="Arial" w:eastAsia="Arial" w:hAnsi="Arial"/>
                <w:color w:val="1F2937"/>
                <w:sz w:val="20"/>
                <w:szCs w:val="20"/>
              </w:rPr>
              <w:t xml:space="preserve">Days 31–90</w:t>
            </w:r>
          </w:p>
        </w:tc>
        <w:tc>
          <w:tcPr>
            <w:tcW w:type="dxa" w:w="6360"/>
            <w:tcBorders>
              <w:top w:val="single" w:color="DDDDDD" w:sz="4"/>
              <w:left w:val="none" w:color="FFFFFF" w:sz="0"/>
              <w:bottom w:val="single" w:color="DDDDDD" w:sz="4"/>
              <w:right w:val="none" w:color="FFFFFF" w:sz="0"/>
            </w:tcBorders>
            <w:shd w:fill="F4F7FA" w:val="clear"/>
            <w:tcMar>
              <w:top w:type="dxa" w:w="80"/>
              <w:left w:type="dxa" w:w="120"/>
              <w:bottom w:type="dxa" w:w="80"/>
              <w:right w:type="dxa" w:w="120"/>
            </w:tcMar>
          </w:tcPr>
          <w:p>
            <w:r>
              <w:rPr>
                <w:rFonts w:ascii="Arial" w:cs="Arial" w:eastAsia="Arial" w:hAnsi="Arial"/>
                <w:color w:val="1F2937"/>
                <w:sz w:val="20"/>
                <w:szCs w:val="20"/>
              </w:rPr>
              <w:t xml:space="preserve">Launch Tier 1 CVA for TKA/THA claims (2024–2025 dates of service); establish provider documentation coaching program; deploy recovery tracking dashboard</w:t>
            </w:r>
          </w:p>
        </w:tc>
      </w:tr>
      <w:tr>
        <w:tc>
          <w:tcPr>
            <w:tcW w:type="dxa" w:w="160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Phase 2: Expansion</w:t>
            </w:r>
          </w:p>
        </w:tc>
        <w:tc>
          <w:tcPr>
            <w:tcW w:type="dxa" w:w="140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Months 4–9</w:t>
            </w:r>
          </w:p>
        </w:tc>
        <w:tc>
          <w:tcPr>
            <w:tcW w:type="dxa" w:w="636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Add Tiers 2–3 (cardiac, bariatric); integrate CVA findings into prior authorization criteria; engage CMS on RADV alignment pathway; MLR impact report to Finance</w:t>
            </w:r>
          </w:p>
        </w:tc>
      </w:tr>
      <w:tr>
        <w:tc>
          <w:tcPr>
            <w:tcW w:type="dxa" w:w="1600"/>
            <w:tcBorders>
              <w:top w:val="single" w:color="DDDDDD" w:sz="4"/>
              <w:left w:val="none" w:color="FFFFFF" w:sz="0"/>
              <w:bottom w:val="single" w:color="DDDDDD" w:sz="4"/>
              <w:right w:val="none" w:color="FFFFFF" w:sz="0"/>
            </w:tcBorders>
            <w:shd w:fill="F4F7FA" w:val="clear"/>
            <w:tcMar>
              <w:top w:type="dxa" w:w="80"/>
              <w:left w:type="dxa" w:w="120"/>
              <w:bottom w:type="dxa" w:w="80"/>
              <w:right w:type="dxa" w:w="120"/>
            </w:tcMar>
          </w:tcPr>
          <w:p>
            <w:r>
              <w:rPr>
                <w:rFonts w:ascii="Arial" w:cs="Arial" w:eastAsia="Arial" w:hAnsi="Arial"/>
                <w:color w:val="1F2937"/>
                <w:sz w:val="20"/>
                <w:szCs w:val="20"/>
              </w:rPr>
              <w:t xml:space="preserve">Phase 3: Scale</w:t>
            </w:r>
          </w:p>
        </w:tc>
        <w:tc>
          <w:tcPr>
            <w:tcW w:type="dxa" w:w="1400"/>
            <w:tcBorders>
              <w:top w:val="single" w:color="DDDDDD" w:sz="4"/>
              <w:left w:val="none" w:color="FFFFFF" w:sz="0"/>
              <w:bottom w:val="single" w:color="DDDDDD" w:sz="4"/>
              <w:right w:val="none" w:color="FFFFFF" w:sz="0"/>
            </w:tcBorders>
            <w:shd w:fill="F4F7FA" w:val="clear"/>
            <w:tcMar>
              <w:top w:type="dxa" w:w="80"/>
              <w:left w:type="dxa" w:w="120"/>
              <w:bottom w:type="dxa" w:w="80"/>
              <w:right w:type="dxa" w:w="120"/>
            </w:tcMar>
          </w:tcPr>
          <w:p>
            <w:r>
              <w:rPr>
                <w:rFonts w:ascii="Arial" w:cs="Arial" w:eastAsia="Arial" w:hAnsi="Arial"/>
                <w:color w:val="1F2937"/>
                <w:sz w:val="20"/>
                <w:szCs w:val="20"/>
              </w:rPr>
              <w:t xml:space="preserve">Months 10–24</w:t>
            </w:r>
          </w:p>
        </w:tc>
        <w:tc>
          <w:tcPr>
            <w:tcW w:type="dxa" w:w="6360"/>
            <w:tcBorders>
              <w:top w:val="single" w:color="DDDDDD" w:sz="4"/>
              <w:left w:val="none" w:color="FFFFFF" w:sz="0"/>
              <w:bottom w:val="single" w:color="DDDDDD" w:sz="4"/>
              <w:right w:val="none" w:color="FFFFFF" w:sz="0"/>
            </w:tcBorders>
            <w:shd w:fill="F4F7FA" w:val="clear"/>
            <w:tcMar>
              <w:top w:type="dxa" w:w="80"/>
              <w:left w:type="dxa" w:w="120"/>
              <w:bottom w:type="dxa" w:w="80"/>
              <w:right w:type="dxa" w:w="120"/>
            </w:tcMar>
          </w:tcPr>
          <w:p>
            <w:r>
              <w:rPr>
                <w:rFonts w:ascii="Arial" w:cs="Arial" w:eastAsia="Arial" w:hAnsi="Arial"/>
                <w:color w:val="1F2937"/>
                <w:sz w:val="20"/>
                <w:szCs w:val="20"/>
              </w:rPr>
              <w:t xml:space="preserve">Tiers 4–5 live; full procedure CVA program operational; AHIP advocacy for hybrid RADV framework; AI-assisted pre-claim screening implemented with OIG-compliant human review</w:t>
            </w:r>
          </w:p>
        </w:tc>
      </w:tr>
    </w:tbl>
    <w:p>
      <w:pPr>
        <w:spacing w:after="200" w:before="0"/>
      </w:pPr>
      <w:r>
        <w:t xml:space="preserve"/>
      </w:r>
    </w:p>
    <w:p>
      <w:pPr>
        <w:pStyle w:val="Heading1"/>
        <w:pBdr>
          <w:bottom w:val="single" w:color="00778B" w:sz="6" w:space="4"/>
        </w:pBdr>
        <w:spacing w:after="120" w:before="360"/>
      </w:pPr>
      <w:r>
        <w:rPr>
          <w:rFonts w:ascii="Arial" w:cs="Arial" w:eastAsia="Arial" w:hAnsi="Arial"/>
          <w:b/>
          <w:bCs/>
          <w:color w:val="0D1B4B"/>
          <w:sz w:val="36"/>
          <w:szCs w:val="36"/>
        </w:rPr>
        <w:t xml:space="preserve">8. Financial Case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00778B" w:sz="4"/>
              <w:left w:val="none" w:color="FFFFFF" w:sz="0"/>
              <w:bottom w:val="single" w:color="00778B" w:sz="4"/>
              <w:right w:val="none" w:color="FFFFFF" w:sz="0"/>
            </w:tcBorders>
            <w:shd w:fill="0D1B4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800"/>
            <w:tcBorders>
              <w:top w:val="single" w:color="00778B" w:sz="4"/>
              <w:left w:val="none" w:color="FFFFFF" w:sz="0"/>
              <w:bottom w:val="single" w:color="00778B" w:sz="4"/>
              <w:right w:val="none" w:color="FFFFFF" w:sz="0"/>
            </w:tcBorders>
            <w:shd w:fill="0D1B4B" w:val="clear"/>
            <w:tcMar>
              <w:top w:type="dxa" w:w="80"/>
              <w:left w:type="dxa" w:w="120"/>
              <w:bottom w:type="dxa" w:w="80"/>
              <w:right w:type="dxa" w:w="120"/>
            </w:tcMar>
          </w:tcPr>
          <w:p>
            <w:r>
              <w:rPr>
                <w:rFonts w:ascii="Arial" w:cs="Arial" w:eastAsia="Arial" w:hAnsi="Arial"/>
                <w:b/>
                <w:bCs/>
                <w:color w:val="FFFFFF"/>
                <w:sz w:val="20"/>
                <w:szCs w:val="20"/>
              </w:rPr>
              <w:t xml:space="preserve">Estimate</w:t>
            </w:r>
          </w:p>
        </w:tc>
        <w:tc>
          <w:tcPr>
            <w:tcW w:type="dxa" w:w="4560"/>
            <w:tcBorders>
              <w:top w:val="single" w:color="00778B" w:sz="4"/>
              <w:left w:val="none" w:color="FFFFFF" w:sz="0"/>
              <w:bottom w:val="single" w:color="00778B" w:sz="4"/>
              <w:right w:val="none" w:color="FFFFFF" w:sz="0"/>
            </w:tcBorders>
            <w:shd w:fill="0D1B4B" w:val="clear"/>
            <w:tcMar>
              <w:top w:type="dxa" w:w="80"/>
              <w:left w:type="dxa" w:w="120"/>
              <w:bottom w:type="dxa" w:w="80"/>
              <w:right w:type="dxa" w:w="120"/>
            </w:tcMar>
          </w:tcPr>
          <w:p>
            <w:r>
              <w:rPr>
                <w:rFonts w:ascii="Arial" w:cs="Arial" w:eastAsia="Arial" w:hAnsi="Arial"/>
                <w:b/>
                <w:bCs/>
                <w:color w:val="FFFFFF"/>
                <w:sz w:val="20"/>
                <w:szCs w:val="20"/>
              </w:rPr>
              <w:t xml:space="preserve">Basis</w:t>
            </w:r>
          </w:p>
        </w:tc>
      </w:tr>
      <w:tr>
        <w:tc>
          <w:tcPr>
            <w:tcW w:type="dxa" w:w="300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Tier 1 Annual Recovery (TKA/THA)</w:t>
            </w:r>
          </w:p>
        </w:tc>
        <w:tc>
          <w:tcPr>
            <w:tcW w:type="dxa" w:w="180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$82M+</w:t>
            </w:r>
          </w:p>
        </w:tc>
        <w:tc>
          <w:tcPr>
            <w:tcW w:type="dxa" w:w="456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CMS 43.6% improper rate applied to Humana MA orthopedic utilization; 30% appeal reduction applied</w:t>
            </w:r>
          </w:p>
        </w:tc>
      </w:tr>
      <w:tr>
        <w:tc>
          <w:tcPr>
            <w:tcW w:type="dxa" w:w="3000"/>
            <w:tcBorders>
              <w:top w:val="single" w:color="DDDDDD" w:sz="4"/>
              <w:left w:val="none" w:color="FFFFFF" w:sz="0"/>
              <w:bottom w:val="single" w:color="DDDDDD" w:sz="4"/>
              <w:right w:val="none" w:color="FFFFFF" w:sz="0"/>
            </w:tcBorders>
            <w:shd w:fill="F4F7FA" w:val="clear"/>
            <w:tcMar>
              <w:top w:type="dxa" w:w="80"/>
              <w:left w:type="dxa" w:w="120"/>
              <w:bottom w:type="dxa" w:w="80"/>
              <w:right w:type="dxa" w:w="120"/>
            </w:tcMar>
          </w:tcPr>
          <w:p>
            <w:r>
              <w:rPr>
                <w:rFonts w:ascii="Arial" w:cs="Arial" w:eastAsia="Arial" w:hAnsi="Arial"/>
                <w:color w:val="1F2937"/>
                <w:sz w:val="20"/>
                <w:szCs w:val="20"/>
              </w:rPr>
              <w:t xml:space="preserve">Tier 2 Annual Recovery (Cardiac)</w:t>
            </w:r>
          </w:p>
        </w:tc>
        <w:tc>
          <w:tcPr>
            <w:tcW w:type="dxa" w:w="1800"/>
            <w:tcBorders>
              <w:top w:val="single" w:color="DDDDDD" w:sz="4"/>
              <w:left w:val="none" w:color="FFFFFF" w:sz="0"/>
              <w:bottom w:val="single" w:color="DDDDDD" w:sz="4"/>
              <w:right w:val="none" w:color="FFFFFF" w:sz="0"/>
            </w:tcBorders>
            <w:shd w:fill="F4F7FA" w:val="clear"/>
            <w:tcMar>
              <w:top w:type="dxa" w:w="80"/>
              <w:left w:type="dxa" w:w="120"/>
              <w:bottom w:type="dxa" w:w="80"/>
              <w:right w:type="dxa" w:w="120"/>
            </w:tcMar>
          </w:tcPr>
          <w:p>
            <w:r>
              <w:rPr>
                <w:rFonts w:ascii="Arial" w:cs="Arial" w:eastAsia="Arial" w:hAnsi="Arial"/>
                <w:color w:val="1F2937"/>
                <w:sz w:val="20"/>
                <w:szCs w:val="20"/>
              </w:rPr>
              <w:t xml:space="preserve">$38M+</w:t>
            </w:r>
          </w:p>
        </w:tc>
        <w:tc>
          <w:tcPr>
            <w:tcW w:type="dxa" w:w="4560"/>
            <w:tcBorders>
              <w:top w:val="single" w:color="DDDDDD" w:sz="4"/>
              <w:left w:val="none" w:color="FFFFFF" w:sz="0"/>
              <w:bottom w:val="single" w:color="DDDDDD" w:sz="4"/>
              <w:right w:val="none" w:color="FFFFFF" w:sz="0"/>
            </w:tcBorders>
            <w:shd w:fill="F4F7FA" w:val="clear"/>
            <w:tcMar>
              <w:top w:type="dxa" w:w="80"/>
              <w:left w:type="dxa" w:w="120"/>
              <w:bottom w:type="dxa" w:w="80"/>
              <w:right w:type="dxa" w:w="120"/>
            </w:tcMar>
          </w:tcPr>
          <w:p>
            <w:r>
              <w:rPr>
                <w:rFonts w:ascii="Arial" w:cs="Arial" w:eastAsia="Arial" w:hAnsi="Arial"/>
                <w:color w:val="1F2937"/>
                <w:sz w:val="20"/>
                <w:szCs w:val="20"/>
              </w:rPr>
              <w:t xml:space="preserve">OIG audit toolkit cardiac coding error patterns; Humana market share applied</w:t>
            </w:r>
          </w:p>
        </w:tc>
      </w:tr>
      <w:tr>
        <w:tc>
          <w:tcPr>
            <w:tcW w:type="dxa" w:w="300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Tiers 3–5 Combined</w:t>
            </w:r>
          </w:p>
        </w:tc>
        <w:tc>
          <w:tcPr>
            <w:tcW w:type="dxa" w:w="180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$37M+</w:t>
            </w:r>
          </w:p>
        </w:tc>
        <w:tc>
          <w:tcPr>
            <w:tcW w:type="dxa" w:w="456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CMS improper payment data; OIG identified ED mismatch payments; conservative projection</w:t>
            </w:r>
          </w:p>
        </w:tc>
      </w:tr>
      <w:tr>
        <w:tc>
          <w:tcPr>
            <w:tcW w:type="dxa" w:w="3000"/>
            <w:tcBorders>
              <w:top w:val="single" w:color="DDDDDD" w:sz="4"/>
              <w:left w:val="none" w:color="FFFFFF" w:sz="0"/>
              <w:bottom w:val="single" w:color="DDDDDD" w:sz="4"/>
              <w:right w:val="none" w:color="FFFFFF" w:sz="0"/>
            </w:tcBorders>
            <w:shd w:fill="F4F7FA" w:val="clear"/>
            <w:tcMar>
              <w:top w:type="dxa" w:w="80"/>
              <w:left w:type="dxa" w:w="120"/>
              <w:bottom w:type="dxa" w:w="80"/>
              <w:right w:type="dxa" w:w="120"/>
            </w:tcMar>
          </w:tcPr>
          <w:p>
            <w:r>
              <w:rPr>
                <w:rFonts w:ascii="Arial" w:cs="Arial" w:eastAsia="Arial" w:hAnsi="Arial"/>
                <w:color w:val="1F2937"/>
                <w:sz w:val="20"/>
                <w:szCs w:val="20"/>
              </w:rPr>
              <w:t xml:space="preserve">Total Projected Recovery (Year 1–2)</w:t>
            </w:r>
          </w:p>
        </w:tc>
        <w:tc>
          <w:tcPr>
            <w:tcW w:type="dxa" w:w="1800"/>
            <w:tcBorders>
              <w:top w:val="single" w:color="DDDDDD" w:sz="4"/>
              <w:left w:val="none" w:color="FFFFFF" w:sz="0"/>
              <w:bottom w:val="single" w:color="DDDDDD" w:sz="4"/>
              <w:right w:val="none" w:color="FFFFFF" w:sz="0"/>
            </w:tcBorders>
            <w:shd w:fill="F4F7FA" w:val="clear"/>
            <w:tcMar>
              <w:top w:type="dxa" w:w="80"/>
              <w:left w:type="dxa" w:w="120"/>
              <w:bottom w:type="dxa" w:w="80"/>
              <w:right w:type="dxa" w:w="120"/>
            </w:tcMar>
          </w:tcPr>
          <w:p>
            <w:r>
              <w:rPr>
                <w:rFonts w:ascii="Arial" w:cs="Arial" w:eastAsia="Arial" w:hAnsi="Arial"/>
                <w:color w:val="1F2937"/>
                <w:sz w:val="20"/>
                <w:szCs w:val="20"/>
              </w:rPr>
              <w:t xml:space="preserve">$147M+</w:t>
            </w:r>
          </w:p>
        </w:tc>
        <w:tc>
          <w:tcPr>
            <w:tcW w:type="dxa" w:w="4560"/>
            <w:tcBorders>
              <w:top w:val="single" w:color="DDDDDD" w:sz="4"/>
              <w:left w:val="none" w:color="FFFFFF" w:sz="0"/>
              <w:bottom w:val="single" w:color="DDDDDD" w:sz="4"/>
              <w:right w:val="none" w:color="FFFFFF" w:sz="0"/>
            </w:tcBorders>
            <w:shd w:fill="F4F7FA" w:val="clear"/>
            <w:tcMar>
              <w:top w:type="dxa" w:w="80"/>
              <w:left w:type="dxa" w:w="120"/>
              <w:bottom w:type="dxa" w:w="80"/>
              <w:right w:type="dxa" w:w="120"/>
            </w:tcMar>
          </w:tcPr>
          <w:p>
            <w:r>
              <w:rPr>
                <w:rFonts w:ascii="Arial" w:cs="Arial" w:eastAsia="Arial" w:hAnsi="Arial"/>
                <w:color w:val="1F2937"/>
                <w:sz w:val="20"/>
                <w:szCs w:val="20"/>
              </w:rPr>
              <w:t xml:space="preserve">Conservative aggregate; excludes penalty avoidance value</w:t>
            </w:r>
          </w:p>
        </w:tc>
      </w:tr>
      <w:tr>
        <w:tc>
          <w:tcPr>
            <w:tcW w:type="dxa" w:w="300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Program Investment</w:t>
            </w:r>
          </w:p>
        </w:tc>
        <w:tc>
          <w:tcPr>
            <w:tcW w:type="dxa" w:w="180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$8–12M</w:t>
            </w:r>
          </w:p>
        </w:tc>
        <w:tc>
          <w:tcPr>
            <w:tcW w:type="dxa" w:w="456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Vendor fees, staffing, technology, legal review</w:t>
            </w:r>
          </w:p>
        </w:tc>
      </w:tr>
      <w:tr>
        <w:tc>
          <w:tcPr>
            <w:tcW w:type="dxa" w:w="3000"/>
            <w:tcBorders>
              <w:top w:val="single" w:color="DDDDDD" w:sz="4"/>
              <w:left w:val="none" w:color="FFFFFF" w:sz="0"/>
              <w:bottom w:val="single" w:color="DDDDDD" w:sz="4"/>
              <w:right w:val="none" w:color="FFFFFF" w:sz="0"/>
            </w:tcBorders>
            <w:shd w:fill="F4F7FA" w:val="clear"/>
            <w:tcMar>
              <w:top w:type="dxa" w:w="80"/>
              <w:left w:type="dxa" w:w="120"/>
              <w:bottom w:type="dxa" w:w="80"/>
              <w:right w:type="dxa" w:w="120"/>
            </w:tcMar>
          </w:tcPr>
          <w:p>
            <w:r>
              <w:rPr>
                <w:rFonts w:ascii="Arial" w:cs="Arial" w:eastAsia="Arial" w:hAnsi="Arial"/>
                <w:color w:val="1F2937"/>
                <w:sz w:val="20"/>
                <w:szCs w:val="20"/>
              </w:rPr>
              <w:t xml:space="preserve">Net ROI</w:t>
            </w:r>
          </w:p>
        </w:tc>
        <w:tc>
          <w:tcPr>
            <w:tcW w:type="dxa" w:w="1800"/>
            <w:tcBorders>
              <w:top w:val="single" w:color="DDDDDD" w:sz="4"/>
              <w:left w:val="none" w:color="FFFFFF" w:sz="0"/>
              <w:bottom w:val="single" w:color="DDDDDD" w:sz="4"/>
              <w:right w:val="none" w:color="FFFFFF" w:sz="0"/>
            </w:tcBorders>
            <w:shd w:fill="F4F7FA" w:val="clear"/>
            <w:tcMar>
              <w:top w:type="dxa" w:w="80"/>
              <w:left w:type="dxa" w:w="120"/>
              <w:bottom w:type="dxa" w:w="80"/>
              <w:right w:type="dxa" w:w="120"/>
            </w:tcMar>
          </w:tcPr>
          <w:p>
            <w:r>
              <w:rPr>
                <w:rFonts w:ascii="Arial" w:cs="Arial" w:eastAsia="Arial" w:hAnsi="Arial"/>
                <w:color w:val="1F2937"/>
                <w:sz w:val="20"/>
                <w:szCs w:val="20"/>
              </w:rPr>
              <w:t xml:space="preserve">~12:1</w:t>
            </w:r>
          </w:p>
        </w:tc>
        <w:tc>
          <w:tcPr>
            <w:tcW w:type="dxa" w:w="4560"/>
            <w:tcBorders>
              <w:top w:val="single" w:color="DDDDDD" w:sz="4"/>
              <w:left w:val="none" w:color="FFFFFF" w:sz="0"/>
              <w:bottom w:val="single" w:color="DDDDDD" w:sz="4"/>
              <w:right w:val="none" w:color="FFFFFF" w:sz="0"/>
            </w:tcBorders>
            <w:shd w:fill="F4F7FA" w:val="clear"/>
            <w:tcMar>
              <w:top w:type="dxa" w:w="80"/>
              <w:left w:type="dxa" w:w="120"/>
              <w:bottom w:type="dxa" w:w="80"/>
              <w:right w:type="dxa" w:w="120"/>
            </w:tcMar>
          </w:tcPr>
          <w:p>
            <w:r>
              <w:rPr>
                <w:rFonts w:ascii="Arial" w:cs="Arial" w:eastAsia="Arial" w:hAnsi="Arial"/>
                <w:color w:val="1F2937"/>
                <w:sz w:val="20"/>
                <w:szCs w:val="20"/>
              </w:rPr>
              <w:t xml:space="preserve">Based on above projections</w:t>
            </w:r>
          </w:p>
        </w:tc>
      </w:tr>
      <w:tr>
        <w:tc>
          <w:tcPr>
            <w:tcW w:type="dxa" w:w="300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MLR Impact</w:t>
            </w:r>
          </w:p>
        </w:tc>
        <w:tc>
          <w:tcPr>
            <w:tcW w:type="dxa" w:w="180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-0.3 to -0.5%</w:t>
            </w:r>
          </w:p>
        </w:tc>
        <w:tc>
          <w:tcPr>
            <w:tcW w:type="dxa" w:w="456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r>
              <w:rPr>
                <w:rFonts w:ascii="Arial" w:cs="Arial" w:eastAsia="Arial" w:hAnsi="Arial"/>
                <w:color w:val="1F2937"/>
                <w:sz w:val="20"/>
                <w:szCs w:val="20"/>
              </w:rPr>
              <w:t xml:space="preserve">Estimated from surgical spend as proportion of total MA medical costs</w:t>
            </w:r>
          </w:p>
        </w:tc>
      </w:tr>
    </w:tbl>
    <w:p>
      <w:pPr>
        <w:spacing w:after="120" w:before="0"/>
      </w:pPr>
      <w:r>
        <w:t xml:space="preserve"/>
      </w:r>
    </w:p>
    <w:p>
      <w:pPr>
        <w:spacing w:after="120" w:before="60"/>
      </w:pPr>
      <w:r>
        <w:rPr>
          <w:rFonts w:ascii="Arial" w:cs="Arial" w:eastAsia="Arial" w:hAnsi="Arial"/>
          <w:color w:val="1F2937"/>
          <w:sz w:val="22"/>
          <w:szCs w:val="22"/>
        </w:rPr>
        <w:t xml:space="preserve">These projections are illustrative planning estimates. Actual recovery will depend on audit findings, appeal success rates, and the pace of provider documentation improvement. The investment thesis is conservative: even capturing 20% of projected recovery would yield a positive ROI.</w:t>
      </w:r>
    </w:p>
    <w:p>
      <w:pPr>
        <w:spacing w:after="200" w:before="0"/>
      </w:pPr>
      <w:r>
        <w:t xml:space="preserve"/>
      </w:r>
    </w:p>
    <w:p>
      <w:pPr>
        <w:pStyle w:val="Heading1"/>
        <w:pBdr>
          <w:bottom w:val="single" w:color="00778B" w:sz="6" w:space="4"/>
        </w:pBdr>
        <w:spacing w:after="120" w:before="360"/>
      </w:pPr>
      <w:r>
        <w:rPr>
          <w:rFonts w:ascii="Arial" w:cs="Arial" w:eastAsia="Arial" w:hAnsi="Arial"/>
          <w:b/>
          <w:bCs/>
          <w:color w:val="0D1B4B"/>
          <w:sz w:val="36"/>
          <w:szCs w:val="36"/>
        </w:rPr>
        <w:t xml:space="preserve">9. The Ask: Three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0778B" w:val="clear"/>
            <w:vAlign w:val="top"/>
          </w:tcPr>
          <w:p/>
        </w:tc>
        <w:tc>
          <w:tcPr>
            <w:tcW w:type="dxa" w:w="9120"/>
            <w:tcBorders>
              <w:top w:val="single" w:color="00778B" w:sz="4"/>
              <w:left w:val="none" w:color="FFFFFF" w:sz="0"/>
              <w:bottom w:val="single" w:color="00778B" w:sz="4"/>
              <w:right w:val="single" w:color="00778B" w:sz="4"/>
            </w:tcBorders>
            <w:shd w:fill="F8FAFC" w:val="clear"/>
            <w:tcMar>
              <w:top w:type="dxa" w:w="120"/>
              <w:left w:type="dxa" w:w="180"/>
              <w:bottom w:type="dxa" w:w="120"/>
              <w:right w:type="dxa" w:w="120"/>
            </w:tcMar>
          </w:tcPr>
          <w:p>
            <w:pPr>
              <w:spacing w:after="80"/>
            </w:pPr>
            <w:r>
              <w:rPr>
                <w:rFonts w:ascii="Arial" w:cs="Arial" w:eastAsia="Arial" w:hAnsi="Arial"/>
                <w:b/>
                <w:bCs/>
                <w:color w:val="00778B"/>
                <w:sz w:val="20"/>
                <w:szCs w:val="20"/>
              </w:rPr>
              <w:t xml:space="preserve">DECISION 1</w:t>
            </w:r>
          </w:p>
          <w:p>
            <w:pPr>
              <w:spacing w:after="0"/>
            </w:pPr>
            <w:r>
              <w:rPr>
                <w:rFonts w:ascii="Arial" w:cs="Arial" w:eastAsia="Arial" w:hAnsi="Arial"/>
                <w:color w:val="1F2937"/>
                <w:sz w:val="22"/>
                <w:szCs w:val="22"/>
              </w:rPr>
              <w:t xml:space="preserve">Approve the Phase 0–1 pilot for Tiers 1 (TKA/THA + Spine Fusion) with an initial budget of $3M and a 90-day launch target.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D1B4B" w:val="clear"/>
            <w:vAlign w:val="top"/>
          </w:tcPr>
          <w:p/>
        </w:tc>
        <w:tc>
          <w:tcPr>
            <w:tcW w:type="dxa" w:w="9120"/>
            <w:tcBorders>
              <w:top w:val="single" w:color="0D1B4B" w:sz="4"/>
              <w:left w:val="none" w:color="FFFFFF" w:sz="0"/>
              <w:bottom w:val="single" w:color="0D1B4B" w:sz="4"/>
              <w:right w:val="single" w:color="0D1B4B" w:sz="4"/>
            </w:tcBorders>
            <w:shd w:fill="F8FAFC" w:val="clear"/>
            <w:tcMar>
              <w:top w:type="dxa" w:w="120"/>
              <w:left w:type="dxa" w:w="180"/>
              <w:bottom w:type="dxa" w:w="120"/>
              <w:right w:type="dxa" w:w="120"/>
            </w:tcMar>
          </w:tcPr>
          <w:p>
            <w:pPr>
              <w:spacing w:after="80"/>
            </w:pPr>
            <w:r>
              <w:rPr>
                <w:rFonts w:ascii="Arial" w:cs="Arial" w:eastAsia="Arial" w:hAnsi="Arial"/>
                <w:b/>
                <w:bCs/>
                <w:color w:val="0D1B4B"/>
                <w:sz w:val="20"/>
                <w:szCs w:val="20"/>
              </w:rPr>
              <w:t xml:space="preserve">DECISION 2</w:t>
            </w:r>
          </w:p>
          <w:p>
            <w:pPr>
              <w:spacing w:after="0"/>
            </w:pPr>
            <w:r>
              <w:rPr>
                <w:rFonts w:ascii="Arial" w:cs="Arial" w:eastAsia="Arial" w:hAnsi="Arial"/>
                <w:color w:val="1F2937"/>
                <w:sz w:val="22"/>
                <w:szCs w:val="22"/>
              </w:rPr>
              <w:t xml:space="preserve">Designate a cross-functional program sponsor spanning Compliance, Medical Affairs, and Finance to ensure organizational alignment and resource commitment.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A7A4A" w:val="clear"/>
            <w:vAlign w:val="top"/>
          </w:tcPr>
          <w:p/>
        </w:tc>
        <w:tc>
          <w:tcPr>
            <w:tcW w:type="dxa" w:w="9120"/>
            <w:tcBorders>
              <w:top w:val="single" w:color="1A7A4A" w:sz="4"/>
              <w:left w:val="none" w:color="FFFFFF" w:sz="0"/>
              <w:bottom w:val="single" w:color="1A7A4A" w:sz="4"/>
              <w:right w:val="single" w:color="1A7A4A" w:sz="4"/>
            </w:tcBorders>
            <w:shd w:fill="F8FAFC" w:val="clear"/>
            <w:tcMar>
              <w:top w:type="dxa" w:w="120"/>
              <w:left w:type="dxa" w:w="180"/>
              <w:bottom w:type="dxa" w:w="120"/>
              <w:right w:type="dxa" w:w="120"/>
            </w:tcMar>
          </w:tcPr>
          <w:p>
            <w:pPr>
              <w:spacing w:after="80"/>
            </w:pPr>
            <w:r>
              <w:rPr>
                <w:rFonts w:ascii="Arial" w:cs="Arial" w:eastAsia="Arial" w:hAnsi="Arial"/>
                <w:b/>
                <w:bCs/>
                <w:color w:val="1A7A4A"/>
                <w:sz w:val="20"/>
                <w:szCs w:val="20"/>
              </w:rPr>
              <w:t xml:space="preserve">DECISION 3</w:t>
            </w:r>
          </w:p>
          <w:p>
            <w:pPr>
              <w:spacing w:after="0"/>
            </w:pPr>
            <w:r>
              <w:rPr>
                <w:rFonts w:ascii="Arial" w:cs="Arial" w:eastAsia="Arial" w:hAnsi="Arial"/>
                <w:color w:val="1F2937"/>
                <w:sz w:val="22"/>
                <w:szCs w:val="22"/>
              </w:rPr>
              <w:t xml:space="preserve">Authorize Legal to conduct a formal review of Humana's MA contract authority for post-payment procedure-level clinical review, confirming Track 1 independence from CMS approval.</w:t>
            </w:r>
          </w:p>
        </w:tc>
      </w:tr>
    </w:tbl>
    <w:p>
      <w:pPr>
        <w:spacing w:after="160" w:before="0"/>
      </w:pPr>
      <w:r>
        <w:t xml:space="preserve"/>
      </w:r>
    </w:p>
    <w:p>
      <w:pPr>
        <w:pBdr>
          <w:top w:val="single" w:color="00778B" w:sz="4" w:space="4"/>
          <w:bottom w:val="single" w:color="00778B" w:sz="4" w:space="4"/>
        </w:pBdr>
        <w:spacing w:after="120" w:before="120"/>
        <w:jc w:val="center"/>
      </w:pPr>
      <w:r>
        <w:rPr>
          <w:rFonts w:ascii="Arial" w:cs="Arial" w:eastAsia="Arial" w:hAnsi="Arial"/>
          <w:b/>
          <w:bCs/>
          <w:color w:val="0D1B4B"/>
          <w:sz w:val="22"/>
          <w:szCs w:val="22"/>
        </w:rPr>
        <w:t xml:space="preserve">If Humana does not act proactively, CMS's expanded RADV audit infrastructure will identify procedure-level errors first — on the government's timeline, with the government's recovery methodology. This proposal puts Humana in front of that exposure.</w:t>
      </w:r>
    </w:p>
    <w:p>
      <w:pPr>
        <w:spacing w:after="240" w:before="0"/>
      </w:pPr>
      <w:r>
        <w:t xml:space="preserve"/>
      </w:r>
    </w:p>
    <w:p>
      <w:pPr>
        <w:pStyle w:val="Heading1"/>
        <w:pBdr>
          <w:bottom w:val="single" w:color="00778B" w:sz="6" w:space="4"/>
        </w:pBdr>
        <w:spacing w:after="120" w:before="360"/>
      </w:pPr>
      <w:r>
        <w:rPr>
          <w:rFonts w:ascii="Arial" w:cs="Arial" w:eastAsia="Arial" w:hAnsi="Arial"/>
          <w:b/>
          <w:bCs/>
          <w:color w:val="0D1B4B"/>
          <w:sz w:val="36"/>
          <w:szCs w:val="36"/>
        </w:rPr>
        <w:t xml:space="preserve">10. References &amp; Citations</w:t>
      </w:r>
    </w:p>
    <w:p>
      <w:pPr>
        <w:spacing w:after="120" w:before="60"/>
      </w:pPr>
      <w:r>
        <w:rPr>
          <w:rFonts w:ascii="Arial" w:cs="Arial" w:eastAsia="Arial" w:hAnsi="Arial"/>
          <w:color w:val="64748B"/>
          <w:sz w:val="20"/>
          <w:szCs w:val="20"/>
        </w:rPr>
        <w:t xml:space="preserve">All sources are publicly available U.S. government documents, peer-reviewed analyses, or official Humana SEC filings.</w:t>
      </w:r>
    </w:p>
    <w:p>
      <w:pPr>
        <w:spacing w:after="120" w:before="0"/>
      </w:pPr>
      <w:r>
        <w:t xml:space="preserve"/>
      </w:r>
    </w:p>
    <w:p>
      <w:pPr>
        <w:pStyle w:val="ListParagraph"/>
        <w:numPr>
          <w:ilvl w:val="0"/>
          <w:numId w:val="2"/>
        </w:numPr>
        <w:spacing w:after="60" w:before="60"/>
      </w:pPr>
      <w:r>
        <w:rPr>
          <w:rFonts w:ascii="Arial" w:cs="Arial" w:eastAsia="Arial" w:hAnsi="Arial"/>
          <w:b/>
          <w:bCs/>
          <w:color w:val="0D1B4B"/>
          <w:sz w:val="19"/>
          <w:szCs w:val="19"/>
        </w:rPr>
        <w:t xml:space="preserve">[1]  </w:t>
      </w:r>
      <w:r>
        <w:rPr>
          <w:rFonts w:ascii="Arial" w:cs="Arial" w:eastAsia="Arial" w:hAnsi="Arial"/>
          <w:color w:val="374151"/>
          <w:sz w:val="19"/>
          <w:szCs w:val="19"/>
        </w:rPr>
        <w:t xml:space="preserve">OIG — Medicare Advantage Compliance Audit, Humana Health Plan, Inc., Contract H2649 (2024). OIG found $13.1M in estimated overpayments; refund of $6.77M recommended; recommendations remain open as of March 2026.</w:t>
      </w:r>
      <w:r>
        <w:rPr>
          <w:rFonts w:ascii="Arial" w:cs="Arial" w:eastAsia="Arial" w:hAnsi="Arial"/>
          <w:color w:val="00778B"/>
          <w:sz w:val="17"/>
          <w:szCs w:val="17"/>
        </w:rPr>
        <w:t xml:space="preserve">  https://oig.hhs.gov/reports/all/2024/medicare-advantage-compliance-audit-of-specific-diagnosis-codes-that-humana-health-plan-inc-contract-h2649-submitted-to-cms/</w:t>
      </w:r>
    </w:p>
    <w:p>
      <w:pPr>
        <w:pStyle w:val="ListParagraph"/>
        <w:numPr>
          <w:ilvl w:val="0"/>
          <w:numId w:val="2"/>
        </w:numPr>
        <w:spacing w:after="60" w:before="60"/>
      </w:pPr>
      <w:r>
        <w:rPr>
          <w:rFonts w:ascii="Arial" w:cs="Arial" w:eastAsia="Arial" w:hAnsi="Arial"/>
          <w:b/>
          <w:bCs/>
          <w:color w:val="0D1B4B"/>
          <w:sz w:val="19"/>
          <w:szCs w:val="19"/>
        </w:rPr>
        <w:t xml:space="preserve">[2]  </w:t>
      </w:r>
      <w:r>
        <w:rPr>
          <w:rFonts w:ascii="Arial" w:cs="Arial" w:eastAsia="Arial" w:hAnsi="Arial"/>
          <w:color w:val="374151"/>
          <w:sz w:val="19"/>
          <w:szCs w:val="19"/>
        </w:rPr>
        <w:t xml:space="preserve">CMS — Major Hip &amp; Knee Replacement Compliance Tips. 43.6% improper payment rate; $546.7M projected improper payments; medical necessity = 92.8% of errors (2024 Reporting Period).</w:t>
      </w:r>
      <w:r>
        <w:rPr>
          <w:rFonts w:ascii="Arial" w:cs="Arial" w:eastAsia="Arial" w:hAnsi="Arial"/>
          <w:color w:val="00778B"/>
          <w:sz w:val="17"/>
          <w:szCs w:val="17"/>
        </w:rPr>
        <w:t xml:space="preserve">  https://www.cms.gov/training-education/medicare-learning-networkr-mln/compliance/medicare-provider-compliance-tips/hip-knee-replacement</w:t>
      </w:r>
    </w:p>
    <w:p>
      <w:pPr>
        <w:pStyle w:val="ListParagraph"/>
        <w:numPr>
          <w:ilvl w:val="0"/>
          <w:numId w:val="2"/>
        </w:numPr>
        <w:spacing w:after="60" w:before="60"/>
      </w:pPr>
      <w:r>
        <w:rPr>
          <w:rFonts w:ascii="Arial" w:cs="Arial" w:eastAsia="Arial" w:hAnsi="Arial"/>
          <w:b/>
          <w:bCs/>
          <w:color w:val="0D1B4B"/>
          <w:sz w:val="19"/>
          <w:szCs w:val="19"/>
        </w:rPr>
        <w:t xml:space="preserve">[3]  </w:t>
      </w:r>
      <w:r>
        <w:rPr>
          <w:rFonts w:ascii="Arial" w:cs="Arial" w:eastAsia="Arial" w:hAnsi="Arial"/>
          <w:color w:val="374151"/>
          <w:sz w:val="19"/>
          <w:szCs w:val="19"/>
        </w:rPr>
        <w:t xml:space="preserve">CMS — Press Release: Aggressive Strategy to Enhance and Accelerate Medicare Advantage Audits (March 2026). Expansion from 60 to 550 plans; 40 to 2,000 coders; 35 to 200 records per plan.</w:t>
      </w:r>
      <w:r>
        <w:rPr>
          <w:rFonts w:ascii="Arial" w:cs="Arial" w:eastAsia="Arial" w:hAnsi="Arial"/>
          <w:color w:val="00778B"/>
          <w:sz w:val="17"/>
          <w:szCs w:val="17"/>
        </w:rPr>
        <w:t xml:space="preserve">  https://www.cms.gov/newsroom/press-releases/cms-rolls-out-aggressive-strategy-enhance-accelerate-medicare-advantage-audits</w:t>
      </w:r>
    </w:p>
    <w:p>
      <w:pPr>
        <w:pStyle w:val="ListParagraph"/>
        <w:numPr>
          <w:ilvl w:val="0"/>
          <w:numId w:val="2"/>
        </w:numPr>
        <w:spacing w:after="60" w:before="60"/>
      </w:pPr>
      <w:r>
        <w:rPr>
          <w:rFonts w:ascii="Arial" w:cs="Arial" w:eastAsia="Arial" w:hAnsi="Arial"/>
          <w:b/>
          <w:bCs/>
          <w:color w:val="0D1B4B"/>
          <w:sz w:val="19"/>
          <w:szCs w:val="19"/>
        </w:rPr>
        <w:t xml:space="preserve">[4]  </w:t>
      </w:r>
      <w:r>
        <w:rPr>
          <w:rFonts w:ascii="Arial" w:cs="Arial" w:eastAsia="Arial" w:hAnsi="Arial"/>
          <w:color w:val="374151"/>
          <w:sz w:val="19"/>
          <w:szCs w:val="19"/>
        </w:rPr>
        <w:t xml:space="preserve">OIG — Industry Segment-Specific Compliance Program Guidance for Medicare Advantage (February 3, 2026). First MA-specific guidance since 1999. Seven key risk areas.</w:t>
      </w:r>
      <w:r>
        <w:rPr>
          <w:rFonts w:ascii="Arial" w:cs="Arial" w:eastAsia="Arial" w:hAnsi="Arial"/>
          <w:color w:val="00778B"/>
          <w:sz w:val="17"/>
          <w:szCs w:val="17"/>
        </w:rPr>
        <w:t xml:space="preserve">  https://oig.hhs.gov (via Morgan Lewis, Sidley Austin, Alston &amp; Bird analyses, February 2026)</w:t>
      </w:r>
    </w:p>
    <w:p>
      <w:pPr>
        <w:pStyle w:val="ListParagraph"/>
        <w:numPr>
          <w:ilvl w:val="0"/>
          <w:numId w:val="2"/>
        </w:numPr>
        <w:spacing w:after="60" w:before="60"/>
      </w:pPr>
      <w:r>
        <w:rPr>
          <w:rFonts w:ascii="Arial" w:cs="Arial" w:eastAsia="Arial" w:hAnsi="Arial"/>
          <w:b/>
          <w:bCs/>
          <w:color w:val="0D1B4B"/>
          <w:sz w:val="19"/>
          <w:szCs w:val="19"/>
        </w:rPr>
        <w:t xml:space="preserve">[5]  </w:t>
      </w:r>
      <w:r>
        <w:rPr>
          <w:rFonts w:ascii="Arial" w:cs="Arial" w:eastAsia="Arial" w:hAnsi="Arial"/>
          <w:color w:val="374151"/>
          <w:sz w:val="19"/>
          <w:szCs w:val="19"/>
        </w:rPr>
        <w:t xml:space="preserve">OIG — Work Plan Item W-00-24-35079: Medicare Advantage Risk-Adjustment Data, Targeted Review. CMS estimates 9.5% of MA payments are improper.</w:t>
      </w:r>
      <w:r>
        <w:rPr>
          <w:rFonts w:ascii="Arial" w:cs="Arial" w:eastAsia="Arial" w:hAnsi="Arial"/>
          <w:color w:val="00778B"/>
          <w:sz w:val="17"/>
          <w:szCs w:val="17"/>
        </w:rPr>
        <w:t xml:space="preserve">  https://oig.hhs.gov/reports/work-plan/browse-work-plan-projects/w-00-24-35079/</w:t>
      </w:r>
    </w:p>
    <w:p>
      <w:pPr>
        <w:pStyle w:val="ListParagraph"/>
        <w:numPr>
          <w:ilvl w:val="0"/>
          <w:numId w:val="2"/>
        </w:numPr>
        <w:spacing w:after="60" w:before="60"/>
      </w:pPr>
      <w:r>
        <w:rPr>
          <w:rFonts w:ascii="Arial" w:cs="Arial" w:eastAsia="Arial" w:hAnsi="Arial"/>
          <w:b/>
          <w:bCs/>
          <w:color w:val="0D1B4B"/>
          <w:sz w:val="19"/>
          <w:szCs w:val="19"/>
        </w:rPr>
        <w:t xml:space="preserve">[6]  </w:t>
      </w:r>
      <w:r>
        <w:rPr>
          <w:rFonts w:ascii="Arial" w:cs="Arial" w:eastAsia="Arial" w:hAnsi="Arial"/>
          <w:color w:val="374151"/>
          <w:sz w:val="19"/>
          <w:szCs w:val="19"/>
        </w:rPr>
        <w:t xml:space="preserve">OIG — Toolkit to Cut Improper Payments in Medicare Advantage (November 2023). 70% of high-risk DX codes not supported in medical records; some codes unsupported &gt;90% of the time.</w:t>
      </w:r>
      <w:r>
        <w:rPr>
          <w:rFonts w:ascii="Arial" w:cs="Arial" w:eastAsia="Arial" w:hAnsi="Arial"/>
          <w:color w:val="00778B"/>
          <w:sz w:val="17"/>
          <w:szCs w:val="17"/>
        </w:rPr>
        <w:t xml:space="preserve">  https://www.risehealth.org/insights-articles/article/oig-s-new-toolkit-aims-to-cut-improper-payments-in-medicare-advantage/</w:t>
      </w:r>
    </w:p>
    <w:p>
      <w:pPr>
        <w:pStyle w:val="ListParagraph"/>
        <w:numPr>
          <w:ilvl w:val="0"/>
          <w:numId w:val="2"/>
        </w:numPr>
        <w:spacing w:after="60" w:before="60"/>
      </w:pPr>
      <w:r>
        <w:rPr>
          <w:rFonts w:ascii="Arial" w:cs="Arial" w:eastAsia="Arial" w:hAnsi="Arial"/>
          <w:b/>
          <w:bCs/>
          <w:color w:val="0D1B4B"/>
          <w:sz w:val="19"/>
          <w:szCs w:val="19"/>
        </w:rPr>
        <w:t xml:space="preserve">[7]  </w:t>
      </w:r>
      <w:r>
        <w:rPr>
          <w:rFonts w:ascii="Arial" w:cs="Arial" w:eastAsia="Arial" w:hAnsi="Arial"/>
          <w:color w:val="374151"/>
          <w:sz w:val="19"/>
          <w:szCs w:val="19"/>
        </w:rPr>
        <w:t xml:space="preserve">OIG — Report A-07-23-05139: Emergency Department Procedure Codes Billed with Non-ED Sites of Service — Over $15M in Improper and Potentially Improper Payments (2026).</w:t>
      </w:r>
      <w:r>
        <w:rPr>
          <w:rFonts w:ascii="Arial" w:cs="Arial" w:eastAsia="Arial" w:hAnsi="Arial"/>
          <w:color w:val="00778B"/>
          <w:sz w:val="17"/>
          <w:szCs w:val="17"/>
        </w:rPr>
        <w:t xml:space="preserve">  https://oig.hhs.gov/reports/all/2026/emergency-department-procedure-codes-used...</w:t>
      </w:r>
    </w:p>
    <w:p>
      <w:pPr>
        <w:pStyle w:val="ListParagraph"/>
        <w:numPr>
          <w:ilvl w:val="0"/>
          <w:numId w:val="2"/>
        </w:numPr>
        <w:spacing w:after="60" w:before="60"/>
      </w:pPr>
      <w:r>
        <w:rPr>
          <w:rFonts w:ascii="Arial" w:cs="Arial" w:eastAsia="Arial" w:hAnsi="Arial"/>
          <w:b/>
          <w:bCs/>
          <w:color w:val="0D1B4B"/>
          <w:sz w:val="19"/>
          <w:szCs w:val="19"/>
        </w:rPr>
        <w:t xml:space="preserve">[8]  </w:t>
      </w:r>
      <w:r>
        <w:rPr>
          <w:rFonts w:ascii="Arial" w:cs="Arial" w:eastAsia="Arial" w:hAnsi="Arial"/>
          <w:color w:val="374151"/>
          <w:sz w:val="19"/>
          <w:szCs w:val="19"/>
        </w:rPr>
        <w:t xml:space="preserve">OIG — March 2026 Work Plan Update: Inpatient Claims for Neurostimulator Implantation Surgeries added as new audit target (March 16, 2026).</w:t>
      </w:r>
      <w:r>
        <w:rPr>
          <w:rFonts w:ascii="Arial" w:cs="Arial" w:eastAsia="Arial" w:hAnsi="Arial"/>
          <w:color w:val="00778B"/>
          <w:sz w:val="17"/>
          <w:szCs w:val="17"/>
        </w:rPr>
        <w:t xml:space="preserve">  https://www.healthicity.com/blog/what-the-march-2026-oig-work-plan-updates-reveal-about-emerging-compliance-risk</w:t>
      </w:r>
    </w:p>
    <w:p>
      <w:pPr>
        <w:pStyle w:val="ListParagraph"/>
        <w:numPr>
          <w:ilvl w:val="0"/>
          <w:numId w:val="2"/>
        </w:numPr>
        <w:spacing w:after="60" w:before="60"/>
      </w:pPr>
      <w:r>
        <w:rPr>
          <w:rFonts w:ascii="Arial" w:cs="Arial" w:eastAsia="Arial" w:hAnsi="Arial"/>
          <w:b/>
          <w:bCs/>
          <w:color w:val="0D1B4B"/>
          <w:sz w:val="19"/>
          <w:szCs w:val="19"/>
        </w:rPr>
        <w:t xml:space="preserve">[9]  </w:t>
      </w:r>
      <w:r>
        <w:rPr>
          <w:rFonts w:ascii="Arial" w:cs="Arial" w:eastAsia="Arial" w:hAnsi="Arial"/>
          <w:color w:val="374151"/>
          <w:sz w:val="19"/>
          <w:szCs w:val="19"/>
        </w:rPr>
        <w:t xml:space="preserve">Wolters Kluwer — Guidelines for CMS RADV Audits: What Medicare Advantage Plans Must Know in 2026 (April 2026). $17B annual MA overpayment estimate; RADV cadence and sample size guidance.</w:t>
      </w:r>
      <w:r>
        <w:rPr>
          <w:rFonts w:ascii="Arial" w:cs="Arial" w:eastAsia="Arial" w:hAnsi="Arial"/>
          <w:color w:val="00778B"/>
          <w:sz w:val="17"/>
          <w:szCs w:val="17"/>
        </w:rPr>
        <w:t xml:space="preserve">  https://www.wolterskluwer.com/en/expert-insights/cms-guidelines-for-radv-audits</w:t>
      </w:r>
    </w:p>
    <w:p>
      <w:pPr>
        <w:pStyle w:val="ListParagraph"/>
        <w:numPr>
          <w:ilvl w:val="0"/>
          <w:numId w:val="2"/>
        </w:numPr>
        <w:spacing w:after="60" w:before="60"/>
      </w:pPr>
      <w:r>
        <w:rPr>
          <w:rFonts w:ascii="Arial" w:cs="Arial" w:eastAsia="Arial" w:hAnsi="Arial"/>
          <w:b/>
          <w:bCs/>
          <w:color w:val="0D1B4B"/>
          <w:sz w:val="19"/>
          <w:szCs w:val="19"/>
        </w:rPr>
        <w:t xml:space="preserve">[10]  </w:t>
      </w:r>
      <w:r>
        <w:rPr>
          <w:rFonts w:ascii="Arial" w:cs="Arial" w:eastAsia="Arial" w:hAnsi="Arial"/>
          <w:color w:val="374151"/>
          <w:sz w:val="19"/>
          <w:szCs w:val="19"/>
        </w:rPr>
        <w:t xml:space="preserve">RaapidInc — RADV Audits 2026: January CMS Update for Medicare Advantage Plans (February 2026). PY 2020 audits initiated February 2026; quarterly cadence going forward.</w:t>
      </w:r>
      <w:r>
        <w:rPr>
          <w:rFonts w:ascii="Arial" w:cs="Arial" w:eastAsia="Arial" w:hAnsi="Arial"/>
          <w:color w:val="00778B"/>
          <w:sz w:val="17"/>
          <w:szCs w:val="17"/>
        </w:rPr>
        <w:t xml:space="preserve">  https://www.raapidinc.com/blogs/radv-audits-2026/</w:t>
      </w:r>
    </w:p>
    <w:p>
      <w:pPr>
        <w:pStyle w:val="ListParagraph"/>
        <w:numPr>
          <w:ilvl w:val="0"/>
          <w:numId w:val="2"/>
        </w:numPr>
        <w:spacing w:after="60" w:before="60"/>
      </w:pPr>
      <w:r>
        <w:rPr>
          <w:rFonts w:ascii="Arial" w:cs="Arial" w:eastAsia="Arial" w:hAnsi="Arial"/>
          <w:b/>
          <w:bCs/>
          <w:color w:val="0D1B4B"/>
          <w:sz w:val="19"/>
          <w:szCs w:val="19"/>
        </w:rPr>
        <w:t xml:space="preserve">[11]  </w:t>
      </w:r>
      <w:r>
        <w:rPr>
          <w:rFonts w:ascii="Arial" w:cs="Arial" w:eastAsia="Arial" w:hAnsi="Arial"/>
          <w:color w:val="374151"/>
          <w:sz w:val="19"/>
          <w:szCs w:val="19"/>
        </w:rPr>
        <w:t xml:space="preserve">Humana Inc. — Form 8-K, Exhibit 99.3 (January 25, 2024): Q4 2023 Prepared Management Remarks. Higher inpatient utilization and outpatient surgical costs drove MLR to 91.4% vs. expected 89.5%.</w:t>
      </w:r>
      <w:r>
        <w:rPr>
          <w:rFonts w:ascii="Arial" w:cs="Arial" w:eastAsia="Arial" w:hAnsi="Arial"/>
          <w:color w:val="00778B"/>
          <w:sz w:val="17"/>
          <w:szCs w:val="17"/>
        </w:rPr>
        <w:t xml:space="preserve">  https://www.sec.gov/Archives/edgar/data/0000049071/000004907124000007/</w:t>
      </w:r>
    </w:p>
    <w:p>
      <w:pPr>
        <w:pStyle w:val="ListParagraph"/>
        <w:numPr>
          <w:ilvl w:val="0"/>
          <w:numId w:val="2"/>
        </w:numPr>
        <w:spacing w:after="60" w:before="60"/>
      </w:pPr>
      <w:r>
        <w:rPr>
          <w:rFonts w:ascii="Arial" w:cs="Arial" w:eastAsia="Arial" w:hAnsi="Arial"/>
          <w:b/>
          <w:bCs/>
          <w:color w:val="0D1B4B"/>
          <w:sz w:val="19"/>
          <w:szCs w:val="19"/>
        </w:rPr>
        <w:t xml:space="preserve">[12]  </w:t>
      </w:r>
      <w:r>
        <w:rPr>
          <w:rFonts w:ascii="Arial" w:cs="Arial" w:eastAsia="Arial" w:hAnsi="Arial"/>
          <w:color w:val="374151"/>
          <w:sz w:val="19"/>
          <w:szCs w:val="19"/>
        </w:rPr>
        <w:t xml:space="preserve">Healthcare Dive — Humana Medicare Advantage 2026 Coverage (February 2026). MLR at 93.1%, up one percentage point year over year.</w:t>
      </w:r>
      <w:r>
        <w:rPr>
          <w:rFonts w:ascii="Arial" w:cs="Arial" w:eastAsia="Arial" w:hAnsi="Arial"/>
          <w:color w:val="00778B"/>
          <w:sz w:val="17"/>
          <w:szCs w:val="17"/>
        </w:rPr>
        <w:t xml:space="preserve">  https://www.healthcaredive.com/news/humana-medicare-advantage-2026-growth/811917/</w:t>
      </w:r>
    </w:p>
    <w:p>
      <w:pPr>
        <w:pStyle w:val="ListParagraph"/>
        <w:numPr>
          <w:ilvl w:val="0"/>
          <w:numId w:val="2"/>
        </w:numPr>
        <w:spacing w:after="60" w:before="60"/>
      </w:pPr>
      <w:r>
        <w:rPr>
          <w:rFonts w:ascii="Arial" w:cs="Arial" w:eastAsia="Arial" w:hAnsi="Arial"/>
          <w:b/>
          <w:bCs/>
          <w:color w:val="0D1B4B"/>
          <w:sz w:val="19"/>
          <w:szCs w:val="19"/>
        </w:rPr>
        <w:t xml:space="preserve">[13]  </w:t>
      </w:r>
      <w:r>
        <w:rPr>
          <w:rFonts w:ascii="Arial" w:cs="Arial" w:eastAsia="Arial" w:hAnsi="Arial"/>
          <w:color w:val="374151"/>
          <w:sz w:val="19"/>
          <w:szCs w:val="19"/>
        </w:rPr>
        <w:t xml:space="preserve">AHCA — CMS Overhauls RADV Audit Program for Medicare Advantage Plans (August 2025). Provider impact analysis; claw-back clause documentation pressure.</w:t>
      </w:r>
      <w:r>
        <w:rPr>
          <w:rFonts w:ascii="Arial" w:cs="Arial" w:eastAsia="Arial" w:hAnsi="Arial"/>
          <w:color w:val="00778B"/>
          <w:sz w:val="17"/>
          <w:szCs w:val="17"/>
        </w:rPr>
        <w:t xml:space="preserve">  https://www.ahcancal.org/News-and-Communications/Blog/Pages/CMS-Overhauls-RADV-Audit-Program-for-Medicare-Advantage-Plans.aspx</w:t>
      </w:r>
    </w:p>
    <w:p>
      <w:pPr>
        <w:pStyle w:val="ListParagraph"/>
        <w:numPr>
          <w:ilvl w:val="0"/>
          <w:numId w:val="2"/>
        </w:numPr>
        <w:spacing w:after="60" w:before="60"/>
      </w:pPr>
      <w:r>
        <w:rPr>
          <w:rFonts w:ascii="Arial" w:cs="Arial" w:eastAsia="Arial" w:hAnsi="Arial"/>
          <w:b/>
          <w:bCs/>
          <w:color w:val="0D1B4B"/>
          <w:sz w:val="19"/>
          <w:szCs w:val="19"/>
        </w:rPr>
        <w:t xml:space="preserve">[14]  </w:t>
      </w:r>
      <w:r>
        <w:rPr>
          <w:rFonts w:ascii="Arial" w:cs="Arial" w:eastAsia="Arial" w:hAnsi="Arial"/>
          <w:color w:val="374151"/>
          <w:sz w:val="19"/>
          <w:szCs w:val="19"/>
        </w:rPr>
        <w:t xml:space="preserve">42 CFR §422.503(b)(4)(vi) — MA Organization Compliance Program Requirements. Regulatory basis for Humana's authority to conduct internal post-payment clinical reviews.</w:t>
      </w:r>
      <w:r>
        <w:rPr>
          <w:rFonts w:ascii="Arial" w:cs="Arial" w:eastAsia="Arial" w:hAnsi="Arial"/>
          <w:color w:val="00778B"/>
          <w:sz w:val="17"/>
          <w:szCs w:val="17"/>
        </w:rPr>
        <w:t xml:space="preserve">  https://www.ecfr.gov</w:t>
      </w:r>
    </w:p>
    <w:p>
      <w:pPr>
        <w:pStyle w:val="ListParagraph"/>
        <w:numPr>
          <w:ilvl w:val="0"/>
          <w:numId w:val="2"/>
        </w:numPr>
        <w:spacing w:after="60" w:before="60"/>
      </w:pPr>
      <w:r>
        <w:rPr>
          <w:rFonts w:ascii="Arial" w:cs="Arial" w:eastAsia="Arial" w:hAnsi="Arial"/>
          <w:b/>
          <w:bCs/>
          <w:color w:val="0D1B4B"/>
          <w:sz w:val="19"/>
          <w:szCs w:val="19"/>
        </w:rPr>
        <w:t xml:space="preserve">[15]  </w:t>
      </w:r>
      <w:r>
        <w:rPr>
          <w:rFonts w:ascii="Arial" w:cs="Arial" w:eastAsia="Arial" w:hAnsi="Arial"/>
          <w:color w:val="374151"/>
          <w:sz w:val="19"/>
          <w:szCs w:val="19"/>
        </w:rPr>
        <w:t xml:space="preserve">CMS ICD-10-PCS Official Coding Guidelines 2026. Governing framework for procedure code assignment in inpatient settings.</w:t>
      </w:r>
      <w:r>
        <w:rPr>
          <w:rFonts w:ascii="Arial" w:cs="Arial" w:eastAsia="Arial" w:hAnsi="Arial"/>
          <w:color w:val="00778B"/>
          <w:sz w:val="17"/>
          <w:szCs w:val="17"/>
        </w:rPr>
        <w:t xml:space="preserve">  https://www.cms.gov/files/document/2026-official-icd-10-pcs-coding-guidelines.pdf</w:t>
      </w:r>
    </w:p>
    <w:p>
      <w:pPr>
        <w:spacing w:after="240" w:before="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before="120"/>
    </w:pPr>
    <w:r>
      <w:rPr>
        <w:rFonts w:ascii="Arial" w:cs="Arial" w:eastAsia="Arial" w:hAnsi="Arial"/>
        <w:color w:val="64748B"/>
        <w:sz w:val="16"/>
        <w:szCs w:val="16"/>
      </w:rPr>
      <w:t xml:space="preserve">Expanding Clinical Validation Audits to Procedure Codes  |  May 2026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78B" w:sz="4" w:space="4"/>
      </w:pBdr>
      <w:spacing w:after="120"/>
      <w:jc w:val="right"/>
    </w:pPr>
    <w:r>
      <w:rPr>
        <w:rFonts w:ascii="Arial" w:cs="Arial" w:eastAsia="Arial" w:hAnsi="Arial"/>
        <w:color w:val="64748B"/>
        <w:sz w:val="16"/>
        <w:szCs w:val="16"/>
      </w:rPr>
      <w:t xml:space="preserve">CONFIDENTIAL | HUMANA MEDICARE ADVANTAGE | STRATEGIC COMPLIANCE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4B"/>
      <w:sz w:val="36"/>
      <w:szCs w:val="36"/>
    </w:rPr>
  </w:style>
  <w:style w:type="paragraph" w:styleId="Heading2">
    <w:name w:val="Heading 2"/>
    <w:basedOn w:val="Normal"/>
    <w:next w:val="Normal"/>
    <w:qFormat/>
    <w:pPr>
      <w:spacing w:after="80" w:before="280"/>
      <w:outlineLvl w:val="1"/>
    </w:pPr>
    <w:rPr>
      <w:rFonts w:ascii="Arial" w:cs="Arial" w:eastAsia="Arial" w:hAnsi="Arial"/>
      <w:b/>
      <w:bCs/>
      <w:color w:val="00778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2026-05-21T14:30:42.554Z</dcterms:created>
  <dcterms:modified xsi:type="dcterms:W3CDTF">2026-05-21T14:30:42.554Z</dcterms:modified>
</cp:coreProperties>
</file>

<file path=docProps/custom.xml><?xml version="1.0" encoding="utf-8"?>
<Properties xmlns="http://schemas.openxmlformats.org/officeDocument/2006/custom-properties" xmlns:vt="http://schemas.openxmlformats.org/officeDocument/2006/docPropsVTypes"/>
</file>