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before="0" w:after="160" w:line="264" w:lineRule="auto"/>
      </w:pPr>
      <w:r>
        <w:rPr>
          <w:rFonts w:ascii="Calibri" w:hAnsi="Calibri"/>
          <w:b/>
          <w:color w:val="2E74B5"/>
          <w:sz w:val="20"/>
        </w:rPr>
        <w:t>IMPLEMENTATION DOCUMENT</w:t>
      </w:r>
    </w:p>
    <w:p>
      <w:pPr>
        <w:spacing w:before="0" w:after="160" w:line="264" w:lineRule="auto"/>
      </w:pPr>
      <w:r>
        <w:rPr>
          <w:rFonts w:ascii="Calibri" w:hAnsi="Calibri"/>
          <w:b/>
          <w:color w:val="0B2545"/>
          <w:sz w:val="54"/>
        </w:rPr>
        <w:t>ChurchTools Chat</w:t>
        <w:br/>
        <w:t>for Nextcloud</w:t>
      </w:r>
    </w:p>
    <w:p>
      <w:pPr>
        <w:spacing w:before="0" w:after="440" w:line="264" w:lineRule="auto"/>
      </w:pPr>
      <w:r>
        <w:rPr>
          <w:rFonts w:ascii="Calibri" w:hAnsi="Calibri"/>
          <w:color w:val="5B6573"/>
          <w:sz w:val="26"/>
        </w:rPr>
        <w:t>A chat-only Nextcloud app with a Talk-like experience, ChurchTools identity, Matrix transport, Smart Picker support, and secure per-user access tokens.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200"/>
        <w:gridCol w:w="2700"/>
        <w:gridCol w:w="4460"/>
      </w:tblGrid>
      <w:tr>
        <w:tc>
          <w:tcPr>
            <w:tcW w:type="dxa" w:w="22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Document status</w:t>
            </w:r>
          </w:p>
        </w:tc>
        <w:tc>
          <w:tcPr>
            <w:tcW w:type="dxa" w:w="27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Audience</w:t>
            </w:r>
          </w:p>
        </w:tc>
        <w:tc>
          <w:tcPr>
            <w:tcW w:type="dxa" w:w="44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Scope</w:t>
            </w:r>
          </w:p>
        </w:tc>
      </w:tr>
      <w:tr>
        <w:tc>
          <w:tcPr>
            <w:tcW w:type="dxa" w:w="2200"/>
          </w:tcPr>
          <w:p>
            <w:pPr>
              <w:spacing w:before="0" w:after="0" w:line="259" w:lineRule="auto"/>
            </w:pPr>
            <w:r>
              <w:rPr>
                <w:rFonts w:ascii="Calibri" w:hAnsi="Calibri"/>
                <w:color w:val="0B2545"/>
                <w:sz w:val="19"/>
              </w:rPr>
              <w:t>Implementation blueprint</w:t>
            </w:r>
          </w:p>
        </w:tc>
        <w:tc>
          <w:tcPr>
            <w:tcW w:type="dxa" w:w="2700"/>
          </w:tcPr>
          <w:p>
            <w:pPr>
              <w:spacing w:before="0" w:after="0" w:line="259" w:lineRule="auto"/>
            </w:pPr>
            <w:r>
              <w:rPr>
                <w:rFonts w:ascii="Calibri" w:hAnsi="Calibri"/>
                <w:color w:val="0B2545"/>
                <w:sz w:val="19"/>
              </w:rPr>
              <w:t>Product, engineering, security and operations</w:t>
            </w:r>
          </w:p>
        </w:tc>
        <w:tc>
          <w:tcPr>
            <w:tcW w:type="dxa" w:w="4460"/>
          </w:tcPr>
          <w:p>
            <w:pPr>
              <w:spacing w:before="0" w:after="0" w:line="259" w:lineRule="auto"/>
            </w:pPr>
            <w:r>
              <w:rPr>
                <w:rFonts w:ascii="Calibri" w:hAnsi="Calibri"/>
                <w:color w:val="0B2545"/>
                <w:sz w:val="19"/>
              </w:rPr>
              <w:t>Chat only — no audio or video</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FF4DB"/>
          </w:tcPr>
          <w:p>
            <w:pPr>
              <w:spacing w:before="40" w:after="40" w:line="264" w:lineRule="auto"/>
            </w:pPr>
            <w:r>
              <w:rPr>
                <w:rFonts w:ascii="Calibri" w:hAnsi="Calibri"/>
                <w:b/>
                <w:color w:val="1F4D78"/>
                <w:sz w:val="20"/>
              </w:rPr>
              <w:t xml:space="preserve">RECOMMENDATION  </w:t>
            </w:r>
            <w:r>
              <w:rPr>
                <w:rFonts w:ascii="Calibri" w:hAnsi="Calibri"/>
                <w:color w:val="0B2545"/>
                <w:sz w:val="20"/>
              </w:rPr>
              <w:t>Build an independent Nextcloud app using the native Vue ecosystem. Reuse Talk interaction patterns and Smart Picker interfaces, but do not fork or couple to Talk’s calling, signaling, federation or media stack.</w:t>
            </w:r>
          </w:p>
        </w:tc>
      </w:tr>
    </w:tbl>
    <w:p>
      <w:pPr>
        <w:spacing w:after="40"/>
      </w:pPr>
    </w:p>
    <w:p>
      <w:pPr>
        <w:pStyle w:val="Heading1"/>
      </w:pPr>
      <w:r>
        <w:t>1. Executive summary</w:t>
      </w:r>
    </w:p>
    <w:p>
      <w:pPr>
        <w:spacing w:before="0" w:after="120" w:line="264" w:lineRule="auto"/>
      </w:pPr>
      <w:r>
        <w:rPr>
          <w:rFonts w:ascii="Calibri" w:hAnsi="Calibri"/>
          <w:i w:val="0"/>
          <w:sz w:val="22"/>
        </w:rPr>
        <w:t>This document defines the technical and product approach for a Nextcloud app that presents ChurchTools Chat inside Nextcloud. Each Nextcloud user connects their own ChurchTools account through a personal access token stored securely in Nextcloud. The app provides conversations, live messages, reactions, replies, mentions, Markdown rendering and the Nextcloud Smart Picker; it deliberately excludes audio and video calling.</w:t>
      </w:r>
    </w:p>
    <w:p>
      <w:pPr>
        <w:spacing w:before="0" w:after="120" w:line="264" w:lineRule="auto"/>
      </w:pPr>
      <w:r>
        <w:rPr>
          <w:rFonts w:ascii="Calibri" w:hAnsi="Calibri"/>
          <w:i w:val="0"/>
          <w:sz w:val="22"/>
        </w:rPr>
        <w:t>ChurchTools Chat should be treated as a two-part integration: ChurchTools REST/OpenAPI provides account-, people-, group- and chat-domain metadata, while the Matrix service behind ChurchTools Chat is the message transport. Endpoint names, authentication modes and supported features must be confirmed against the tenant’s published OpenAPI document and Matrix discovery during the technical spike.</w:t>
      </w:r>
    </w:p>
    <w:p>
      <w:pPr>
        <w:pStyle w:val="Heading1"/>
      </w:pPr>
      <w:r>
        <w:t>2. Goals, non-goals and design principles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680"/>
        <w:gridCol w:w="4680"/>
      </w:tblGrid>
      <w:tr>
        <w:tc>
          <w:tcPr>
            <w:tcW w:type="dxa" w:w="468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Goals</w:t>
            </w:r>
          </w:p>
        </w:tc>
        <w:tc>
          <w:tcPr>
            <w:tcW w:type="dxa" w:w="468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Non-goals</w:t>
            </w:r>
          </w:p>
        </w:tc>
      </w:tr>
      <w:tr>
        <w:tc>
          <w:tcPr>
            <w:tcW w:type="dxa" w:w="4680"/>
          </w:tcPr>
          <w:p>
            <w:pPr>
              <w:spacing w:before="0" w:after="0" w:line="259" w:lineRule="auto"/>
            </w:pPr>
            <w:r>
              <w:rPr>
                <w:rFonts w:ascii="Calibri" w:hAnsi="Calibri"/>
                <w:color w:val="0B2545"/>
                <w:sz w:val="19"/>
              </w:rPr>
              <w:t>Native Nextcloud chat experience with Talk-like interaction patterns.</w:t>
            </w:r>
          </w:p>
        </w:tc>
        <w:tc>
          <w:tcPr>
            <w:tcW w:type="dxa" w:w="4680"/>
          </w:tcPr>
          <w:p>
            <w:pPr>
              <w:spacing w:before="0" w:after="0" w:line="259" w:lineRule="auto"/>
            </w:pPr>
            <w:r>
              <w:rPr>
                <w:rFonts w:ascii="Calibri" w:hAnsi="Calibri"/>
                <w:color w:val="0B2545"/>
                <w:sz w:val="19"/>
              </w:rPr>
              <w:t>Video/audio, calling UI, signaling, recording, screensharing or federation.</w:t>
            </w:r>
          </w:p>
        </w:tc>
      </w:tr>
      <w:tr>
        <w:tc>
          <w:tcPr>
            <w:tcW w:type="dxa" w:w="4680"/>
          </w:tcPr>
          <w:p>
            <w:pPr>
              <w:spacing w:before="0" w:after="0" w:line="259" w:lineRule="auto"/>
            </w:pPr>
            <w:r>
              <w:rPr>
                <w:rFonts w:ascii="Calibri" w:hAnsi="Calibri"/>
                <w:color w:val="0B2545"/>
                <w:sz w:val="19"/>
              </w:rPr>
              <w:t>User-owned ChurchTools access token configured in Personal settings.</w:t>
            </w:r>
          </w:p>
        </w:tc>
        <w:tc>
          <w:tcPr>
            <w:tcW w:type="dxa" w:w="4680"/>
          </w:tcPr>
          <w:p>
            <w:pPr>
              <w:spacing w:before="0" w:after="0" w:line="259" w:lineRule="auto"/>
            </w:pPr>
            <w:r>
              <w:rPr>
                <w:rFonts w:ascii="Calibri" w:hAnsi="Calibri"/>
                <w:color w:val="0B2545"/>
                <w:sz w:val="19"/>
              </w:rPr>
              <w:t>A shared service credential that impersonates individual users.</w:t>
            </w:r>
          </w:p>
        </w:tc>
      </w:tr>
      <w:tr>
        <w:tc>
          <w:tcPr>
            <w:tcW w:type="dxa" w:w="4680"/>
          </w:tcPr>
          <w:p>
            <w:pPr>
              <w:spacing w:before="0" w:after="0" w:line="259" w:lineRule="auto"/>
            </w:pPr>
            <w:r>
              <w:rPr>
                <w:rFonts w:ascii="Calibri" w:hAnsi="Calibri"/>
                <w:color w:val="0B2545"/>
                <w:sz w:val="19"/>
              </w:rPr>
              <w:t>Reliable Matrix room synchronization and message actions.</w:t>
            </w:r>
          </w:p>
        </w:tc>
        <w:tc>
          <w:tcPr>
            <w:tcW w:type="dxa" w:w="4680"/>
          </w:tcPr>
          <w:p>
            <w:pPr>
              <w:spacing w:before="0" w:after="0" w:line="259" w:lineRule="auto"/>
            </w:pPr>
            <w:r>
              <w:rPr>
                <w:rFonts w:ascii="Calibri" w:hAnsi="Calibri"/>
                <w:color w:val="0B2545"/>
                <w:sz w:val="19"/>
              </w:rPr>
              <w:t>Replacing ChurchTools as the system of record for chat.</w:t>
            </w:r>
          </w:p>
        </w:tc>
      </w:tr>
      <w:tr>
        <w:tc>
          <w:tcPr>
            <w:tcW w:type="dxa" w:w="4680"/>
          </w:tcPr>
          <w:p>
            <w:pPr>
              <w:spacing w:before="0" w:after="0" w:line="259" w:lineRule="auto"/>
            </w:pPr>
            <w:r>
              <w:rPr>
                <w:rFonts w:ascii="Calibri" w:hAnsi="Calibri"/>
                <w:color w:val="0B2545"/>
                <w:sz w:val="19"/>
              </w:rPr>
              <w:t>Smart Picker links/shares from approved Nextcloud providers.</w:t>
            </w:r>
          </w:p>
        </w:tc>
        <w:tc>
          <w:tcPr>
            <w:tcW w:type="dxa" w:w="4680"/>
          </w:tcPr>
          <w:p>
            <w:pPr>
              <w:spacing w:before="0" w:after="0" w:line="259" w:lineRule="auto"/>
            </w:pPr>
            <w:r>
              <w:rPr>
                <w:rFonts w:ascii="Calibri" w:hAnsi="Calibri"/>
                <w:color w:val="0B2545"/>
                <w:sz w:val="19"/>
              </w:rPr>
              <w:t>Uploading arbitrary Nextcloud files without a confirmed ChurchTools/Matrix media policy.</w:t>
            </w:r>
          </w:p>
        </w:tc>
      </w:tr>
      <w:tr>
        <w:tc>
          <w:tcPr>
            <w:tcW w:type="dxa" w:w="4680"/>
          </w:tcPr>
          <w:p>
            <w:pPr>
              <w:spacing w:before="0" w:after="0" w:line="259" w:lineRule="auto"/>
            </w:pPr>
            <w:r>
              <w:rPr>
                <w:rFonts w:ascii="Calibri" w:hAnsi="Calibri"/>
                <w:color w:val="0B2545"/>
                <w:sz w:val="19"/>
              </w:rPr>
              <w:t>Accessible desktop and mobile-responsive UX.</w:t>
            </w:r>
          </w:p>
        </w:tc>
        <w:tc>
          <w:tcPr>
            <w:tcW w:type="dxa" w:w="4680"/>
          </w:tcPr>
          <w:p>
            <w:pPr>
              <w:spacing w:before="0" w:after="0" w:line="259" w:lineRule="auto"/>
            </w:pPr>
            <w:r>
              <w:rPr>
                <w:rFonts w:ascii="Calibri" w:hAnsi="Calibri"/>
                <w:color w:val="0B2545"/>
                <w:sz w:val="19"/>
              </w:rPr>
              <w:t>A custom copy of Nextcloud Talk source or styling.</w:t>
            </w:r>
          </w:p>
        </w:tc>
      </w:tr>
    </w:tbl>
    <w:p>
      <w:pPr>
        <w:spacing w:after="60"/>
      </w:pPr>
    </w:p>
    <w:p>
      <w:pPr>
        <w:pStyle w:val="Heading1"/>
      </w:pPr>
      <w:r>
        <w:t>3. Target architecture</w:t>
      </w:r>
    </w:p>
    <w:p>
      <w:pPr>
        <w:spacing w:before="0" w:after="120" w:line="264" w:lineRule="auto"/>
      </w:pPr>
      <w:r>
        <w:rPr>
          <w:rFonts w:ascii="Calibri" w:hAnsi="Calibri"/>
          <w:i w:val="0"/>
          <w:sz w:val="22"/>
        </w:rPr>
        <w:t>The app is composed of a browser client, a thin Nextcloud application backend, and ChurchTools-facing adapters. The backend owns secrets, validates user authorization and exposes a stable internal API. The browser never receives the stored ChurchTools access token or Matrix credential unless the chosen Matrix authentication flow explicitly requires a short-lived, scoped token.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600"/>
        <w:gridCol w:w="3000"/>
        <w:gridCol w:w="4760"/>
      </w:tblGrid>
      <w:tr>
        <w:tc>
          <w:tcPr>
            <w:tcW w:type="dxa" w:w="16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Layer</w:t>
            </w:r>
          </w:p>
        </w:tc>
        <w:tc>
          <w:tcPr>
            <w:tcW w:type="dxa" w:w="30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Responsibilities</w:t>
            </w:r>
          </w:p>
        </w:tc>
        <w:tc>
          <w:tcPr>
            <w:tcW w:type="dxa" w:w="47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Primary boundary</w:t>
            </w:r>
          </w:p>
        </w:tc>
      </w:tr>
      <w:tr>
        <w:tc>
          <w:tcPr>
            <w:tcW w:type="dxa" w:w="1600"/>
          </w:tcPr>
          <w:p>
            <w:pPr>
              <w:spacing w:before="0" w:after="0" w:line="259" w:lineRule="auto"/>
            </w:pPr>
            <w:r>
              <w:rPr>
                <w:rFonts w:ascii="Calibri" w:hAnsi="Calibri"/>
                <w:color w:val="0B2545"/>
                <w:sz w:val="19"/>
              </w:rPr>
              <w:t>Vue 3 client</w:t>
            </w:r>
          </w:p>
        </w:tc>
        <w:tc>
          <w:tcPr>
            <w:tcW w:type="dxa" w:w="3000"/>
          </w:tcPr>
          <w:p>
            <w:pPr>
              <w:spacing w:before="0" w:after="0" w:line="259" w:lineRule="auto"/>
            </w:pPr>
            <w:r>
              <w:rPr>
                <w:rFonts w:ascii="Calibri" w:hAnsi="Calibri"/>
                <w:color w:val="0B2545"/>
                <w:sz w:val="19"/>
              </w:rPr>
              <w:t>Conversation list, timeline, composer, picker, optimistic UI, accessibility and responsive layout.</w:t>
            </w:r>
          </w:p>
        </w:tc>
        <w:tc>
          <w:tcPr>
            <w:tcW w:type="dxa" w:w="4760"/>
          </w:tcPr>
          <w:p>
            <w:pPr>
              <w:spacing w:before="0" w:after="0" w:line="259" w:lineRule="auto"/>
            </w:pPr>
            <w:r>
              <w:rPr>
                <w:rFonts w:ascii="Calibri" w:hAnsi="Calibri"/>
                <w:color w:val="0B2545"/>
                <w:sz w:val="19"/>
              </w:rPr>
              <w:t>Nextcloud app routes; no ChurchTools secrets.</w:t>
            </w:r>
          </w:p>
        </w:tc>
      </w:tr>
      <w:tr>
        <w:tc>
          <w:tcPr>
            <w:tcW w:type="dxa" w:w="1600"/>
          </w:tcPr>
          <w:p>
            <w:pPr>
              <w:spacing w:before="0" w:after="0" w:line="259" w:lineRule="auto"/>
            </w:pPr>
            <w:r>
              <w:rPr>
                <w:rFonts w:ascii="Calibri" w:hAnsi="Calibri"/>
                <w:color w:val="0B2545"/>
                <w:sz w:val="19"/>
              </w:rPr>
              <w:t>Nextcloud PHP backend</w:t>
            </w:r>
          </w:p>
        </w:tc>
        <w:tc>
          <w:tcPr>
            <w:tcW w:type="dxa" w:w="3000"/>
          </w:tcPr>
          <w:p>
            <w:pPr>
              <w:spacing w:before="0" w:after="0" w:line="259" w:lineRule="auto"/>
            </w:pPr>
            <w:r>
              <w:rPr>
                <w:rFonts w:ascii="Calibri" w:hAnsi="Calibri"/>
                <w:color w:val="0B2545"/>
                <w:sz w:val="19"/>
              </w:rPr>
              <w:t>Personal settings, encrypted secret storage, authorization, REST proxy, Matrix bootstrap/token exchange, audit events.</w:t>
            </w:r>
          </w:p>
        </w:tc>
        <w:tc>
          <w:tcPr>
            <w:tcW w:type="dxa" w:w="4760"/>
          </w:tcPr>
          <w:p>
            <w:pPr>
              <w:spacing w:before="0" w:after="0" w:line="259" w:lineRule="auto"/>
            </w:pPr>
            <w:r>
              <w:rPr>
                <w:rFonts w:ascii="Calibri" w:hAnsi="Calibri"/>
                <w:color w:val="0B2545"/>
                <w:sz w:val="19"/>
              </w:rPr>
              <w:t>Authenticated Nextcloud session and CSRF protection.</w:t>
            </w:r>
          </w:p>
        </w:tc>
      </w:tr>
      <w:tr>
        <w:tc>
          <w:tcPr>
            <w:tcW w:type="dxa" w:w="1600"/>
          </w:tcPr>
          <w:p>
            <w:pPr>
              <w:spacing w:before="0" w:after="0" w:line="259" w:lineRule="auto"/>
            </w:pPr>
            <w:r>
              <w:rPr>
                <w:rFonts w:ascii="Calibri" w:hAnsi="Calibri"/>
                <w:color w:val="0B2545"/>
                <w:sz w:val="19"/>
              </w:rPr>
              <w:t>ChurchTools REST adapter</w:t>
            </w:r>
          </w:p>
        </w:tc>
        <w:tc>
          <w:tcPr>
            <w:tcW w:type="dxa" w:w="3000"/>
          </w:tcPr>
          <w:p>
            <w:pPr>
              <w:spacing w:before="0" w:after="0" w:line="259" w:lineRule="auto"/>
            </w:pPr>
            <w:r>
              <w:rPr>
                <w:rFonts w:ascii="Calibri" w:hAnsi="Calibri"/>
                <w:color w:val="0B2545"/>
                <w:sz w:val="19"/>
              </w:rPr>
              <w:t>OpenAPI-generated/typed calls for profile, people, groups and any official chat metadata endpoints.</w:t>
            </w:r>
          </w:p>
        </w:tc>
        <w:tc>
          <w:tcPr>
            <w:tcW w:type="dxa" w:w="4760"/>
          </w:tcPr>
          <w:p>
            <w:pPr>
              <w:spacing w:before="0" w:after="0" w:line="259" w:lineRule="auto"/>
            </w:pPr>
            <w:r>
              <w:rPr>
                <w:rFonts w:ascii="Calibri" w:hAnsi="Calibri"/>
                <w:color w:val="0B2545"/>
                <w:sz w:val="19"/>
              </w:rPr>
              <w:t>ChurchTools access token; tenant URL allowlist.</w:t>
            </w:r>
          </w:p>
        </w:tc>
      </w:tr>
      <w:tr>
        <w:tc>
          <w:tcPr>
            <w:tcW w:type="dxa" w:w="1600"/>
          </w:tcPr>
          <w:p>
            <w:pPr>
              <w:spacing w:before="0" w:after="0" w:line="259" w:lineRule="auto"/>
            </w:pPr>
            <w:r>
              <w:rPr>
                <w:rFonts w:ascii="Calibri" w:hAnsi="Calibri"/>
                <w:color w:val="0B2545"/>
                <w:sz w:val="19"/>
              </w:rPr>
              <w:t>Matrix adapter</w:t>
            </w:r>
          </w:p>
        </w:tc>
        <w:tc>
          <w:tcPr>
            <w:tcW w:type="dxa" w:w="3000"/>
          </w:tcPr>
          <w:p>
            <w:pPr>
              <w:spacing w:before="0" w:after="0" w:line="259" w:lineRule="auto"/>
            </w:pPr>
            <w:r>
              <w:rPr>
                <w:rFonts w:ascii="Calibri" w:hAnsi="Calibri"/>
                <w:color w:val="0B2545"/>
                <w:sz w:val="19"/>
              </w:rPr>
              <w:t>Room discovery, sync, events, read receipts, reactions, typing and retry semantics.</w:t>
            </w:r>
          </w:p>
        </w:tc>
        <w:tc>
          <w:tcPr>
            <w:tcW w:type="dxa" w:w="4760"/>
          </w:tcPr>
          <w:p>
            <w:pPr>
              <w:spacing w:before="0" w:after="0" w:line="259" w:lineRule="auto"/>
            </w:pPr>
            <w:r>
              <w:rPr>
                <w:rFonts w:ascii="Calibri" w:hAnsi="Calibri"/>
                <w:color w:val="0B2545"/>
                <w:sz w:val="19"/>
              </w:rPr>
              <w:t>Matrix homeserver; user-scoped credentials.</w:t>
            </w:r>
          </w:p>
        </w:tc>
      </w:tr>
      <w:tr>
        <w:tc>
          <w:tcPr>
            <w:tcW w:type="dxa" w:w="1600"/>
          </w:tcPr>
          <w:p>
            <w:pPr>
              <w:spacing w:before="0" w:after="0" w:line="259" w:lineRule="auto"/>
            </w:pPr>
            <w:r>
              <w:rPr>
                <w:rFonts w:ascii="Calibri" w:hAnsi="Calibri"/>
                <w:color w:val="0B2545"/>
                <w:sz w:val="19"/>
              </w:rPr>
              <w:t>Optional worker</w:t>
            </w:r>
          </w:p>
        </w:tc>
        <w:tc>
          <w:tcPr>
            <w:tcW w:type="dxa" w:w="3000"/>
          </w:tcPr>
          <w:p>
            <w:pPr>
              <w:spacing w:before="0" w:after="0" w:line="259" w:lineRule="auto"/>
            </w:pPr>
            <w:r>
              <w:rPr>
                <w:rFonts w:ascii="Calibri" w:hAnsi="Calibri"/>
                <w:color w:val="0B2545"/>
                <w:sz w:val="19"/>
              </w:rPr>
              <w:t>Long-poll sync or controlled background reconciliation; not required for the first UI slice.</w:t>
            </w:r>
          </w:p>
        </w:tc>
        <w:tc>
          <w:tcPr>
            <w:tcW w:type="dxa" w:w="4760"/>
          </w:tcPr>
          <w:p>
            <w:pPr>
              <w:spacing w:before="0" w:after="0" w:line="259" w:lineRule="auto"/>
            </w:pPr>
            <w:r>
              <w:rPr>
                <w:rFonts w:ascii="Calibri" w:hAnsi="Calibri"/>
                <w:color w:val="0B2545"/>
                <w:sz w:val="19"/>
              </w:rPr>
              <w:t>Nextcloud background-job lifecycle.</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E8EEF5"/>
          </w:tcPr>
          <w:p>
            <w:pPr>
              <w:spacing w:before="40" w:after="40" w:line="264" w:lineRule="auto"/>
            </w:pPr>
            <w:r>
              <w:rPr>
                <w:rFonts w:ascii="Calibri" w:hAnsi="Calibri"/>
                <w:b/>
                <w:color w:val="1F4D78"/>
                <w:sz w:val="20"/>
              </w:rPr>
              <w:t xml:space="preserve">BOUNDARY  </w:t>
            </w:r>
            <w:r>
              <w:rPr>
                <w:rFonts w:ascii="Calibri" w:hAnsi="Calibri"/>
                <w:color w:val="0B2545"/>
                <w:sz w:val="20"/>
              </w:rPr>
              <w:t>ChurchTools remains authoritative for identity and chat data. Nextcloud stores only operational configuration, encrypted credentials, minimal UI cache and user preferences.</w:t>
            </w:r>
          </w:p>
        </w:tc>
      </w:tr>
    </w:tbl>
    <w:p>
      <w:pPr>
        <w:spacing w:after="40"/>
      </w:pPr>
    </w:p>
    <w:p>
      <w:pPr>
        <w:pStyle w:val="Heading1"/>
      </w:pPr>
      <w:r>
        <w:t>4. ChurchTools REST/OpenAPI and Matrix transport</w:t>
      </w:r>
    </w:p>
    <w:p>
      <w:pPr>
        <w:pStyle w:val="Heading1"/>
      </w:pPr>
      <w:r>
        <w:t>4.1 REST/OpenAPI contract</w:t>
      </w:r>
    </w:p>
    <w:p>
      <w:pPr>
        <w:spacing w:before="0" w:after="120" w:line="264" w:lineRule="auto"/>
      </w:pPr>
      <w:r>
        <w:rPr>
          <w:rFonts w:ascii="Calibri" w:hAnsi="Calibri"/>
          <w:i w:val="0"/>
          <w:sz w:val="22"/>
        </w:rPr>
        <w:t>Import the ChurchTools OpenAPI JSON into the development workflow and generate a typed client or validated request layer. During the spike, inventory the exact chat endpoints, access-token header scheme, pagination, error envelopes, rate limits and permission behavior. Do not hard-code endpoint assumptions from UI observation.</w:t>
      </w:r>
    </w:p>
    <w:p>
      <w:pPr>
        <w:pStyle w:val="ListBullet"/>
        <w:spacing w:before="0" w:after="80" w:line="280" w:lineRule="auto"/>
        <w:ind w:left="720" w:hanging="360"/>
      </w:pPr>
      <w:r>
        <w:rPr>
          <w:rFonts w:ascii="Calibri" w:hAnsi="Calibri"/>
          <w:sz w:val="22"/>
        </w:rPr>
        <w:t>Use REST for capability checks and metadata where the official API supports it: current person, groups, names, avatars and potentially room-to-group context.</w:t>
      </w:r>
    </w:p>
    <w:p>
      <w:pPr>
        <w:pStyle w:val="ListBullet"/>
        <w:spacing w:before="0" w:after="80" w:line="280" w:lineRule="auto"/>
        <w:ind w:left="720" w:hanging="360"/>
      </w:pPr>
      <w:r>
        <w:rPr>
          <w:rFonts w:ascii="Calibri" w:hAnsi="Calibri"/>
          <w:sz w:val="22"/>
        </w:rPr>
        <w:t>Keep an endpoint capability registry so unsupported or tenant-disabled calls are hidden rather than failing at runtime.</w:t>
      </w:r>
    </w:p>
    <w:p>
      <w:pPr>
        <w:pStyle w:val="ListBullet"/>
        <w:spacing w:before="0" w:after="80" w:line="280" w:lineRule="auto"/>
        <w:ind w:left="720" w:hanging="360"/>
      </w:pPr>
      <w:r>
        <w:rPr>
          <w:rFonts w:ascii="Calibri" w:hAnsi="Calibri"/>
          <w:sz w:val="22"/>
        </w:rPr>
        <w:t>Normalize ChurchTools response DTOs into internal domain models; UI components must not depend directly on OpenAPI response shapes.</w:t>
      </w:r>
    </w:p>
    <w:p>
      <w:pPr>
        <w:pStyle w:val="Heading1"/>
      </w:pPr>
      <w:r>
        <w:t>4.2 Matrix transport</w:t>
      </w:r>
    </w:p>
    <w:p>
      <w:pPr>
        <w:spacing w:before="0" w:after="120" w:line="264" w:lineRule="auto"/>
      </w:pPr>
      <w:r>
        <w:rPr>
          <w:rFonts w:ascii="Calibri" w:hAnsi="Calibri"/>
          <w:i w:val="0"/>
          <w:sz w:val="22"/>
        </w:rPr>
        <w:t>ChurchTools Chat is backed by Matrix. Matrix should carry event-level chat operations: room list/sync, messages, edits, replies, reactions, typing state, receipts and media references where supported. The adapter must use the ChurchTools-approved user authentication/bootstrap path, not derive Matrix passwords from ChurchTools tokens.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00"/>
        <w:gridCol w:w="7560"/>
      </w:tblGrid>
      <w:tr>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Concern</w:t>
            </w:r>
          </w:p>
        </w:tc>
        <w:tc>
          <w:tcPr>
            <w:tcW w:type="dxa" w:w="75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Implementation decision</w:t>
            </w:r>
          </w:p>
        </w:tc>
      </w:tr>
      <w:tr>
        <w:tc>
          <w:tcPr>
            <w:tcW w:type="dxa" w:w="1800"/>
          </w:tcPr>
          <w:p>
            <w:pPr>
              <w:spacing w:before="0" w:after="0" w:line="259" w:lineRule="auto"/>
            </w:pPr>
            <w:r>
              <w:rPr>
                <w:rFonts w:ascii="Calibri" w:hAnsi="Calibri"/>
                <w:color w:val="0B2545"/>
                <w:sz w:val="19"/>
              </w:rPr>
              <w:t>Authentication</w:t>
            </w:r>
          </w:p>
        </w:tc>
        <w:tc>
          <w:tcPr>
            <w:tcW w:type="dxa" w:w="7560"/>
          </w:tcPr>
          <w:p>
            <w:pPr>
              <w:spacing w:before="0" w:after="0" w:line="259" w:lineRule="auto"/>
            </w:pPr>
            <w:r>
              <w:rPr>
                <w:rFonts w:ascii="Calibri" w:hAnsi="Calibri"/>
                <w:color w:val="0B2545"/>
                <w:sz w:val="19"/>
              </w:rPr>
              <w:t>Obtain Matrix credentials through a documented ChurchTools-supported bootstrap or token-exchange flow. Store refreshable credentials server-side; expose only short-lived browser material if unavoidable.</w:t>
            </w:r>
          </w:p>
        </w:tc>
      </w:tr>
      <w:tr>
        <w:tc>
          <w:tcPr>
            <w:tcW w:type="dxa" w:w="1800"/>
          </w:tcPr>
          <w:p>
            <w:pPr>
              <w:spacing w:before="0" w:after="0" w:line="259" w:lineRule="auto"/>
            </w:pPr>
            <w:r>
              <w:rPr>
                <w:rFonts w:ascii="Calibri" w:hAnsi="Calibri"/>
                <w:color w:val="0B2545"/>
                <w:sz w:val="19"/>
              </w:rPr>
              <w:t>Synchronization</w:t>
            </w:r>
          </w:p>
        </w:tc>
        <w:tc>
          <w:tcPr>
            <w:tcW w:type="dxa" w:w="7560"/>
          </w:tcPr>
          <w:p>
            <w:pPr>
              <w:spacing w:before="0" w:after="0" w:line="259" w:lineRule="auto"/>
            </w:pPr>
            <w:r>
              <w:rPr>
                <w:rFonts w:ascii="Calibri" w:hAnsi="Calibri"/>
                <w:color w:val="0B2545"/>
                <w:sz w:val="19"/>
              </w:rPr>
              <w:t>Start with room-scoped initial loads and incremental sync. Maintain a sync token per user/server-side session; reconcile after reconnect.</w:t>
            </w:r>
          </w:p>
        </w:tc>
      </w:tr>
      <w:tr>
        <w:tc>
          <w:tcPr>
            <w:tcW w:type="dxa" w:w="1800"/>
          </w:tcPr>
          <w:p>
            <w:pPr>
              <w:spacing w:before="0" w:after="0" w:line="259" w:lineRule="auto"/>
            </w:pPr>
            <w:r>
              <w:rPr>
                <w:rFonts w:ascii="Calibri" w:hAnsi="Calibri"/>
                <w:color w:val="0B2545"/>
                <w:sz w:val="19"/>
              </w:rPr>
              <w:t>Ordering</w:t>
            </w:r>
          </w:p>
        </w:tc>
        <w:tc>
          <w:tcPr>
            <w:tcW w:type="dxa" w:w="7560"/>
          </w:tcPr>
          <w:p>
            <w:pPr>
              <w:spacing w:before="0" w:after="0" w:line="259" w:lineRule="auto"/>
            </w:pPr>
            <w:r>
              <w:rPr>
                <w:rFonts w:ascii="Calibri" w:hAnsi="Calibri"/>
                <w:color w:val="0B2545"/>
                <w:sz w:val="19"/>
              </w:rPr>
              <w:t>Render Matrix event ordering with stable event IDs; tolerate late events and use server timestamps for display.</w:t>
            </w:r>
          </w:p>
        </w:tc>
      </w:tr>
      <w:tr>
        <w:tc>
          <w:tcPr>
            <w:tcW w:type="dxa" w:w="1800"/>
          </w:tcPr>
          <w:p>
            <w:pPr>
              <w:spacing w:before="0" w:after="0" w:line="259" w:lineRule="auto"/>
            </w:pPr>
            <w:r>
              <w:rPr>
                <w:rFonts w:ascii="Calibri" w:hAnsi="Calibri"/>
                <w:color w:val="0B2545"/>
                <w:sz w:val="19"/>
              </w:rPr>
              <w:t>Message formats</w:t>
            </w:r>
          </w:p>
        </w:tc>
        <w:tc>
          <w:tcPr>
            <w:tcW w:type="dxa" w:w="7560"/>
          </w:tcPr>
          <w:p>
            <w:pPr>
              <w:spacing w:before="0" w:after="0" w:line="259" w:lineRule="auto"/>
            </w:pPr>
            <w:r>
              <w:rPr>
                <w:rFonts w:ascii="Calibri" w:hAnsi="Calibri"/>
                <w:color w:val="0B2545"/>
                <w:sz w:val="19"/>
              </w:rPr>
              <w:t>Send plain fallback plus safe HTML/Markdown representation when Matrix capabilities permit. Preserve original source for editing.</w:t>
            </w:r>
          </w:p>
        </w:tc>
      </w:tr>
      <w:tr>
        <w:tc>
          <w:tcPr>
            <w:tcW w:type="dxa" w:w="1800"/>
          </w:tcPr>
          <w:p>
            <w:pPr>
              <w:spacing w:before="0" w:after="0" w:line="259" w:lineRule="auto"/>
            </w:pPr>
            <w:r>
              <w:rPr>
                <w:rFonts w:ascii="Calibri" w:hAnsi="Calibri"/>
                <w:color w:val="0B2545"/>
                <w:sz w:val="19"/>
              </w:rPr>
              <w:t>Media</w:t>
            </w:r>
          </w:p>
        </w:tc>
        <w:tc>
          <w:tcPr>
            <w:tcW w:type="dxa" w:w="7560"/>
          </w:tcPr>
          <w:p>
            <w:pPr>
              <w:spacing w:before="0" w:after="0" w:line="259" w:lineRule="auto"/>
            </w:pPr>
            <w:r>
              <w:rPr>
                <w:rFonts w:ascii="Calibri" w:hAnsi="Calibri"/>
                <w:color w:val="0B2545"/>
                <w:sz w:val="19"/>
              </w:rPr>
              <w:t>Phase separately. Require explicit confirmation of media upload, retention and access rules before enabling attachments.</w:t>
            </w:r>
          </w:p>
        </w:tc>
      </w:tr>
      <w:tr>
        <w:tc>
          <w:tcPr>
            <w:tcW w:type="dxa" w:w="1800"/>
          </w:tcPr>
          <w:p>
            <w:pPr>
              <w:spacing w:before="0" w:after="0" w:line="259" w:lineRule="auto"/>
            </w:pPr>
            <w:r>
              <w:rPr>
                <w:rFonts w:ascii="Calibri" w:hAnsi="Calibri"/>
                <w:color w:val="0B2545"/>
                <w:sz w:val="19"/>
              </w:rPr>
              <w:t>Feature gaps</w:t>
            </w:r>
          </w:p>
        </w:tc>
        <w:tc>
          <w:tcPr>
            <w:tcW w:type="dxa" w:w="7560"/>
          </w:tcPr>
          <w:p>
            <w:pPr>
              <w:spacing w:before="0" w:after="0" w:line="259" w:lineRule="auto"/>
            </w:pPr>
            <w:r>
              <w:rPr>
                <w:rFonts w:ascii="Calibri" w:hAnsi="Calibri"/>
                <w:color w:val="0B2545"/>
                <w:sz w:val="19"/>
              </w:rPr>
              <w:t>Map unsupported Matrix capabilities to disabled UI affordances with clear explanations, never silent loss of user action.</w:t>
            </w:r>
          </w:p>
        </w:tc>
      </w:tr>
    </w:tbl>
    <w:p>
      <w:pPr>
        <w:spacing w:after="60"/>
      </w:pPr>
    </w:p>
    <w:p>
      <w:pPr>
        <w:pStyle w:val="Heading1"/>
      </w:pPr>
      <w:r>
        <w:t>5. User experience</w:t>
      </w:r>
    </w:p>
    <w:p>
      <w:pPr>
        <w:pStyle w:val="Heading1"/>
      </w:pPr>
      <w:r>
        <w:t>5.1 Talk-like chat shell</w:t>
      </w:r>
    </w:p>
    <w:p>
      <w:pPr>
        <w:spacing w:before="0" w:after="120" w:line="264" w:lineRule="auto"/>
      </w:pPr>
      <w:r>
        <w:rPr>
          <w:rFonts w:ascii="Calibri" w:hAnsi="Calibri"/>
          <w:i w:val="0"/>
          <w:sz w:val="22"/>
        </w:rPr>
        <w:t>The application should feel native to Nextcloud Talk without duplicating it. Use @nextcloud/vue components, Nextcloud navigation patterns, standard avatar components and familiar keyboard behavior. Avoid Talk-specific calling controls altogether.</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100"/>
        <w:gridCol w:w="7260"/>
      </w:tblGrid>
      <w:tr>
        <w:tc>
          <w:tcPr>
            <w:tcW w:type="dxa" w:w="21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Area</w:t>
            </w:r>
          </w:p>
        </w:tc>
        <w:tc>
          <w:tcPr>
            <w:tcW w:type="dxa" w:w="72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Experience</w:t>
            </w:r>
          </w:p>
        </w:tc>
      </w:tr>
      <w:tr>
        <w:tc>
          <w:tcPr>
            <w:tcW w:type="dxa" w:w="2100"/>
          </w:tcPr>
          <w:p>
            <w:pPr>
              <w:spacing w:before="0" w:after="0" w:line="259" w:lineRule="auto"/>
            </w:pPr>
            <w:r>
              <w:rPr>
                <w:rFonts w:ascii="Calibri" w:hAnsi="Calibri"/>
                <w:color w:val="0B2545"/>
                <w:sz w:val="19"/>
              </w:rPr>
              <w:t>Conversation sidebar</w:t>
            </w:r>
          </w:p>
        </w:tc>
        <w:tc>
          <w:tcPr>
            <w:tcW w:type="dxa" w:w="7260"/>
          </w:tcPr>
          <w:p>
            <w:pPr>
              <w:spacing w:before="0" w:after="0" w:line="259" w:lineRule="auto"/>
            </w:pPr>
            <w:r>
              <w:rPr>
                <w:rFonts w:ascii="Calibri" w:hAnsi="Calibri"/>
                <w:color w:val="0B2545"/>
                <w:sz w:val="19"/>
              </w:rPr>
              <w:t>Search; recent and unread conversations; avatars; latest-message preview; timestamps; unread badge; keyboard selection.</w:t>
            </w:r>
          </w:p>
        </w:tc>
      </w:tr>
      <w:tr>
        <w:tc>
          <w:tcPr>
            <w:tcW w:type="dxa" w:w="2100"/>
          </w:tcPr>
          <w:p>
            <w:pPr>
              <w:spacing w:before="0" w:after="0" w:line="259" w:lineRule="auto"/>
            </w:pPr>
            <w:r>
              <w:rPr>
                <w:rFonts w:ascii="Calibri" w:hAnsi="Calibri"/>
                <w:color w:val="0B2545"/>
                <w:sz w:val="19"/>
              </w:rPr>
              <w:t>Conversation header</w:t>
            </w:r>
          </w:p>
        </w:tc>
        <w:tc>
          <w:tcPr>
            <w:tcW w:type="dxa" w:w="7260"/>
          </w:tcPr>
          <w:p>
            <w:pPr>
              <w:spacing w:before="0" w:after="0" w:line="259" w:lineRule="auto"/>
            </w:pPr>
            <w:r>
              <w:rPr>
                <w:rFonts w:ascii="Calibri" w:hAnsi="Calibri"/>
                <w:color w:val="0B2545"/>
                <w:sz w:val="19"/>
              </w:rPr>
              <w:t>Title, membership/context, search and a compact overflow menu. No call, video or participant-invite controls unless later approved.</w:t>
            </w:r>
          </w:p>
        </w:tc>
      </w:tr>
      <w:tr>
        <w:tc>
          <w:tcPr>
            <w:tcW w:type="dxa" w:w="2100"/>
          </w:tcPr>
          <w:p>
            <w:pPr>
              <w:spacing w:before="0" w:after="0" w:line="259" w:lineRule="auto"/>
            </w:pPr>
            <w:r>
              <w:rPr>
                <w:rFonts w:ascii="Calibri" w:hAnsi="Calibri"/>
                <w:color w:val="0B2545"/>
                <w:sz w:val="19"/>
              </w:rPr>
              <w:t>Message timeline</w:t>
            </w:r>
          </w:p>
        </w:tc>
        <w:tc>
          <w:tcPr>
            <w:tcW w:type="dxa" w:w="7260"/>
          </w:tcPr>
          <w:p>
            <w:pPr>
              <w:spacing w:before="0" w:after="0" w:line="259" w:lineRule="auto"/>
            </w:pPr>
            <w:r>
              <w:rPr>
                <w:rFonts w:ascii="Calibri" w:hAnsi="Calibri"/>
                <w:color w:val="0B2545"/>
                <w:sz w:val="19"/>
              </w:rPr>
              <w:t>Day separators, sender grouping, avatar/name, timestamps, Markdown, edits, reply context, reactions, thread/reply action and hover/focus actions.</w:t>
            </w:r>
          </w:p>
        </w:tc>
      </w:tr>
      <w:tr>
        <w:tc>
          <w:tcPr>
            <w:tcW w:type="dxa" w:w="2100"/>
          </w:tcPr>
          <w:p>
            <w:pPr>
              <w:spacing w:before="0" w:after="0" w:line="259" w:lineRule="auto"/>
            </w:pPr>
            <w:r>
              <w:rPr>
                <w:rFonts w:ascii="Calibri" w:hAnsi="Calibri"/>
                <w:color w:val="0B2545"/>
                <w:sz w:val="19"/>
              </w:rPr>
              <w:t>Composer</w:t>
            </w:r>
          </w:p>
        </w:tc>
        <w:tc>
          <w:tcPr>
            <w:tcW w:type="dxa" w:w="7260"/>
          </w:tcPr>
          <w:p>
            <w:pPr>
              <w:spacing w:before="0" w:after="0" w:line="259" w:lineRule="auto"/>
            </w:pPr>
            <w:r>
              <w:rPr>
                <w:rFonts w:ascii="Calibri" w:hAnsi="Calibri"/>
                <w:color w:val="0B2545"/>
                <w:sz w:val="19"/>
              </w:rPr>
              <w:t>Expandable multiline field, Send control, emoji/reaction affordance, Markdown help and Smart Picker trigger. Enter sends; Shift+Enter adds a line break.</w:t>
            </w:r>
          </w:p>
        </w:tc>
      </w:tr>
      <w:tr>
        <w:tc>
          <w:tcPr>
            <w:tcW w:type="dxa" w:w="2100"/>
          </w:tcPr>
          <w:p>
            <w:pPr>
              <w:spacing w:before="0" w:after="0" w:line="259" w:lineRule="auto"/>
            </w:pPr>
            <w:r>
              <w:rPr>
                <w:rFonts w:ascii="Calibri" w:hAnsi="Calibri"/>
                <w:color w:val="0B2545"/>
                <w:sz w:val="19"/>
              </w:rPr>
              <w:t>Feedback</w:t>
            </w:r>
          </w:p>
        </w:tc>
        <w:tc>
          <w:tcPr>
            <w:tcW w:type="dxa" w:w="7260"/>
          </w:tcPr>
          <w:p>
            <w:pPr>
              <w:spacing w:before="0" w:after="0" w:line="259" w:lineRule="auto"/>
            </w:pPr>
            <w:r>
              <w:rPr>
                <w:rFonts w:ascii="Calibri" w:hAnsi="Calibri"/>
                <w:color w:val="0B2545"/>
                <w:sz w:val="19"/>
              </w:rPr>
              <w:t>Optimistic sent state, retry for failures, offline/read-only notice, loading skeletons and empty states.</w:t>
            </w:r>
          </w:p>
        </w:tc>
      </w:tr>
    </w:tbl>
    <w:p>
      <w:pPr>
        <w:spacing w:after="60"/>
      </w:pPr>
    </w:p>
    <w:p>
      <w:pPr>
        <w:pStyle w:val="Heading1"/>
      </w:pPr>
      <w:r>
        <w:t>5.2 Smart Picker integration</w:t>
      </w:r>
    </w:p>
    <w:p>
      <w:pPr>
        <w:spacing w:before="0" w:after="120" w:line="264" w:lineRule="auto"/>
      </w:pPr>
      <w:r>
        <w:rPr>
          <w:rFonts w:ascii="Calibri" w:hAnsi="Calibri"/>
          <w:i w:val="0"/>
          <w:sz w:val="22"/>
        </w:rPr>
        <w:t>Register the app as a Smart Picker consumer and invoke the platform picker from the composer. Picker results should be translated into the chosen message representation: typically a label and canonical Nextcloud share/link. The transport adapter may enrich the message with Matrix rich-text metadata only after confirming that the receiving ChurchTools clients render it safely.</w:t>
      </w:r>
    </w:p>
    <w:p>
      <w:pPr>
        <w:pStyle w:val="ListBullet"/>
        <w:spacing w:before="0" w:after="80" w:line="280" w:lineRule="auto"/>
        <w:ind w:left="720" w:hanging="360"/>
      </w:pPr>
      <w:r>
        <w:rPr>
          <w:rFonts w:ascii="Calibri" w:hAnsi="Calibri"/>
          <w:sz w:val="22"/>
        </w:rPr>
        <w:t>Use Nextcloud’s picker registration and provider contracts rather than reimplementing file, user or emoji selection.</w:t>
      </w:r>
    </w:p>
    <w:p>
      <w:pPr>
        <w:pStyle w:val="ListBullet"/>
        <w:spacing w:before="0" w:after="80" w:line="280" w:lineRule="auto"/>
        <w:ind w:left="720" w:hanging="360"/>
      </w:pPr>
      <w:r>
        <w:rPr>
          <w:rFonts w:ascii="Calibri" w:hAnsi="Calibri"/>
          <w:sz w:val="22"/>
        </w:rPr>
        <w:t>Show only providers whose output policy is supported (for example, public/internal share links); respect existing Nextcloud sharing permissions.</w:t>
      </w:r>
    </w:p>
    <w:p>
      <w:pPr>
        <w:pStyle w:val="ListBullet"/>
        <w:spacing w:before="0" w:after="80" w:line="280" w:lineRule="auto"/>
        <w:ind w:left="720" w:hanging="360"/>
      </w:pPr>
      <w:r>
        <w:rPr>
          <w:rFonts w:ascii="Calibri" w:hAnsi="Calibri"/>
          <w:sz w:val="22"/>
        </w:rPr>
        <w:t>Present a reviewable insertion before sending and make the selected link text accessible.</w:t>
      </w:r>
    </w:p>
    <w:p>
      <w:pPr>
        <w:pStyle w:val="ListBullet"/>
        <w:spacing w:before="0" w:after="80" w:line="280" w:lineRule="auto"/>
        <w:ind w:left="720" w:hanging="360"/>
      </w:pPr>
      <w:r>
        <w:rPr>
          <w:rFonts w:ascii="Calibri" w:hAnsi="Calibri"/>
          <w:sz w:val="22"/>
        </w:rPr>
        <w:t>Do not silently upload files or expand permissions as a side effect of selection.</w:t>
      </w:r>
    </w:p>
    <w:p>
      <w:pPr>
        <w:pStyle w:val="Heading1"/>
      </w:pPr>
      <w:r>
        <w:t>5.3 Markdown rendering</w:t>
      </w:r>
    </w:p>
    <w:p>
      <w:pPr>
        <w:spacing w:before="0" w:after="120" w:line="264" w:lineRule="auto"/>
      </w:pPr>
      <w:r>
        <w:rPr>
          <w:rFonts w:ascii="Calibri" w:hAnsi="Calibri"/>
          <w:i w:val="0"/>
          <w:sz w:val="22"/>
        </w:rPr>
        <w:t>Treat message content as untrusted. Parse a restricted CommonMark/GFM-compatible subset, sanitize rendered HTML with an allowlist and prohibit executable URLs, inline event handlers, style attributes and raw HTML by default. Support emphasis, lists, quotes, headings at a restrained scale, code, links and line breaks. Link handling must use rel="noopener noreferrer" and a safe URL policy.</w:t>
      </w:r>
    </w:p>
    <w:p>
      <w:pPr>
        <w:pStyle w:val="Heading1"/>
      </w:pPr>
      <w:r>
        <w:t>5.4 Responsive and mobile behavior</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100"/>
        <w:gridCol w:w="7260"/>
      </w:tblGrid>
      <w:tr>
        <w:tc>
          <w:tcPr>
            <w:tcW w:type="dxa" w:w="21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Breakpoint / context</w:t>
            </w:r>
          </w:p>
        </w:tc>
        <w:tc>
          <w:tcPr>
            <w:tcW w:type="dxa" w:w="72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Behavior</w:t>
            </w:r>
          </w:p>
        </w:tc>
      </w:tr>
      <w:tr>
        <w:tc>
          <w:tcPr>
            <w:tcW w:type="dxa" w:w="2100"/>
          </w:tcPr>
          <w:p>
            <w:pPr>
              <w:spacing w:before="0" w:after="0" w:line="259" w:lineRule="auto"/>
            </w:pPr>
            <w:r>
              <w:rPr>
                <w:rFonts w:ascii="Calibri" w:hAnsi="Calibri"/>
                <w:color w:val="0B2545"/>
                <w:sz w:val="19"/>
              </w:rPr>
              <w:t>Desktop ≥ 1024 px</w:t>
            </w:r>
          </w:p>
        </w:tc>
        <w:tc>
          <w:tcPr>
            <w:tcW w:type="dxa" w:w="7260"/>
          </w:tcPr>
          <w:p>
            <w:pPr>
              <w:spacing w:before="0" w:after="0" w:line="259" w:lineRule="auto"/>
            </w:pPr>
            <w:r>
              <w:rPr>
                <w:rFonts w:ascii="Calibri" w:hAnsi="Calibri"/>
                <w:color w:val="0B2545"/>
                <w:sz w:val="19"/>
              </w:rPr>
              <w:t>Persistent conversation sidebar and message pane; composer remains anchored.</w:t>
            </w:r>
          </w:p>
        </w:tc>
      </w:tr>
      <w:tr>
        <w:tc>
          <w:tcPr>
            <w:tcW w:type="dxa" w:w="2100"/>
          </w:tcPr>
          <w:p>
            <w:pPr>
              <w:spacing w:before="0" w:after="0" w:line="259" w:lineRule="auto"/>
            </w:pPr>
            <w:r>
              <w:rPr>
                <w:rFonts w:ascii="Calibri" w:hAnsi="Calibri"/>
                <w:color w:val="0B2545"/>
                <w:sz w:val="19"/>
              </w:rPr>
              <w:t>Tablet 640–1023 px</w:t>
            </w:r>
          </w:p>
        </w:tc>
        <w:tc>
          <w:tcPr>
            <w:tcW w:type="dxa" w:w="7260"/>
          </w:tcPr>
          <w:p>
            <w:pPr>
              <w:spacing w:before="0" w:after="0" w:line="259" w:lineRule="auto"/>
            </w:pPr>
            <w:r>
              <w:rPr>
                <w:rFonts w:ascii="Calibri" w:hAnsi="Calibri"/>
                <w:color w:val="0B2545"/>
                <w:sz w:val="19"/>
              </w:rPr>
              <w:t>Collapsible sidebar; preserve room search and unread context; actions move into overflow menu.</w:t>
            </w:r>
          </w:p>
        </w:tc>
      </w:tr>
      <w:tr>
        <w:tc>
          <w:tcPr>
            <w:tcW w:type="dxa" w:w="2100"/>
          </w:tcPr>
          <w:p>
            <w:pPr>
              <w:spacing w:before="0" w:after="0" w:line="259" w:lineRule="auto"/>
            </w:pPr>
            <w:r>
              <w:rPr>
                <w:rFonts w:ascii="Calibri" w:hAnsi="Calibri"/>
                <w:color w:val="0B2545"/>
                <w:sz w:val="19"/>
              </w:rPr>
              <w:t>Mobile &lt; 640 px</w:t>
            </w:r>
          </w:p>
        </w:tc>
        <w:tc>
          <w:tcPr>
            <w:tcW w:type="dxa" w:w="7260"/>
          </w:tcPr>
          <w:p>
            <w:pPr>
              <w:spacing w:before="0" w:after="0" w:line="259" w:lineRule="auto"/>
            </w:pPr>
            <w:r>
              <w:rPr>
                <w:rFonts w:ascii="Calibri" w:hAnsi="Calibri"/>
                <w:color w:val="0B2545"/>
                <w:sz w:val="19"/>
              </w:rPr>
              <w:t>One-pane navigation: room list → conversation with back affordance. Large tap targets; bottom-safe composer; no hover-only actions.</w:t>
            </w:r>
          </w:p>
        </w:tc>
      </w:tr>
      <w:tr>
        <w:tc>
          <w:tcPr>
            <w:tcW w:type="dxa" w:w="2100"/>
          </w:tcPr>
          <w:p>
            <w:pPr>
              <w:spacing w:before="0" w:after="0" w:line="259" w:lineRule="auto"/>
            </w:pPr>
            <w:r>
              <w:rPr>
                <w:rFonts w:ascii="Calibri" w:hAnsi="Calibri"/>
                <w:color w:val="0B2545"/>
                <w:sz w:val="19"/>
              </w:rPr>
              <w:t>Keyboard and assistive tech</w:t>
            </w:r>
          </w:p>
        </w:tc>
        <w:tc>
          <w:tcPr>
            <w:tcW w:type="dxa" w:w="7260"/>
          </w:tcPr>
          <w:p>
            <w:pPr>
              <w:spacing w:before="0" w:after="0" w:line="259" w:lineRule="auto"/>
            </w:pPr>
            <w:r>
              <w:rPr>
                <w:rFonts w:ascii="Calibri" w:hAnsi="Calibri"/>
                <w:color w:val="0B2545"/>
                <w:sz w:val="19"/>
              </w:rPr>
              <w:t>Logical focus order, visible focus states, ARIA live announcements for new messages without stealing focus, and action labels independent of icons.</w:t>
            </w:r>
          </w:p>
        </w:tc>
      </w:tr>
    </w:tbl>
    <w:p>
      <w:pPr>
        <w:spacing w:after="60"/>
      </w:pPr>
    </w:p>
    <w:p>
      <w:pPr>
        <w:pStyle w:val="Heading1"/>
      </w:pPr>
      <w:r>
        <w:t>6. Technical stack and component structure</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00"/>
        <w:gridCol w:w="3100"/>
        <w:gridCol w:w="4560"/>
      </w:tblGrid>
      <w:tr>
        <w:tc>
          <w:tcPr>
            <w:tcW w:type="dxa" w:w="17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Area</w:t>
            </w:r>
          </w:p>
        </w:tc>
        <w:tc>
          <w:tcPr>
            <w:tcW w:type="dxa" w:w="31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Recommended technology</w:t>
            </w:r>
          </w:p>
        </w:tc>
        <w:tc>
          <w:tcPr>
            <w:tcW w:type="dxa" w:w="45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Notes</w:t>
            </w:r>
          </w:p>
        </w:tc>
      </w:tr>
      <w:tr>
        <w:tc>
          <w:tcPr>
            <w:tcW w:type="dxa" w:w="1700"/>
          </w:tcPr>
          <w:p>
            <w:pPr>
              <w:spacing w:before="0" w:after="0" w:line="259" w:lineRule="auto"/>
            </w:pPr>
            <w:r>
              <w:rPr>
                <w:rFonts w:ascii="Calibri" w:hAnsi="Calibri"/>
                <w:color w:val="0B2545"/>
                <w:sz w:val="19"/>
              </w:rPr>
              <w:t>Frontend</w:t>
            </w:r>
          </w:p>
        </w:tc>
        <w:tc>
          <w:tcPr>
            <w:tcW w:type="dxa" w:w="3100"/>
          </w:tcPr>
          <w:p>
            <w:pPr>
              <w:spacing w:before="0" w:after="0" w:line="259" w:lineRule="auto"/>
            </w:pPr>
            <w:r>
              <w:rPr>
                <w:rFonts w:ascii="Calibri" w:hAnsi="Calibri"/>
                <w:color w:val="0B2545"/>
                <w:sz w:val="19"/>
              </w:rPr>
              <w:t>Vue 3 + TypeScript + @nextcloud/vue</w:t>
            </w:r>
          </w:p>
        </w:tc>
        <w:tc>
          <w:tcPr>
            <w:tcW w:type="dxa" w:w="4560"/>
          </w:tcPr>
          <w:p>
            <w:pPr>
              <w:spacing w:before="0" w:after="0" w:line="259" w:lineRule="auto"/>
            </w:pPr>
            <w:r>
              <w:rPr>
                <w:rFonts w:ascii="Calibri" w:hAnsi="Calibri"/>
                <w:color w:val="0B2545"/>
                <w:sz w:val="19"/>
              </w:rPr>
              <w:t>Composition API, typed stores/composables, native Nextcloud components.</w:t>
            </w:r>
          </w:p>
        </w:tc>
      </w:tr>
      <w:tr>
        <w:tc>
          <w:tcPr>
            <w:tcW w:type="dxa" w:w="1700"/>
          </w:tcPr>
          <w:p>
            <w:pPr>
              <w:spacing w:before="0" w:after="0" w:line="259" w:lineRule="auto"/>
            </w:pPr>
            <w:r>
              <w:rPr>
                <w:rFonts w:ascii="Calibri" w:hAnsi="Calibri"/>
                <w:color w:val="0B2545"/>
                <w:sz w:val="19"/>
              </w:rPr>
              <w:t>Backend</w:t>
            </w:r>
          </w:p>
        </w:tc>
        <w:tc>
          <w:tcPr>
            <w:tcW w:type="dxa" w:w="3100"/>
          </w:tcPr>
          <w:p>
            <w:pPr>
              <w:spacing w:before="0" w:after="0" w:line="259" w:lineRule="auto"/>
            </w:pPr>
            <w:r>
              <w:rPr>
                <w:rFonts w:ascii="Calibri" w:hAnsi="Calibri"/>
                <w:color w:val="0B2545"/>
                <w:sz w:val="19"/>
              </w:rPr>
              <w:t>Nextcloud App Framework (PHP)</w:t>
            </w:r>
          </w:p>
        </w:tc>
        <w:tc>
          <w:tcPr>
            <w:tcW w:type="dxa" w:w="4560"/>
          </w:tcPr>
          <w:p>
            <w:pPr>
              <w:spacing w:before="0" w:after="0" w:line="259" w:lineRule="auto"/>
            </w:pPr>
            <w:r>
              <w:rPr>
                <w:rFonts w:ascii="Calibri" w:hAnsi="Calibri"/>
                <w:color w:val="0B2545"/>
                <w:sz w:val="19"/>
              </w:rPr>
              <w:t>Controllers, settings, secure config, background jobs, event listeners and CSRF/session protections.</w:t>
            </w:r>
          </w:p>
        </w:tc>
      </w:tr>
      <w:tr>
        <w:tc>
          <w:tcPr>
            <w:tcW w:type="dxa" w:w="1700"/>
          </w:tcPr>
          <w:p>
            <w:pPr>
              <w:spacing w:before="0" w:after="0" w:line="259" w:lineRule="auto"/>
            </w:pPr>
            <w:r>
              <w:rPr>
                <w:rFonts w:ascii="Calibri" w:hAnsi="Calibri"/>
                <w:color w:val="0B2545"/>
                <w:sz w:val="19"/>
              </w:rPr>
              <w:t>API models</w:t>
            </w:r>
          </w:p>
        </w:tc>
        <w:tc>
          <w:tcPr>
            <w:tcW w:type="dxa" w:w="3100"/>
          </w:tcPr>
          <w:p>
            <w:pPr>
              <w:spacing w:before="0" w:after="0" w:line="259" w:lineRule="auto"/>
            </w:pPr>
            <w:r>
              <w:rPr>
                <w:rFonts w:ascii="Calibri" w:hAnsi="Calibri"/>
                <w:color w:val="0B2545"/>
                <w:sz w:val="19"/>
              </w:rPr>
              <w:t>OpenAPI-derived TypeScript/PHP DTOs + internal mappers</w:t>
            </w:r>
          </w:p>
        </w:tc>
        <w:tc>
          <w:tcPr>
            <w:tcW w:type="dxa" w:w="4560"/>
          </w:tcPr>
          <w:p>
            <w:pPr>
              <w:spacing w:before="0" w:after="0" w:line="259" w:lineRule="auto"/>
            </w:pPr>
            <w:r>
              <w:rPr>
                <w:rFonts w:ascii="Calibri" w:hAnsi="Calibri"/>
                <w:color w:val="0B2545"/>
                <w:sz w:val="19"/>
              </w:rPr>
              <w:t>Generated code is isolated from UI and domain models.</w:t>
            </w:r>
          </w:p>
        </w:tc>
      </w:tr>
      <w:tr>
        <w:tc>
          <w:tcPr>
            <w:tcW w:type="dxa" w:w="1700"/>
          </w:tcPr>
          <w:p>
            <w:pPr>
              <w:spacing w:before="0" w:after="0" w:line="259" w:lineRule="auto"/>
            </w:pPr>
            <w:r>
              <w:rPr>
                <w:rFonts w:ascii="Calibri" w:hAnsi="Calibri"/>
                <w:color w:val="0B2545"/>
                <w:sz w:val="19"/>
              </w:rPr>
              <w:t>Matrix client</w:t>
            </w:r>
          </w:p>
        </w:tc>
        <w:tc>
          <w:tcPr>
            <w:tcW w:type="dxa" w:w="3100"/>
          </w:tcPr>
          <w:p>
            <w:pPr>
              <w:spacing w:before="0" w:after="0" w:line="259" w:lineRule="auto"/>
            </w:pPr>
            <w:r>
              <w:rPr>
                <w:rFonts w:ascii="Calibri" w:hAnsi="Calibri"/>
                <w:color w:val="0B2545"/>
                <w:sz w:val="19"/>
              </w:rPr>
              <w:t>Mature Matrix client library behind a service adapter</w:t>
            </w:r>
          </w:p>
        </w:tc>
        <w:tc>
          <w:tcPr>
            <w:tcW w:type="dxa" w:w="4560"/>
          </w:tcPr>
          <w:p>
            <w:pPr>
              <w:spacing w:before="0" w:after="0" w:line="259" w:lineRule="auto"/>
            </w:pPr>
            <w:r>
              <w:rPr>
                <w:rFonts w:ascii="Calibri" w:hAnsi="Calibri"/>
                <w:color w:val="0B2545"/>
                <w:sz w:val="19"/>
              </w:rPr>
              <w:t>Keep vendor/client choice replaceable; hide SDK objects from components.</w:t>
            </w:r>
          </w:p>
        </w:tc>
      </w:tr>
      <w:tr>
        <w:tc>
          <w:tcPr>
            <w:tcW w:type="dxa" w:w="1700"/>
          </w:tcPr>
          <w:p>
            <w:pPr>
              <w:spacing w:before="0" w:after="0" w:line="259" w:lineRule="auto"/>
            </w:pPr>
            <w:r>
              <w:rPr>
                <w:rFonts w:ascii="Calibri" w:hAnsi="Calibri"/>
                <w:color w:val="0B2545"/>
                <w:sz w:val="19"/>
              </w:rPr>
              <w:t>State</w:t>
            </w:r>
          </w:p>
        </w:tc>
        <w:tc>
          <w:tcPr>
            <w:tcW w:type="dxa" w:w="3100"/>
          </w:tcPr>
          <w:p>
            <w:pPr>
              <w:spacing w:before="0" w:after="0" w:line="259" w:lineRule="auto"/>
            </w:pPr>
            <w:r>
              <w:rPr>
                <w:rFonts w:ascii="Calibri" w:hAnsi="Calibri"/>
                <w:color w:val="0B2545"/>
                <w:sz w:val="19"/>
              </w:rPr>
              <w:t>Pinia or composable stores</w:t>
            </w:r>
          </w:p>
        </w:tc>
        <w:tc>
          <w:tcPr>
            <w:tcW w:type="dxa" w:w="4560"/>
          </w:tcPr>
          <w:p>
            <w:pPr>
              <w:spacing w:before="0" w:after="0" w:line="259" w:lineRule="auto"/>
            </w:pPr>
            <w:r>
              <w:rPr>
                <w:rFonts w:ascii="Calibri" w:hAnsi="Calibri"/>
                <w:color w:val="0B2545"/>
                <w:sz w:val="19"/>
              </w:rPr>
              <w:t>Room list, active room, timeline, drafts, connection state and per-action status.</w:t>
            </w:r>
          </w:p>
        </w:tc>
      </w:tr>
      <w:tr>
        <w:tc>
          <w:tcPr>
            <w:tcW w:type="dxa" w:w="1700"/>
          </w:tcPr>
          <w:p>
            <w:pPr>
              <w:spacing w:before="0" w:after="0" w:line="259" w:lineRule="auto"/>
            </w:pPr>
            <w:r>
              <w:rPr>
                <w:rFonts w:ascii="Calibri" w:hAnsi="Calibri"/>
                <w:color w:val="0B2545"/>
                <w:sz w:val="19"/>
              </w:rPr>
              <w:t>Build/test</w:t>
            </w:r>
          </w:p>
        </w:tc>
        <w:tc>
          <w:tcPr>
            <w:tcW w:type="dxa" w:w="3100"/>
          </w:tcPr>
          <w:p>
            <w:pPr>
              <w:spacing w:before="0" w:after="0" w:line="259" w:lineRule="auto"/>
            </w:pPr>
            <w:r>
              <w:rPr>
                <w:rFonts w:ascii="Calibri" w:hAnsi="Calibri"/>
                <w:color w:val="0B2545"/>
                <w:sz w:val="19"/>
              </w:rPr>
              <w:t>Nextcloud app toolchain, ESLint, PHP static analysis, unit/integration/E2E tests</w:t>
            </w:r>
          </w:p>
        </w:tc>
        <w:tc>
          <w:tcPr>
            <w:tcW w:type="dxa" w:w="4560"/>
          </w:tcPr>
          <w:p>
            <w:pPr>
              <w:spacing w:before="0" w:after="0" w:line="259" w:lineRule="auto"/>
            </w:pPr>
            <w:r>
              <w:rPr>
                <w:rFonts w:ascii="Calibri" w:hAnsi="Calibri"/>
                <w:color w:val="0B2545"/>
                <w:sz w:val="19"/>
              </w:rPr>
              <w:t>Pin compatible dependency versions to the supported Nextcloud range.</w:t>
            </w:r>
          </w:p>
        </w:tc>
      </w:tr>
    </w:tbl>
    <w:p>
      <w:pPr>
        <w:spacing w:after="60"/>
      </w:pPr>
    </w:p>
    <w:p>
      <w:pPr>
        <w:pStyle w:val="Heading1"/>
      </w:pPr>
      <w:r>
        <w:t>6.1 Frontend module map</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500"/>
        <w:gridCol w:w="6860"/>
      </w:tblGrid>
      <w:tr>
        <w:tc>
          <w:tcPr>
            <w:tcW w:type="dxa" w:w="25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Module</w:t>
            </w:r>
          </w:p>
        </w:tc>
        <w:tc>
          <w:tcPr>
            <w:tcW w:type="dxa" w:w="68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Responsibility</w:t>
            </w:r>
          </w:p>
        </w:tc>
      </w:tr>
      <w:tr>
        <w:tc>
          <w:tcPr>
            <w:tcW w:type="dxa" w:w="2500"/>
          </w:tcPr>
          <w:p>
            <w:pPr>
              <w:spacing w:before="0" w:after="0" w:line="259" w:lineRule="auto"/>
            </w:pPr>
            <w:r>
              <w:rPr>
                <w:rFonts w:ascii="Calibri" w:hAnsi="Calibri"/>
                <w:color w:val="0B2545"/>
                <w:sz w:val="19"/>
              </w:rPr>
              <w:t>views/ChatAppView</w:t>
            </w:r>
          </w:p>
        </w:tc>
        <w:tc>
          <w:tcPr>
            <w:tcW w:type="dxa" w:w="6860"/>
          </w:tcPr>
          <w:p>
            <w:pPr>
              <w:spacing w:before="0" w:after="0" w:line="259" w:lineRule="auto"/>
            </w:pPr>
            <w:r>
              <w:rPr>
                <w:rFonts w:ascii="Calibri" w:hAnsi="Calibri"/>
                <w:color w:val="0B2545"/>
                <w:sz w:val="19"/>
              </w:rPr>
              <w:t>Responsive shell, routing and active-room lifecycle.</w:t>
            </w:r>
          </w:p>
        </w:tc>
      </w:tr>
      <w:tr>
        <w:tc>
          <w:tcPr>
            <w:tcW w:type="dxa" w:w="2500"/>
          </w:tcPr>
          <w:p>
            <w:pPr>
              <w:spacing w:before="0" w:after="0" w:line="259" w:lineRule="auto"/>
            </w:pPr>
            <w:r>
              <w:rPr>
                <w:rFonts w:ascii="Calibri" w:hAnsi="Calibri"/>
                <w:color w:val="0B2545"/>
                <w:sz w:val="19"/>
              </w:rPr>
              <w:t>components/ConversationList</w:t>
            </w:r>
          </w:p>
        </w:tc>
        <w:tc>
          <w:tcPr>
            <w:tcW w:type="dxa" w:w="6860"/>
          </w:tcPr>
          <w:p>
            <w:pPr>
              <w:spacing w:before="0" w:after="0" w:line="259" w:lineRule="auto"/>
            </w:pPr>
            <w:r>
              <w:rPr>
                <w:rFonts w:ascii="Calibri" w:hAnsi="Calibri"/>
                <w:color w:val="0B2545"/>
                <w:sz w:val="19"/>
              </w:rPr>
              <w:t>Search, unread list, keyboard navigation and empty/error states.</w:t>
            </w:r>
          </w:p>
        </w:tc>
      </w:tr>
      <w:tr>
        <w:tc>
          <w:tcPr>
            <w:tcW w:type="dxa" w:w="2500"/>
          </w:tcPr>
          <w:p>
            <w:pPr>
              <w:spacing w:before="0" w:after="0" w:line="259" w:lineRule="auto"/>
            </w:pPr>
            <w:r>
              <w:rPr>
                <w:rFonts w:ascii="Calibri" w:hAnsi="Calibri"/>
                <w:color w:val="0B2545"/>
                <w:sz w:val="19"/>
              </w:rPr>
              <w:t>components/MessageTimeline</w:t>
            </w:r>
          </w:p>
        </w:tc>
        <w:tc>
          <w:tcPr>
            <w:tcW w:type="dxa" w:w="6860"/>
          </w:tcPr>
          <w:p>
            <w:pPr>
              <w:spacing w:before="0" w:after="0" w:line="259" w:lineRule="auto"/>
            </w:pPr>
            <w:r>
              <w:rPr>
                <w:rFonts w:ascii="Calibri" w:hAnsi="Calibri"/>
                <w:color w:val="0B2545"/>
                <w:sz w:val="19"/>
              </w:rPr>
              <w:t>Virtualized event list, grouping, receipts, loading history and day separators.</w:t>
            </w:r>
          </w:p>
        </w:tc>
      </w:tr>
      <w:tr>
        <w:tc>
          <w:tcPr>
            <w:tcW w:type="dxa" w:w="2500"/>
          </w:tcPr>
          <w:p>
            <w:pPr>
              <w:spacing w:before="0" w:after="0" w:line="259" w:lineRule="auto"/>
            </w:pPr>
            <w:r>
              <w:rPr>
                <w:rFonts w:ascii="Calibri" w:hAnsi="Calibri"/>
                <w:color w:val="0B2545"/>
                <w:sz w:val="19"/>
              </w:rPr>
              <w:t>components/MessageBubble</w:t>
            </w:r>
          </w:p>
        </w:tc>
        <w:tc>
          <w:tcPr>
            <w:tcW w:type="dxa" w:w="6860"/>
          </w:tcPr>
          <w:p>
            <w:pPr>
              <w:spacing w:before="0" w:after="0" w:line="259" w:lineRule="auto"/>
            </w:pPr>
            <w:r>
              <w:rPr>
                <w:rFonts w:ascii="Calibri" w:hAnsi="Calibri"/>
                <w:color w:val="0B2545"/>
                <w:sz w:val="19"/>
              </w:rPr>
              <w:t>Safe rendered message, reply context, reactions and action menu.</w:t>
            </w:r>
          </w:p>
        </w:tc>
      </w:tr>
      <w:tr>
        <w:tc>
          <w:tcPr>
            <w:tcW w:type="dxa" w:w="2500"/>
          </w:tcPr>
          <w:p>
            <w:pPr>
              <w:spacing w:before="0" w:after="0" w:line="259" w:lineRule="auto"/>
            </w:pPr>
            <w:r>
              <w:rPr>
                <w:rFonts w:ascii="Calibri" w:hAnsi="Calibri"/>
                <w:color w:val="0B2545"/>
                <w:sz w:val="19"/>
              </w:rPr>
              <w:t>components/MessageComposer</w:t>
            </w:r>
          </w:p>
        </w:tc>
        <w:tc>
          <w:tcPr>
            <w:tcW w:type="dxa" w:w="6860"/>
          </w:tcPr>
          <w:p>
            <w:pPr>
              <w:spacing w:before="0" w:after="0" w:line="259" w:lineRule="auto"/>
            </w:pPr>
            <w:r>
              <w:rPr>
                <w:rFonts w:ascii="Calibri" w:hAnsi="Calibri"/>
                <w:color w:val="0B2545"/>
                <w:sz w:val="19"/>
              </w:rPr>
              <w:t>Draft persistence, validation, send/retry, Markdown affordance and Smart Picker consumer.</w:t>
            </w:r>
          </w:p>
        </w:tc>
      </w:tr>
      <w:tr>
        <w:tc>
          <w:tcPr>
            <w:tcW w:type="dxa" w:w="2500"/>
          </w:tcPr>
          <w:p>
            <w:pPr>
              <w:spacing w:before="0" w:after="0" w:line="259" w:lineRule="auto"/>
            </w:pPr>
            <w:r>
              <w:rPr>
                <w:rFonts w:ascii="Calibri" w:hAnsi="Calibri"/>
                <w:color w:val="0B2545"/>
                <w:sz w:val="19"/>
              </w:rPr>
              <w:t>stores/chatStore</w:t>
            </w:r>
          </w:p>
        </w:tc>
        <w:tc>
          <w:tcPr>
            <w:tcW w:type="dxa" w:w="6860"/>
          </w:tcPr>
          <w:p>
            <w:pPr>
              <w:spacing w:before="0" w:after="0" w:line="259" w:lineRule="auto"/>
            </w:pPr>
            <w:r>
              <w:rPr>
                <w:rFonts w:ascii="Calibri" w:hAnsi="Calibri"/>
                <w:color w:val="0B2545"/>
                <w:sz w:val="19"/>
              </w:rPr>
              <w:t>Client state, optimistic mutations, sync snapshots and reconnect handling.</w:t>
            </w:r>
          </w:p>
        </w:tc>
      </w:tr>
      <w:tr>
        <w:tc>
          <w:tcPr>
            <w:tcW w:type="dxa" w:w="2500"/>
          </w:tcPr>
          <w:p>
            <w:pPr>
              <w:spacing w:before="0" w:after="0" w:line="259" w:lineRule="auto"/>
            </w:pPr>
            <w:r>
              <w:rPr>
                <w:rFonts w:ascii="Calibri" w:hAnsi="Calibri"/>
                <w:color w:val="0B2545"/>
                <w:sz w:val="19"/>
              </w:rPr>
              <w:t>services/chatApi</w:t>
            </w:r>
          </w:p>
        </w:tc>
        <w:tc>
          <w:tcPr>
            <w:tcW w:type="dxa" w:w="6860"/>
          </w:tcPr>
          <w:p>
            <w:pPr>
              <w:spacing w:before="0" w:after="0" w:line="259" w:lineRule="auto"/>
            </w:pPr>
            <w:r>
              <w:rPr>
                <w:rFonts w:ascii="Calibri" w:hAnsi="Calibri"/>
                <w:color w:val="0B2545"/>
                <w:sz w:val="19"/>
              </w:rPr>
              <w:t>Typed calls to the Nextcloud backend only.</w:t>
            </w:r>
          </w:p>
        </w:tc>
      </w:tr>
      <w:tr>
        <w:tc>
          <w:tcPr>
            <w:tcW w:type="dxa" w:w="2500"/>
          </w:tcPr>
          <w:p>
            <w:pPr>
              <w:spacing w:before="0" w:after="0" w:line="259" w:lineRule="auto"/>
            </w:pPr>
            <w:r>
              <w:rPr>
                <w:rFonts w:ascii="Calibri" w:hAnsi="Calibri"/>
                <w:color w:val="0B2545"/>
                <w:sz w:val="19"/>
              </w:rPr>
              <w:t>composables/useSmartPicker</w:t>
            </w:r>
          </w:p>
        </w:tc>
        <w:tc>
          <w:tcPr>
            <w:tcW w:type="dxa" w:w="6860"/>
          </w:tcPr>
          <w:p>
            <w:pPr>
              <w:spacing w:before="0" w:after="0" w:line="259" w:lineRule="auto"/>
            </w:pPr>
            <w:r>
              <w:rPr>
                <w:rFonts w:ascii="Calibri" w:hAnsi="Calibri"/>
                <w:color w:val="0B2545"/>
                <w:sz w:val="19"/>
              </w:rPr>
              <w:t>Picker invocation, selection normalization and insertion.</w:t>
            </w:r>
          </w:p>
        </w:tc>
      </w:tr>
    </w:tbl>
    <w:p>
      <w:pPr>
        <w:spacing w:after="60"/>
      </w:pPr>
    </w:p>
    <w:p>
      <w:pPr>
        <w:pStyle w:val="Heading1"/>
      </w:pPr>
      <w:r>
        <w:t>6.2 Backend service boundaries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500"/>
        <w:gridCol w:w="6860"/>
      </w:tblGrid>
      <w:tr>
        <w:tc>
          <w:tcPr>
            <w:tcW w:type="dxa" w:w="25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Service</w:t>
            </w:r>
          </w:p>
        </w:tc>
        <w:tc>
          <w:tcPr>
            <w:tcW w:type="dxa" w:w="68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Contract</w:t>
            </w:r>
          </w:p>
        </w:tc>
      </w:tr>
      <w:tr>
        <w:tc>
          <w:tcPr>
            <w:tcW w:type="dxa" w:w="2500"/>
          </w:tcPr>
          <w:p>
            <w:pPr>
              <w:spacing w:before="0" w:after="0" w:line="259" w:lineRule="auto"/>
            </w:pPr>
            <w:r>
              <w:rPr>
                <w:rFonts w:ascii="Calibri" w:hAnsi="Calibri"/>
                <w:color w:val="0B2545"/>
                <w:sz w:val="19"/>
              </w:rPr>
              <w:t>PersonalSettingsService</w:t>
            </w:r>
          </w:p>
        </w:tc>
        <w:tc>
          <w:tcPr>
            <w:tcW w:type="dxa" w:w="6860"/>
          </w:tcPr>
          <w:p>
            <w:pPr>
              <w:spacing w:before="0" w:after="0" w:line="259" w:lineRule="auto"/>
            </w:pPr>
            <w:r>
              <w:rPr>
                <w:rFonts w:ascii="Calibri" w:hAnsi="Calibri"/>
                <w:color w:val="0B2545"/>
                <w:sz w:val="19"/>
              </w:rPr>
              <w:t>Validates, encrypts, updates and deletes the per-user ChurchTools token; never returns token values after save.</w:t>
            </w:r>
          </w:p>
        </w:tc>
      </w:tr>
      <w:tr>
        <w:tc>
          <w:tcPr>
            <w:tcW w:type="dxa" w:w="2500"/>
          </w:tcPr>
          <w:p>
            <w:pPr>
              <w:spacing w:before="0" w:after="0" w:line="259" w:lineRule="auto"/>
            </w:pPr>
            <w:r>
              <w:rPr>
                <w:rFonts w:ascii="Calibri" w:hAnsi="Calibri"/>
                <w:color w:val="0B2545"/>
                <w:sz w:val="19"/>
              </w:rPr>
              <w:t>ChurchToolsRestClient</w:t>
            </w:r>
          </w:p>
        </w:tc>
        <w:tc>
          <w:tcPr>
            <w:tcW w:type="dxa" w:w="6860"/>
          </w:tcPr>
          <w:p>
            <w:pPr>
              <w:spacing w:before="0" w:after="0" w:line="259" w:lineRule="auto"/>
            </w:pPr>
            <w:r>
              <w:rPr>
                <w:rFonts w:ascii="Calibri" w:hAnsi="Calibri"/>
                <w:color w:val="0B2545"/>
                <w:sz w:val="19"/>
              </w:rPr>
              <w:t>Executes allowlisted, typed REST calls with token injection and redacted structured errors.</w:t>
            </w:r>
          </w:p>
        </w:tc>
      </w:tr>
      <w:tr>
        <w:tc>
          <w:tcPr>
            <w:tcW w:type="dxa" w:w="2500"/>
          </w:tcPr>
          <w:p>
            <w:pPr>
              <w:spacing w:before="0" w:after="0" w:line="259" w:lineRule="auto"/>
            </w:pPr>
            <w:r>
              <w:rPr>
                <w:rFonts w:ascii="Calibri" w:hAnsi="Calibri"/>
                <w:color w:val="0B2545"/>
                <w:sz w:val="19"/>
              </w:rPr>
              <w:t>MatrixBootstrapService</w:t>
            </w:r>
          </w:p>
        </w:tc>
        <w:tc>
          <w:tcPr>
            <w:tcW w:type="dxa" w:w="6860"/>
          </w:tcPr>
          <w:p>
            <w:pPr>
              <w:spacing w:before="0" w:after="0" w:line="259" w:lineRule="auto"/>
            </w:pPr>
            <w:r>
              <w:rPr>
                <w:rFonts w:ascii="Calibri" w:hAnsi="Calibri"/>
                <w:color w:val="0B2545"/>
                <w:sz w:val="19"/>
              </w:rPr>
              <w:t>Obtains, refreshes and revokes documented Matrix credentials; records expiry and capability information.</w:t>
            </w:r>
          </w:p>
        </w:tc>
      </w:tr>
      <w:tr>
        <w:tc>
          <w:tcPr>
            <w:tcW w:type="dxa" w:w="2500"/>
          </w:tcPr>
          <w:p>
            <w:pPr>
              <w:spacing w:before="0" w:after="0" w:line="259" w:lineRule="auto"/>
            </w:pPr>
            <w:r>
              <w:rPr>
                <w:rFonts w:ascii="Calibri" w:hAnsi="Calibri"/>
                <w:color w:val="0B2545"/>
                <w:sz w:val="19"/>
              </w:rPr>
              <w:t>ChatGateway</w:t>
            </w:r>
          </w:p>
        </w:tc>
        <w:tc>
          <w:tcPr>
            <w:tcW w:type="dxa" w:w="6860"/>
          </w:tcPr>
          <w:p>
            <w:pPr>
              <w:spacing w:before="0" w:after="0" w:line="259" w:lineRule="auto"/>
            </w:pPr>
            <w:r>
              <w:rPr>
                <w:rFonts w:ascii="Calibri" w:hAnsi="Calibri"/>
                <w:color w:val="0B2545"/>
                <w:sz w:val="19"/>
              </w:rPr>
              <w:t>Presents stable endpoints: rooms, messages, send/edit/reply/react, receipts, picker-link policy and connection status.</w:t>
            </w:r>
          </w:p>
        </w:tc>
      </w:tr>
      <w:tr>
        <w:tc>
          <w:tcPr>
            <w:tcW w:type="dxa" w:w="2500"/>
          </w:tcPr>
          <w:p>
            <w:pPr>
              <w:spacing w:before="0" w:after="0" w:line="259" w:lineRule="auto"/>
            </w:pPr>
            <w:r>
              <w:rPr>
                <w:rFonts w:ascii="Calibri" w:hAnsi="Calibri"/>
                <w:color w:val="0B2545"/>
                <w:sz w:val="19"/>
              </w:rPr>
              <w:t>SyncCoordinator</w:t>
            </w:r>
          </w:p>
        </w:tc>
        <w:tc>
          <w:tcPr>
            <w:tcW w:type="dxa" w:w="6860"/>
          </w:tcPr>
          <w:p>
            <w:pPr>
              <w:spacing w:before="0" w:after="0" w:line="259" w:lineRule="auto"/>
            </w:pPr>
            <w:r>
              <w:rPr>
                <w:rFonts w:ascii="Calibri" w:hAnsi="Calibri"/>
                <w:color w:val="0B2545"/>
                <w:sz w:val="19"/>
              </w:rPr>
              <w:t>Owns incremental sync, token checkpointing, backoff and reconciliation.</w:t>
            </w:r>
          </w:p>
        </w:tc>
      </w:tr>
      <w:tr>
        <w:tc>
          <w:tcPr>
            <w:tcW w:type="dxa" w:w="2500"/>
          </w:tcPr>
          <w:p>
            <w:pPr>
              <w:spacing w:before="0" w:after="0" w:line="259" w:lineRule="auto"/>
            </w:pPr>
            <w:r>
              <w:rPr>
                <w:rFonts w:ascii="Calibri" w:hAnsi="Calibri"/>
                <w:color w:val="0B2545"/>
                <w:sz w:val="19"/>
              </w:rPr>
              <w:t>AuditLogger</w:t>
            </w:r>
          </w:p>
        </w:tc>
        <w:tc>
          <w:tcPr>
            <w:tcW w:type="dxa" w:w="6860"/>
          </w:tcPr>
          <w:p>
            <w:pPr>
              <w:spacing w:before="0" w:after="0" w:line="259" w:lineRule="auto"/>
            </w:pPr>
            <w:r>
              <w:rPr>
                <w:rFonts w:ascii="Calibri" w:hAnsi="Calibri"/>
                <w:color w:val="0B2545"/>
                <w:sz w:val="19"/>
              </w:rPr>
              <w:t>Records security-relevant configuration and connection events without credentials or message bodies.</w:t>
            </w:r>
          </w:p>
        </w:tc>
      </w:tr>
    </w:tbl>
    <w:p>
      <w:pPr>
        <w:spacing w:after="60"/>
      </w:pPr>
    </w:p>
    <w:p>
      <w:pPr>
        <w:pStyle w:val="Heading1"/>
      </w:pPr>
      <w:r>
        <w:t>7. Data flows</w:t>
      </w:r>
    </w:p>
    <w:p>
      <w:pPr>
        <w:pStyle w:val="Heading1"/>
      </w:pPr>
      <w:r>
        <w:t>7.1 Personal token setup</w:t>
      </w:r>
    </w:p>
    <w:p>
      <w:pPr>
        <w:pStyle w:val="ListNumber"/>
        <w:spacing w:before="0" w:after="80" w:line="280" w:lineRule="auto"/>
        <w:ind w:left="720" w:hanging="360"/>
      </w:pPr>
      <w:r>
        <w:rPr>
          <w:rFonts w:ascii="Calibri" w:hAnsi="Calibri"/>
          <w:sz w:val="22"/>
        </w:rPr>
        <w:t>User opens Personal settings → ChurchTools Chat and enters the tenant URL (if configurable) plus access token.</w:t>
      </w:r>
    </w:p>
    <w:p>
      <w:pPr>
        <w:pStyle w:val="ListNumber"/>
        <w:spacing w:before="0" w:after="80" w:line="280" w:lineRule="auto"/>
        <w:ind w:left="720" w:hanging="360"/>
      </w:pPr>
      <w:r>
        <w:rPr>
          <w:rFonts w:ascii="Calibri" w:hAnsi="Calibri"/>
          <w:sz w:val="22"/>
        </w:rPr>
        <w:t>Backend validates URL against an allowlist, validates token with a minimal identity/capability request and shows a redacted success state.</w:t>
      </w:r>
    </w:p>
    <w:p>
      <w:pPr>
        <w:pStyle w:val="ListNumber"/>
        <w:spacing w:before="0" w:after="80" w:line="280" w:lineRule="auto"/>
        <w:ind w:left="720" w:hanging="360"/>
      </w:pPr>
      <w:r>
        <w:rPr>
          <w:rFonts w:ascii="Calibri" w:hAnsi="Calibri"/>
          <w:sz w:val="22"/>
        </w:rPr>
        <w:t>Token is encrypted using Nextcloud-managed secret facilities; only a reference, expiry state and capability flags are persisted for normal reads.</w:t>
      </w:r>
    </w:p>
    <w:p>
      <w:pPr>
        <w:pStyle w:val="ListNumber"/>
        <w:spacing w:before="0" w:after="80" w:line="280" w:lineRule="auto"/>
        <w:ind w:left="720" w:hanging="360"/>
      </w:pPr>
      <w:r>
        <w:rPr>
          <w:rFonts w:ascii="Calibri" w:hAnsi="Calibri"/>
          <w:sz w:val="22"/>
        </w:rPr>
        <w:t>Backend bootstraps Matrix access using the approved ChurchTools mechanism and records connection status.</w:t>
      </w:r>
    </w:p>
    <w:p>
      <w:pPr>
        <w:pStyle w:val="Heading1"/>
      </w:pPr>
      <w:r>
        <w:t>7.2 Load and synchronize a conversation</w:t>
      </w:r>
    </w:p>
    <w:p>
      <w:pPr>
        <w:pStyle w:val="ListNumber"/>
        <w:spacing w:before="0" w:after="80" w:line="280" w:lineRule="auto"/>
        <w:ind w:left="720" w:hanging="360"/>
      </w:pPr>
      <w:r>
        <w:rPr>
          <w:rFonts w:ascii="Calibri" w:hAnsi="Calibri"/>
          <w:sz w:val="22"/>
        </w:rPr>
        <w:t>Client requests the room list from ChatGateway; gateway joins REST metadata with Matrix room state.</w:t>
      </w:r>
    </w:p>
    <w:p>
      <w:pPr>
        <w:pStyle w:val="ListNumber"/>
        <w:spacing w:before="0" w:after="80" w:line="280" w:lineRule="auto"/>
        <w:ind w:left="720" w:hanging="360"/>
      </w:pPr>
      <w:r>
        <w:rPr>
          <w:rFonts w:ascii="Calibri" w:hAnsi="Calibri"/>
          <w:sz w:val="22"/>
        </w:rPr>
        <w:t>Client opens a room; gateway returns a bounded initial event page and sync cursor, then receives incremental updates.</w:t>
      </w:r>
    </w:p>
    <w:p>
      <w:pPr>
        <w:pStyle w:val="ListNumber"/>
        <w:spacing w:before="0" w:after="80" w:line="280" w:lineRule="auto"/>
        <w:ind w:left="720" w:hanging="360"/>
      </w:pPr>
      <w:r>
        <w:rPr>
          <w:rFonts w:ascii="Calibri" w:hAnsi="Calibri"/>
          <w:sz w:val="22"/>
        </w:rPr>
        <w:t>Client normalizes events into the timeline and acknowledges read state after the room is visible.</w:t>
      </w:r>
    </w:p>
    <w:p>
      <w:pPr>
        <w:pStyle w:val="ListNumber"/>
        <w:spacing w:before="0" w:after="80" w:line="280" w:lineRule="auto"/>
        <w:ind w:left="720" w:hanging="360"/>
      </w:pPr>
      <w:r>
        <w:rPr>
          <w:rFonts w:ascii="Calibri" w:hAnsi="Calibri"/>
          <w:sz w:val="22"/>
        </w:rPr>
        <w:t>On reconnect, SyncCoordinator resumes from the cursor; any missed events are merged by event ID.</w:t>
      </w:r>
    </w:p>
    <w:p>
      <w:pPr>
        <w:pStyle w:val="Heading1"/>
      </w:pPr>
      <w:r>
        <w:t>7.3 Send a Smart Picker link</w:t>
      </w:r>
    </w:p>
    <w:p>
      <w:pPr>
        <w:pStyle w:val="ListNumber"/>
        <w:spacing w:before="0" w:after="80" w:line="280" w:lineRule="auto"/>
        <w:ind w:left="720" w:hanging="360"/>
      </w:pPr>
      <w:r>
        <w:rPr>
          <w:rFonts w:ascii="Calibri" w:hAnsi="Calibri"/>
          <w:sz w:val="22"/>
        </w:rPr>
        <w:t>User selects a Smart Picker result in the composer and reviews the inserted label/link.</w:t>
      </w:r>
    </w:p>
    <w:p>
      <w:pPr>
        <w:pStyle w:val="ListNumber"/>
        <w:spacing w:before="0" w:after="80" w:line="280" w:lineRule="auto"/>
        <w:ind w:left="720" w:hanging="360"/>
      </w:pPr>
      <w:r>
        <w:rPr>
          <w:rFonts w:ascii="Calibri" w:hAnsi="Calibri"/>
          <w:sz w:val="22"/>
        </w:rPr>
        <w:t>Client validates allowed scheme and calls the backend send endpoint with content and structured link metadata.</w:t>
      </w:r>
    </w:p>
    <w:p>
      <w:pPr>
        <w:pStyle w:val="ListNumber"/>
        <w:spacing w:before="0" w:after="80" w:line="280" w:lineRule="auto"/>
        <w:ind w:left="720" w:hanging="360"/>
      </w:pPr>
      <w:r>
        <w:rPr>
          <w:rFonts w:ascii="Calibri" w:hAnsi="Calibri"/>
          <w:sz w:val="22"/>
        </w:rPr>
        <w:t>Backend enforces policy, maps to Matrix content and sends. Client displays an optimistic message until the event ID is confirmed.</w:t>
      </w:r>
    </w:p>
    <w:p>
      <w:pPr>
        <w:pStyle w:val="Heading1"/>
      </w:pPr>
      <w:r>
        <w:t>8. Security and privacy</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CEBEC"/>
          </w:tcPr>
          <w:p>
            <w:pPr>
              <w:spacing w:before="40" w:after="40" w:line="264" w:lineRule="auto"/>
            </w:pPr>
            <w:r>
              <w:rPr>
                <w:rFonts w:ascii="Calibri" w:hAnsi="Calibri"/>
                <w:b/>
                <w:color w:val="1F4D78"/>
                <w:sz w:val="20"/>
              </w:rPr>
              <w:t xml:space="preserve">SECURITY BASELINE  </w:t>
            </w:r>
            <w:r>
              <w:rPr>
                <w:rFonts w:ascii="Calibri" w:hAnsi="Calibri"/>
                <w:color w:val="0B2545"/>
                <w:sz w:val="20"/>
              </w:rPr>
              <w:t>No ChurchTools access token, Matrix refresh token or client secret is written to browser storage, logged, included in exception text, or returned by normal API responses.</w:t>
            </w:r>
          </w:p>
        </w:tc>
      </w:tr>
    </w:tbl>
    <w:p>
      <w:pPr>
        <w:spacing w:after="40"/>
      </w:pPr>
    </w:p>
    <w:p>
      <w:pPr>
        <w:pStyle w:val="ListBullet"/>
        <w:spacing w:before="0" w:after="80" w:line="280" w:lineRule="auto"/>
        <w:ind w:left="720" w:hanging="360"/>
      </w:pPr>
      <w:r>
        <w:rPr>
          <w:rFonts w:ascii="Calibri" w:hAnsi="Calibri"/>
          <w:sz w:val="22"/>
        </w:rPr>
        <w:t>Encrypt secrets at rest with Nextcloud’s approved secure configuration/crypto services; scope records to the authenticated Nextcloud user.</w:t>
      </w:r>
    </w:p>
    <w:p>
      <w:pPr>
        <w:pStyle w:val="ListBullet"/>
        <w:spacing w:before="0" w:after="80" w:line="280" w:lineRule="auto"/>
        <w:ind w:left="720" w:hanging="360"/>
      </w:pPr>
      <w:r>
        <w:rPr>
          <w:rFonts w:ascii="Calibri" w:hAnsi="Calibri"/>
          <w:sz w:val="22"/>
        </w:rPr>
        <w:t>Use HTTPS only, strict tenant/homeserver allowlists, outbound request timeouts, DNS/IP egress safeguards and SSRF-resistant URL validation.</w:t>
      </w:r>
    </w:p>
    <w:p>
      <w:pPr>
        <w:pStyle w:val="ListBullet"/>
        <w:spacing w:before="0" w:after="80" w:line="280" w:lineRule="auto"/>
        <w:ind w:left="720" w:hanging="360"/>
      </w:pPr>
      <w:r>
        <w:rPr>
          <w:rFonts w:ascii="Calibri" w:hAnsi="Calibri"/>
          <w:sz w:val="22"/>
        </w:rPr>
        <w:t>Enforce Nextcloud session authentication, CSRF protection, authorization checks on every room/action endpoint and rate limits on send/retry flows.</w:t>
      </w:r>
    </w:p>
    <w:p>
      <w:pPr>
        <w:pStyle w:val="ListBullet"/>
        <w:spacing w:before="0" w:after="80" w:line="280" w:lineRule="auto"/>
        <w:ind w:left="720" w:hanging="360"/>
      </w:pPr>
      <w:r>
        <w:rPr>
          <w:rFonts w:ascii="Calibri" w:hAnsi="Calibri"/>
          <w:sz w:val="22"/>
        </w:rPr>
        <w:t>Log only correlation IDs, operation types, room IDs where permissible and redacted error classes; never message bodies or authorization headers.</w:t>
      </w:r>
    </w:p>
    <w:p>
      <w:pPr>
        <w:pStyle w:val="ListBullet"/>
        <w:spacing w:before="0" w:after="80" w:line="280" w:lineRule="auto"/>
        <w:ind w:left="720" w:hanging="360"/>
      </w:pPr>
      <w:r>
        <w:rPr>
          <w:rFonts w:ascii="Calibri" w:hAnsi="Calibri"/>
          <w:sz w:val="22"/>
        </w:rPr>
        <w:t>Sanitize Markdown and URLs; use Content Security Policy compatible rendering; protect external-link opening and image previews.</w:t>
      </w:r>
    </w:p>
    <w:p>
      <w:pPr>
        <w:pStyle w:val="ListBullet"/>
        <w:spacing w:before="0" w:after="80" w:line="280" w:lineRule="auto"/>
        <w:ind w:left="720" w:hanging="360"/>
      </w:pPr>
      <w:r>
        <w:rPr>
          <w:rFonts w:ascii="Calibri" w:hAnsi="Calibri"/>
          <w:sz w:val="22"/>
        </w:rPr>
        <w:t>Provide token revoke/disconnect, token rotation detection, connection expiry indicators and a documented data-retention policy for caches.</w:t>
      </w:r>
    </w:p>
    <w:p>
      <w:pPr>
        <w:pStyle w:val="Heading1"/>
      </w:pPr>
      <w:r>
        <w:t>9. Error handling and operational behavior</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00"/>
        <w:gridCol w:w="3900"/>
        <w:gridCol w:w="3760"/>
      </w:tblGrid>
      <w:tr>
        <w:tc>
          <w:tcPr>
            <w:tcW w:type="dxa" w:w="17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Condition</w:t>
            </w:r>
          </w:p>
        </w:tc>
        <w:tc>
          <w:tcPr>
            <w:tcW w:type="dxa" w:w="39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User behavior</w:t>
            </w:r>
          </w:p>
        </w:tc>
        <w:tc>
          <w:tcPr>
            <w:tcW w:type="dxa" w:w="37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System behavior</w:t>
            </w:r>
          </w:p>
        </w:tc>
      </w:tr>
      <w:tr>
        <w:tc>
          <w:tcPr>
            <w:tcW w:type="dxa" w:w="1700"/>
          </w:tcPr>
          <w:p>
            <w:pPr>
              <w:spacing w:before="0" w:after="0" w:line="259" w:lineRule="auto"/>
            </w:pPr>
            <w:r>
              <w:rPr>
                <w:rFonts w:ascii="Calibri" w:hAnsi="Calibri"/>
                <w:color w:val="0B2545"/>
                <w:sz w:val="19"/>
              </w:rPr>
              <w:t>Invalid/revoked token</w:t>
            </w:r>
          </w:p>
        </w:tc>
        <w:tc>
          <w:tcPr>
            <w:tcW w:type="dxa" w:w="3900"/>
          </w:tcPr>
          <w:p>
            <w:pPr>
              <w:spacing w:before="0" w:after="0" w:line="259" w:lineRule="auto"/>
            </w:pPr>
            <w:r>
              <w:rPr>
                <w:rFonts w:ascii="Calibri" w:hAnsi="Calibri"/>
                <w:color w:val="0B2545"/>
                <w:sz w:val="19"/>
              </w:rPr>
              <w:t>Clear settings error with Reconnect action. Chat remains unavailable.</w:t>
            </w:r>
          </w:p>
        </w:tc>
        <w:tc>
          <w:tcPr>
            <w:tcW w:type="dxa" w:w="3760"/>
          </w:tcPr>
          <w:p>
            <w:pPr>
              <w:spacing w:before="0" w:after="0" w:line="259" w:lineRule="auto"/>
            </w:pPr>
            <w:r>
              <w:rPr>
                <w:rFonts w:ascii="Calibri" w:hAnsi="Calibri"/>
                <w:color w:val="0B2545"/>
                <w:sz w:val="19"/>
              </w:rPr>
              <w:t>Invalidate credential record; do not retry indefinitely; audit redacted failure.</w:t>
            </w:r>
          </w:p>
        </w:tc>
      </w:tr>
      <w:tr>
        <w:tc>
          <w:tcPr>
            <w:tcW w:type="dxa" w:w="1700"/>
          </w:tcPr>
          <w:p>
            <w:pPr>
              <w:spacing w:before="0" w:after="0" w:line="259" w:lineRule="auto"/>
            </w:pPr>
            <w:r>
              <w:rPr>
                <w:rFonts w:ascii="Calibri" w:hAnsi="Calibri"/>
                <w:color w:val="0B2545"/>
                <w:sz w:val="19"/>
              </w:rPr>
              <w:t>Matrix session expired</w:t>
            </w:r>
          </w:p>
        </w:tc>
        <w:tc>
          <w:tcPr>
            <w:tcW w:type="dxa" w:w="3900"/>
          </w:tcPr>
          <w:p>
            <w:pPr>
              <w:spacing w:before="0" w:after="0" w:line="259" w:lineRule="auto"/>
            </w:pPr>
            <w:r>
              <w:rPr>
                <w:rFonts w:ascii="Calibri" w:hAnsi="Calibri"/>
                <w:color w:val="0B2545"/>
                <w:sz w:val="19"/>
              </w:rPr>
              <w:t>Banner: reconnecting or re-authentication required.</w:t>
            </w:r>
          </w:p>
        </w:tc>
        <w:tc>
          <w:tcPr>
            <w:tcW w:type="dxa" w:w="3760"/>
          </w:tcPr>
          <w:p>
            <w:pPr>
              <w:spacing w:before="0" w:after="0" w:line="259" w:lineRule="auto"/>
            </w:pPr>
            <w:r>
              <w:rPr>
                <w:rFonts w:ascii="Calibri" w:hAnsi="Calibri"/>
                <w:color w:val="0B2545"/>
                <w:sz w:val="19"/>
              </w:rPr>
              <w:t>One controlled refresh attempt; then require settings reconnect.</w:t>
            </w:r>
          </w:p>
        </w:tc>
      </w:tr>
      <w:tr>
        <w:tc>
          <w:tcPr>
            <w:tcW w:type="dxa" w:w="1700"/>
          </w:tcPr>
          <w:p>
            <w:pPr>
              <w:spacing w:before="0" w:after="0" w:line="259" w:lineRule="auto"/>
            </w:pPr>
            <w:r>
              <w:rPr>
                <w:rFonts w:ascii="Calibri" w:hAnsi="Calibri"/>
                <w:color w:val="0B2545"/>
                <w:sz w:val="19"/>
              </w:rPr>
              <w:t>Transient network failure</w:t>
            </w:r>
          </w:p>
        </w:tc>
        <w:tc>
          <w:tcPr>
            <w:tcW w:type="dxa" w:w="3900"/>
          </w:tcPr>
          <w:p>
            <w:pPr>
              <w:spacing w:before="0" w:after="0" w:line="259" w:lineRule="auto"/>
            </w:pPr>
            <w:r>
              <w:rPr>
                <w:rFonts w:ascii="Calibri" w:hAnsi="Calibri"/>
                <w:color w:val="0B2545"/>
                <w:sz w:val="19"/>
              </w:rPr>
              <w:t>Optimistic message marked “Not sent” with retry.</w:t>
            </w:r>
          </w:p>
        </w:tc>
        <w:tc>
          <w:tcPr>
            <w:tcW w:type="dxa" w:w="3760"/>
          </w:tcPr>
          <w:p>
            <w:pPr>
              <w:spacing w:before="0" w:after="0" w:line="259" w:lineRule="auto"/>
            </w:pPr>
            <w:r>
              <w:rPr>
                <w:rFonts w:ascii="Calibri" w:hAnsi="Calibri"/>
                <w:color w:val="0B2545"/>
                <w:sz w:val="19"/>
              </w:rPr>
              <w:t>Exponential backoff with jitter; idempotency key/event de-duplication.</w:t>
            </w:r>
          </w:p>
        </w:tc>
      </w:tr>
      <w:tr>
        <w:tc>
          <w:tcPr>
            <w:tcW w:type="dxa" w:w="1700"/>
          </w:tcPr>
          <w:p>
            <w:pPr>
              <w:spacing w:before="0" w:after="0" w:line="259" w:lineRule="auto"/>
            </w:pPr>
            <w:r>
              <w:rPr>
                <w:rFonts w:ascii="Calibri" w:hAnsi="Calibri"/>
                <w:color w:val="0B2545"/>
                <w:sz w:val="19"/>
              </w:rPr>
              <w:t>Rate limiting</w:t>
            </w:r>
          </w:p>
        </w:tc>
        <w:tc>
          <w:tcPr>
            <w:tcW w:type="dxa" w:w="3900"/>
          </w:tcPr>
          <w:p>
            <w:pPr>
              <w:spacing w:before="0" w:after="0" w:line="259" w:lineRule="auto"/>
            </w:pPr>
            <w:r>
              <w:rPr>
                <w:rFonts w:ascii="Calibri" w:hAnsi="Calibri"/>
                <w:color w:val="0B2545"/>
                <w:sz w:val="19"/>
              </w:rPr>
              <w:t>Explain temporary delay; queue safe retries.</w:t>
            </w:r>
          </w:p>
        </w:tc>
        <w:tc>
          <w:tcPr>
            <w:tcW w:type="dxa" w:w="3760"/>
          </w:tcPr>
          <w:p>
            <w:pPr>
              <w:spacing w:before="0" w:after="0" w:line="259" w:lineRule="auto"/>
            </w:pPr>
            <w:r>
              <w:rPr>
                <w:rFonts w:ascii="Calibri" w:hAnsi="Calibri"/>
                <w:color w:val="0B2545"/>
                <w:sz w:val="19"/>
              </w:rPr>
              <w:t>Honor Retry-After where available; cap queue and surface status.</w:t>
            </w:r>
          </w:p>
        </w:tc>
      </w:tr>
      <w:tr>
        <w:tc>
          <w:tcPr>
            <w:tcW w:type="dxa" w:w="1700"/>
          </w:tcPr>
          <w:p>
            <w:pPr>
              <w:spacing w:before="0" w:after="0" w:line="259" w:lineRule="auto"/>
            </w:pPr>
            <w:r>
              <w:rPr>
                <w:rFonts w:ascii="Calibri" w:hAnsi="Calibri"/>
                <w:color w:val="0B2545"/>
                <w:sz w:val="19"/>
              </w:rPr>
              <w:t>Unsupported feature</w:t>
            </w:r>
          </w:p>
        </w:tc>
        <w:tc>
          <w:tcPr>
            <w:tcW w:type="dxa" w:w="3900"/>
          </w:tcPr>
          <w:p>
            <w:pPr>
              <w:spacing w:before="0" w:after="0" w:line="259" w:lineRule="auto"/>
            </w:pPr>
            <w:r>
              <w:rPr>
                <w:rFonts w:ascii="Calibri" w:hAnsi="Calibri"/>
                <w:color w:val="0B2545"/>
                <w:sz w:val="19"/>
              </w:rPr>
              <w:t>Disable action or show concise explanation.</w:t>
            </w:r>
          </w:p>
        </w:tc>
        <w:tc>
          <w:tcPr>
            <w:tcW w:type="dxa" w:w="3760"/>
          </w:tcPr>
          <w:p>
            <w:pPr>
              <w:spacing w:before="0" w:after="0" w:line="259" w:lineRule="auto"/>
            </w:pPr>
            <w:r>
              <w:rPr>
                <w:rFonts w:ascii="Calibri" w:hAnsi="Calibri"/>
                <w:color w:val="0B2545"/>
                <w:sz w:val="19"/>
              </w:rPr>
              <w:t>Capability flag prevents unsupported transport call.</w:t>
            </w:r>
          </w:p>
        </w:tc>
      </w:tr>
      <w:tr>
        <w:tc>
          <w:tcPr>
            <w:tcW w:type="dxa" w:w="1700"/>
          </w:tcPr>
          <w:p>
            <w:pPr>
              <w:spacing w:before="0" w:after="0" w:line="259" w:lineRule="auto"/>
            </w:pPr>
            <w:r>
              <w:rPr>
                <w:rFonts w:ascii="Calibri" w:hAnsi="Calibri"/>
                <w:color w:val="0B2545"/>
                <w:sz w:val="19"/>
              </w:rPr>
              <w:t>Malformed remote content</w:t>
            </w:r>
          </w:p>
        </w:tc>
        <w:tc>
          <w:tcPr>
            <w:tcW w:type="dxa" w:w="3900"/>
          </w:tcPr>
          <w:p>
            <w:pPr>
              <w:spacing w:before="0" w:after="0" w:line="259" w:lineRule="auto"/>
            </w:pPr>
            <w:r>
              <w:rPr>
                <w:rFonts w:ascii="Calibri" w:hAnsi="Calibri"/>
                <w:color w:val="0B2545"/>
                <w:sz w:val="19"/>
              </w:rPr>
              <w:t>Render safe plaintext fallback.</w:t>
            </w:r>
          </w:p>
        </w:tc>
        <w:tc>
          <w:tcPr>
            <w:tcW w:type="dxa" w:w="3760"/>
          </w:tcPr>
          <w:p>
            <w:pPr>
              <w:spacing w:before="0" w:after="0" w:line="259" w:lineRule="auto"/>
            </w:pPr>
            <w:r>
              <w:rPr>
                <w:rFonts w:ascii="Calibri" w:hAnsi="Calibri"/>
                <w:color w:val="0B2545"/>
                <w:sz w:val="19"/>
              </w:rPr>
              <w:t>Capture redacted diagnostic; do not break timeline rendering.</w:t>
            </w:r>
          </w:p>
        </w:tc>
      </w:tr>
    </w:tbl>
    <w:p>
      <w:pPr>
        <w:spacing w:after="60"/>
      </w:pPr>
    </w:p>
    <w:p>
      <w:pPr>
        <w:pStyle w:val="Heading1"/>
      </w:pPr>
      <w:r>
        <w:t>10. Phased implementation plan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400"/>
        <w:gridCol w:w="3660"/>
        <w:gridCol w:w="4300"/>
      </w:tblGrid>
      <w:tr>
        <w:tc>
          <w:tcPr>
            <w:tcW w:type="dxa" w:w="14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Phase</w:t>
            </w:r>
          </w:p>
        </w:tc>
        <w:tc>
          <w:tcPr>
            <w:tcW w:type="dxa" w:w="36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Outcome</w:t>
            </w:r>
          </w:p>
        </w:tc>
        <w:tc>
          <w:tcPr>
            <w:tcW w:type="dxa" w:w="43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Exit criteria</w:t>
            </w:r>
          </w:p>
        </w:tc>
      </w:tr>
      <w:tr>
        <w:tc>
          <w:tcPr>
            <w:tcW w:type="dxa" w:w="1400"/>
          </w:tcPr>
          <w:p>
            <w:pPr>
              <w:spacing w:before="0" w:after="0" w:line="259" w:lineRule="auto"/>
            </w:pPr>
            <w:r>
              <w:rPr>
                <w:rFonts w:ascii="Calibri" w:hAnsi="Calibri"/>
                <w:color w:val="0B2545"/>
                <w:sz w:val="19"/>
              </w:rPr>
              <w:t>0 — Discovery &amp; spike</w:t>
            </w:r>
          </w:p>
        </w:tc>
        <w:tc>
          <w:tcPr>
            <w:tcW w:type="dxa" w:w="3660"/>
          </w:tcPr>
          <w:p>
            <w:pPr>
              <w:spacing w:before="0" w:after="0" w:line="259" w:lineRule="auto"/>
            </w:pPr>
            <w:r>
              <w:rPr>
                <w:rFonts w:ascii="Calibri" w:hAnsi="Calibri"/>
                <w:color w:val="0B2545"/>
                <w:sz w:val="19"/>
              </w:rPr>
              <w:t>Validated endpoint map, auth path, Matrix capabilities and security review.</w:t>
            </w:r>
          </w:p>
        </w:tc>
        <w:tc>
          <w:tcPr>
            <w:tcW w:type="dxa" w:w="4300"/>
          </w:tcPr>
          <w:p>
            <w:pPr>
              <w:spacing w:before="0" w:after="0" w:line="259" w:lineRule="auto"/>
            </w:pPr>
            <w:r>
              <w:rPr>
                <w:rFonts w:ascii="Calibri" w:hAnsi="Calibri"/>
                <w:color w:val="0B2545"/>
                <w:sz w:val="19"/>
              </w:rPr>
              <w:t>Documented REST/Matrix contract; proof of user-scoped bootstrap; go/no-go decision.</w:t>
            </w:r>
          </w:p>
        </w:tc>
      </w:tr>
      <w:tr>
        <w:tc>
          <w:tcPr>
            <w:tcW w:type="dxa" w:w="1400"/>
          </w:tcPr>
          <w:p>
            <w:pPr>
              <w:spacing w:before="0" w:after="0" w:line="259" w:lineRule="auto"/>
            </w:pPr>
            <w:r>
              <w:rPr>
                <w:rFonts w:ascii="Calibri" w:hAnsi="Calibri"/>
                <w:color w:val="0B2545"/>
                <w:sz w:val="19"/>
              </w:rPr>
              <w:t>1 — Foundation</w:t>
            </w:r>
          </w:p>
        </w:tc>
        <w:tc>
          <w:tcPr>
            <w:tcW w:type="dxa" w:w="3660"/>
          </w:tcPr>
          <w:p>
            <w:pPr>
              <w:spacing w:before="0" w:after="0" w:line="259" w:lineRule="auto"/>
            </w:pPr>
            <w:r>
              <w:rPr>
                <w:rFonts w:ascii="Calibri" w:hAnsi="Calibri"/>
                <w:color w:val="0B2545"/>
                <w:sz w:val="19"/>
              </w:rPr>
              <w:t>Nextcloud app shell, settings, encrypted token storage, capability check and typed gateway.</w:t>
            </w:r>
          </w:p>
        </w:tc>
        <w:tc>
          <w:tcPr>
            <w:tcW w:type="dxa" w:w="4300"/>
          </w:tcPr>
          <w:p>
            <w:pPr>
              <w:spacing w:before="0" w:after="0" w:line="259" w:lineRule="auto"/>
            </w:pPr>
            <w:r>
              <w:rPr>
                <w:rFonts w:ascii="Calibri" w:hAnsi="Calibri"/>
                <w:color w:val="0B2545"/>
                <w:sz w:val="19"/>
              </w:rPr>
              <w:t>User can connect/disconnect; secrets not exposed; automated settings tests pass.</w:t>
            </w:r>
          </w:p>
        </w:tc>
      </w:tr>
      <w:tr>
        <w:tc>
          <w:tcPr>
            <w:tcW w:type="dxa" w:w="1400"/>
          </w:tcPr>
          <w:p>
            <w:pPr>
              <w:spacing w:before="0" w:after="0" w:line="259" w:lineRule="auto"/>
            </w:pPr>
            <w:r>
              <w:rPr>
                <w:rFonts w:ascii="Calibri" w:hAnsi="Calibri"/>
                <w:color w:val="0B2545"/>
                <w:sz w:val="19"/>
              </w:rPr>
              <w:t>2 — Read-only chat</w:t>
            </w:r>
          </w:p>
        </w:tc>
        <w:tc>
          <w:tcPr>
            <w:tcW w:type="dxa" w:w="3660"/>
          </w:tcPr>
          <w:p>
            <w:pPr>
              <w:spacing w:before="0" w:after="0" w:line="259" w:lineRule="auto"/>
            </w:pPr>
            <w:r>
              <w:rPr>
                <w:rFonts w:ascii="Calibri" w:hAnsi="Calibri"/>
                <w:color w:val="0B2545"/>
                <w:sz w:val="19"/>
              </w:rPr>
              <w:t>Talk-like room list, responsive timeline, Markdown-safe rendering and incremental sync.</w:t>
            </w:r>
          </w:p>
        </w:tc>
        <w:tc>
          <w:tcPr>
            <w:tcW w:type="dxa" w:w="4300"/>
          </w:tcPr>
          <w:p>
            <w:pPr>
              <w:spacing w:before="0" w:after="0" w:line="259" w:lineRule="auto"/>
            </w:pPr>
            <w:r>
              <w:rPr>
                <w:rFonts w:ascii="Calibri" w:hAnsi="Calibri"/>
                <w:color w:val="0B2545"/>
                <w:sz w:val="19"/>
              </w:rPr>
              <w:t>Authorized user can see correct rooms/messages and recover after reconnect.</w:t>
            </w:r>
          </w:p>
        </w:tc>
      </w:tr>
      <w:tr>
        <w:tc>
          <w:tcPr>
            <w:tcW w:type="dxa" w:w="1400"/>
          </w:tcPr>
          <w:p>
            <w:pPr>
              <w:spacing w:before="0" w:after="0" w:line="259" w:lineRule="auto"/>
            </w:pPr>
            <w:r>
              <w:rPr>
                <w:rFonts w:ascii="Calibri" w:hAnsi="Calibri"/>
                <w:color w:val="0B2545"/>
                <w:sz w:val="19"/>
              </w:rPr>
              <w:t>3 — Core interactions</w:t>
            </w:r>
          </w:p>
        </w:tc>
        <w:tc>
          <w:tcPr>
            <w:tcW w:type="dxa" w:w="3660"/>
          </w:tcPr>
          <w:p>
            <w:pPr>
              <w:spacing w:before="0" w:after="0" w:line="259" w:lineRule="auto"/>
            </w:pPr>
            <w:r>
              <w:rPr>
                <w:rFonts w:ascii="Calibri" w:hAnsi="Calibri"/>
                <w:color w:val="0B2545"/>
                <w:sz w:val="19"/>
              </w:rPr>
              <w:t>Send, retry, edit/reply/reaction where supported, receipts and typing.</w:t>
            </w:r>
          </w:p>
        </w:tc>
        <w:tc>
          <w:tcPr>
            <w:tcW w:type="dxa" w:w="4300"/>
          </w:tcPr>
          <w:p>
            <w:pPr>
              <w:spacing w:before="0" w:after="0" w:line="259" w:lineRule="auto"/>
            </w:pPr>
            <w:r>
              <w:rPr>
                <w:rFonts w:ascii="Calibri" w:hAnsi="Calibri"/>
                <w:color w:val="0B2545"/>
                <w:sz w:val="19"/>
              </w:rPr>
              <w:t>All enabled actions are idempotent, accessible and represented correctly in ChurchTools clients.</w:t>
            </w:r>
          </w:p>
        </w:tc>
      </w:tr>
      <w:tr>
        <w:tc>
          <w:tcPr>
            <w:tcW w:type="dxa" w:w="1400"/>
          </w:tcPr>
          <w:p>
            <w:pPr>
              <w:spacing w:before="0" w:after="0" w:line="259" w:lineRule="auto"/>
            </w:pPr>
            <w:r>
              <w:rPr>
                <w:rFonts w:ascii="Calibri" w:hAnsi="Calibri"/>
                <w:color w:val="0B2545"/>
                <w:sz w:val="19"/>
              </w:rPr>
              <w:t>4 — Smart Picker &amp; polish</w:t>
            </w:r>
          </w:p>
        </w:tc>
        <w:tc>
          <w:tcPr>
            <w:tcW w:type="dxa" w:w="3660"/>
          </w:tcPr>
          <w:p>
            <w:pPr>
              <w:spacing w:before="0" w:after="0" w:line="259" w:lineRule="auto"/>
            </w:pPr>
            <w:r>
              <w:rPr>
                <w:rFonts w:ascii="Calibri" w:hAnsi="Calibri"/>
                <w:color w:val="0B2545"/>
                <w:sz w:val="19"/>
              </w:rPr>
              <w:t>Picker link insertion, accessibility sweep, mobile polish, observability and admin documentation.</w:t>
            </w:r>
          </w:p>
        </w:tc>
        <w:tc>
          <w:tcPr>
            <w:tcW w:type="dxa" w:w="4300"/>
          </w:tcPr>
          <w:p>
            <w:pPr>
              <w:spacing w:before="0" w:after="0" w:line="259" w:lineRule="auto"/>
            </w:pPr>
            <w:r>
              <w:rPr>
                <w:rFonts w:ascii="Calibri" w:hAnsi="Calibri"/>
                <w:color w:val="0B2545"/>
                <w:sz w:val="19"/>
              </w:rPr>
              <w:t>Picker respects sharing policy; responsive UX and E2E suite meet acceptance criteria.</w:t>
            </w:r>
          </w:p>
        </w:tc>
      </w:tr>
      <w:tr>
        <w:tc>
          <w:tcPr>
            <w:tcW w:type="dxa" w:w="1400"/>
          </w:tcPr>
          <w:p>
            <w:pPr>
              <w:spacing w:before="0" w:after="0" w:line="259" w:lineRule="auto"/>
            </w:pPr>
            <w:r>
              <w:rPr>
                <w:rFonts w:ascii="Calibri" w:hAnsi="Calibri"/>
                <w:color w:val="0B2545"/>
                <w:sz w:val="19"/>
              </w:rPr>
              <w:t>5 — Pilot &amp; hardening</w:t>
            </w:r>
          </w:p>
        </w:tc>
        <w:tc>
          <w:tcPr>
            <w:tcW w:type="dxa" w:w="3660"/>
          </w:tcPr>
          <w:p>
            <w:pPr>
              <w:spacing w:before="0" w:after="0" w:line="259" w:lineRule="auto"/>
            </w:pPr>
            <w:r>
              <w:rPr>
                <w:rFonts w:ascii="Calibri" w:hAnsi="Calibri"/>
                <w:color w:val="0B2545"/>
                <w:sz w:val="19"/>
              </w:rPr>
              <w:t>Limited rollout, metrics, support runbook, upgrades and threat-model closure.</w:t>
            </w:r>
          </w:p>
        </w:tc>
        <w:tc>
          <w:tcPr>
            <w:tcW w:type="dxa" w:w="4300"/>
          </w:tcPr>
          <w:p>
            <w:pPr>
              <w:spacing w:before="0" w:after="0" w:line="259" w:lineRule="auto"/>
            </w:pPr>
            <w:r>
              <w:rPr>
                <w:rFonts w:ascii="Calibri" w:hAnsi="Calibri"/>
                <w:color w:val="0B2545"/>
                <w:sz w:val="19"/>
              </w:rPr>
              <w:t>Pilot sign-off; incident/recovery exercises complete; production release approval.</w:t>
            </w:r>
          </w:p>
        </w:tc>
      </w:tr>
    </w:tbl>
    <w:p>
      <w:pPr>
        <w:spacing w:after="60"/>
      </w:pPr>
    </w:p>
    <w:p>
      <w:pPr>
        <w:pStyle w:val="Heading1"/>
      </w:pPr>
      <w:r>
        <w:t>11. Testing strategy</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7460"/>
      </w:tblGrid>
      <w:tr>
        <w:tc>
          <w:tcPr>
            <w:tcW w:type="dxa" w:w="19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Test layer</w:t>
            </w:r>
          </w:p>
        </w:tc>
        <w:tc>
          <w:tcPr>
            <w:tcW w:type="dxa" w:w="74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Coverage</w:t>
            </w:r>
          </w:p>
        </w:tc>
      </w:tr>
      <w:tr>
        <w:tc>
          <w:tcPr>
            <w:tcW w:type="dxa" w:w="1900"/>
          </w:tcPr>
          <w:p>
            <w:pPr>
              <w:spacing w:before="0" w:after="0" w:line="259" w:lineRule="auto"/>
            </w:pPr>
            <w:r>
              <w:rPr>
                <w:rFonts w:ascii="Calibri" w:hAnsi="Calibri"/>
                <w:color w:val="0B2545"/>
                <w:sz w:val="19"/>
              </w:rPr>
              <w:t>Unit</w:t>
            </w:r>
          </w:p>
        </w:tc>
        <w:tc>
          <w:tcPr>
            <w:tcW w:type="dxa" w:w="7460"/>
          </w:tcPr>
          <w:p>
            <w:pPr>
              <w:spacing w:before="0" w:after="0" w:line="259" w:lineRule="auto"/>
            </w:pPr>
            <w:r>
              <w:rPr>
                <w:rFonts w:ascii="Calibri" w:hAnsi="Calibri"/>
                <w:color w:val="0B2545"/>
                <w:sz w:val="19"/>
              </w:rPr>
              <w:t>DTO mappers, URL/token validation, Markdown sanitizer, capability policy, retry and idempotency logic.</w:t>
            </w:r>
          </w:p>
        </w:tc>
      </w:tr>
      <w:tr>
        <w:tc>
          <w:tcPr>
            <w:tcW w:type="dxa" w:w="1900"/>
          </w:tcPr>
          <w:p>
            <w:pPr>
              <w:spacing w:before="0" w:after="0" w:line="259" w:lineRule="auto"/>
            </w:pPr>
            <w:r>
              <w:rPr>
                <w:rFonts w:ascii="Calibri" w:hAnsi="Calibri"/>
                <w:color w:val="0B2545"/>
                <w:sz w:val="19"/>
              </w:rPr>
              <w:t>Contract</w:t>
            </w:r>
          </w:p>
        </w:tc>
        <w:tc>
          <w:tcPr>
            <w:tcW w:type="dxa" w:w="7460"/>
          </w:tcPr>
          <w:p>
            <w:pPr>
              <w:spacing w:before="0" w:after="0" w:line="259" w:lineRule="auto"/>
            </w:pPr>
            <w:r>
              <w:rPr>
                <w:rFonts w:ascii="Calibri" w:hAnsi="Calibri"/>
                <w:color w:val="0B2545"/>
                <w:sz w:val="19"/>
              </w:rPr>
              <w:t>OpenAPI fixture tests; Matrix event fixtures; versioned capability matrix against the target tenant.</w:t>
            </w:r>
          </w:p>
        </w:tc>
      </w:tr>
      <w:tr>
        <w:tc>
          <w:tcPr>
            <w:tcW w:type="dxa" w:w="1900"/>
          </w:tcPr>
          <w:p>
            <w:pPr>
              <w:spacing w:before="0" w:after="0" w:line="259" w:lineRule="auto"/>
            </w:pPr>
            <w:r>
              <w:rPr>
                <w:rFonts w:ascii="Calibri" w:hAnsi="Calibri"/>
                <w:color w:val="0B2545"/>
                <w:sz w:val="19"/>
              </w:rPr>
              <w:t>Integration</w:t>
            </w:r>
          </w:p>
        </w:tc>
        <w:tc>
          <w:tcPr>
            <w:tcW w:type="dxa" w:w="7460"/>
          </w:tcPr>
          <w:p>
            <w:pPr>
              <w:spacing w:before="0" w:after="0" w:line="259" w:lineRule="auto"/>
            </w:pPr>
            <w:r>
              <w:rPr>
                <w:rFonts w:ascii="Calibri" w:hAnsi="Calibri"/>
                <w:color w:val="0B2545"/>
                <w:sz w:val="19"/>
              </w:rPr>
              <w:t>Encrypted settings lifecycle, REST proxy behavior, Matrix bootstrap/sync with a controlled test account.</w:t>
            </w:r>
          </w:p>
        </w:tc>
      </w:tr>
      <w:tr>
        <w:tc>
          <w:tcPr>
            <w:tcW w:type="dxa" w:w="1900"/>
          </w:tcPr>
          <w:p>
            <w:pPr>
              <w:spacing w:before="0" w:after="0" w:line="259" w:lineRule="auto"/>
            </w:pPr>
            <w:r>
              <w:rPr>
                <w:rFonts w:ascii="Calibri" w:hAnsi="Calibri"/>
                <w:color w:val="0B2545"/>
                <w:sz w:val="19"/>
              </w:rPr>
              <w:t>E2E</w:t>
            </w:r>
          </w:p>
        </w:tc>
        <w:tc>
          <w:tcPr>
            <w:tcW w:type="dxa" w:w="7460"/>
          </w:tcPr>
          <w:p>
            <w:pPr>
              <w:spacing w:before="0" w:after="0" w:line="259" w:lineRule="auto"/>
            </w:pPr>
            <w:r>
              <w:rPr>
                <w:rFonts w:ascii="Calibri" w:hAnsi="Calibri"/>
                <w:color w:val="0B2545"/>
                <w:sz w:val="19"/>
              </w:rPr>
              <w:t>Connect account, open room, render Markdown, send/retry message, reaction/reply, picker link and mobile navigation.</w:t>
            </w:r>
          </w:p>
        </w:tc>
      </w:tr>
      <w:tr>
        <w:tc>
          <w:tcPr>
            <w:tcW w:type="dxa" w:w="1900"/>
          </w:tcPr>
          <w:p>
            <w:pPr>
              <w:spacing w:before="0" w:after="0" w:line="259" w:lineRule="auto"/>
            </w:pPr>
            <w:r>
              <w:rPr>
                <w:rFonts w:ascii="Calibri" w:hAnsi="Calibri"/>
                <w:color w:val="0B2545"/>
                <w:sz w:val="19"/>
              </w:rPr>
              <w:t>Security</w:t>
            </w:r>
          </w:p>
        </w:tc>
        <w:tc>
          <w:tcPr>
            <w:tcW w:type="dxa" w:w="7460"/>
          </w:tcPr>
          <w:p>
            <w:pPr>
              <w:spacing w:before="0" w:after="0" w:line="259" w:lineRule="auto"/>
            </w:pPr>
            <w:r>
              <w:rPr>
                <w:rFonts w:ascii="Calibri" w:hAnsi="Calibri"/>
                <w:color w:val="0B2545"/>
                <w:sz w:val="19"/>
              </w:rPr>
              <w:t>Secret-leak regression tests, SSRF tests, authorization isolation, XSS payload corpus and dependency scanning.</w:t>
            </w:r>
          </w:p>
        </w:tc>
      </w:tr>
      <w:tr>
        <w:tc>
          <w:tcPr>
            <w:tcW w:type="dxa" w:w="1900"/>
          </w:tcPr>
          <w:p>
            <w:pPr>
              <w:spacing w:before="0" w:after="0" w:line="259" w:lineRule="auto"/>
            </w:pPr>
            <w:r>
              <w:rPr>
                <w:rFonts w:ascii="Calibri" w:hAnsi="Calibri"/>
                <w:color w:val="0B2545"/>
                <w:sz w:val="19"/>
              </w:rPr>
              <w:t>Accessibility</w:t>
            </w:r>
          </w:p>
        </w:tc>
        <w:tc>
          <w:tcPr>
            <w:tcW w:type="dxa" w:w="7460"/>
          </w:tcPr>
          <w:p>
            <w:pPr>
              <w:spacing w:before="0" w:after="0" w:line="259" w:lineRule="auto"/>
            </w:pPr>
            <w:r>
              <w:rPr>
                <w:rFonts w:ascii="Calibri" w:hAnsi="Calibri"/>
                <w:color w:val="0B2545"/>
                <w:sz w:val="19"/>
              </w:rPr>
              <w:t>Keyboard-only flows, screen-reader labels/live regions, color contrast and touch target review.</w:t>
            </w:r>
          </w:p>
        </w:tc>
      </w:tr>
      <w:tr>
        <w:tc>
          <w:tcPr>
            <w:tcW w:type="dxa" w:w="1900"/>
          </w:tcPr>
          <w:p>
            <w:pPr>
              <w:spacing w:before="0" w:after="0" w:line="259" w:lineRule="auto"/>
            </w:pPr>
            <w:r>
              <w:rPr>
                <w:rFonts w:ascii="Calibri" w:hAnsi="Calibri"/>
                <w:color w:val="0B2545"/>
                <w:sz w:val="19"/>
              </w:rPr>
              <w:t>Performance</w:t>
            </w:r>
          </w:p>
        </w:tc>
        <w:tc>
          <w:tcPr>
            <w:tcW w:type="dxa" w:w="7460"/>
          </w:tcPr>
          <w:p>
            <w:pPr>
              <w:spacing w:before="0" w:after="0" w:line="259" w:lineRule="auto"/>
            </w:pPr>
            <w:r>
              <w:rPr>
                <w:rFonts w:ascii="Calibri" w:hAnsi="Calibri"/>
                <w:color w:val="0B2545"/>
                <w:sz w:val="19"/>
              </w:rPr>
              <w:t>Large room lists, long timeline virtualization, reconnect storm behavior and rate-limit simulation.</w:t>
            </w:r>
          </w:p>
        </w:tc>
      </w:tr>
    </w:tbl>
    <w:p>
      <w:pPr>
        <w:spacing w:after="60"/>
      </w:pPr>
    </w:p>
    <w:p>
      <w:pPr>
        <w:pStyle w:val="Heading1"/>
      </w:pPr>
      <w:r>
        <w:t>12. Deployment and operations</w:t>
      </w:r>
    </w:p>
    <w:p>
      <w:pPr>
        <w:pStyle w:val="ListBullet"/>
        <w:spacing w:before="0" w:after="80" w:line="280" w:lineRule="auto"/>
        <w:ind w:left="720" w:hanging="360"/>
      </w:pPr>
      <w:r>
        <w:rPr>
          <w:rFonts w:ascii="Calibri" w:hAnsi="Calibri"/>
          <w:sz w:val="22"/>
        </w:rPr>
        <w:t>Package as a signed Nextcloud app with a documented supported Nextcloud/PHP version matrix and pinned frontend dependencies.</w:t>
      </w:r>
    </w:p>
    <w:p>
      <w:pPr>
        <w:pStyle w:val="ListBullet"/>
        <w:spacing w:before="0" w:after="80" w:line="280" w:lineRule="auto"/>
        <w:ind w:left="720" w:hanging="360"/>
      </w:pPr>
      <w:r>
        <w:rPr>
          <w:rFonts w:ascii="Calibri" w:hAnsi="Calibri"/>
          <w:sz w:val="22"/>
        </w:rPr>
        <w:t>Ship configuration defaults that deny unknown ChurchTools tenants and require administrator enablement of the integration domain(s).</w:t>
      </w:r>
    </w:p>
    <w:p>
      <w:pPr>
        <w:pStyle w:val="ListBullet"/>
        <w:spacing w:before="0" w:after="80" w:line="280" w:lineRule="auto"/>
        <w:ind w:left="720" w:hanging="360"/>
      </w:pPr>
      <w:r>
        <w:rPr>
          <w:rFonts w:ascii="Calibri" w:hAnsi="Calibri"/>
          <w:sz w:val="22"/>
        </w:rPr>
        <w:t>Use feature flags for Matrix capabilities, Smart Picker providers and attachment support; safely disable features during incident response.</w:t>
      </w:r>
    </w:p>
    <w:p>
      <w:pPr>
        <w:pStyle w:val="ListBullet"/>
        <w:spacing w:before="0" w:after="80" w:line="280" w:lineRule="auto"/>
        <w:ind w:left="720" w:hanging="360"/>
      </w:pPr>
      <w:r>
        <w:rPr>
          <w:rFonts w:ascii="Calibri" w:hAnsi="Calibri"/>
          <w:sz w:val="22"/>
        </w:rPr>
        <w:t>Publish an administrator guide, user connection guide, privacy notice, upgrade procedure, rollback plan and support runbook.</w:t>
      </w:r>
    </w:p>
    <w:p>
      <w:pPr>
        <w:pStyle w:val="ListBullet"/>
        <w:spacing w:before="0" w:after="80" w:line="280" w:lineRule="auto"/>
        <w:ind w:left="720" w:hanging="360"/>
      </w:pPr>
      <w:r>
        <w:rPr>
          <w:rFonts w:ascii="Calibri" w:hAnsi="Calibri"/>
          <w:sz w:val="22"/>
        </w:rPr>
        <w:t>Expose health telemetry that reports only aggregate connection state, error class and latency; maintain alerts for auth failures and sync error rates.</w:t>
      </w:r>
    </w:p>
    <w:p>
      <w:pPr>
        <w:pStyle w:val="Heading1"/>
      </w:pPr>
      <w:r>
        <w:t>13. Key risks and mitigations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300"/>
        <w:gridCol w:w="6060"/>
      </w:tblGrid>
      <w:tr>
        <w:tc>
          <w:tcPr>
            <w:tcW w:type="dxa" w:w="33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Risk</w:t>
            </w:r>
          </w:p>
        </w:tc>
        <w:tc>
          <w:tcPr>
            <w:tcW w:type="dxa" w:w="60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Mitigation</w:t>
            </w:r>
          </w:p>
        </w:tc>
      </w:tr>
      <w:tr>
        <w:tc>
          <w:tcPr>
            <w:tcW w:type="dxa" w:w="3300"/>
          </w:tcPr>
          <w:p>
            <w:pPr>
              <w:spacing w:before="0" w:after="0" w:line="259" w:lineRule="auto"/>
            </w:pPr>
            <w:r>
              <w:rPr>
                <w:rFonts w:ascii="Calibri" w:hAnsi="Calibri"/>
                <w:color w:val="0B2545"/>
                <w:sz w:val="19"/>
              </w:rPr>
              <w:t>ChurchTools REST and Matrix auth relationship is undocumented or changes.</w:t>
            </w:r>
          </w:p>
        </w:tc>
        <w:tc>
          <w:tcPr>
            <w:tcW w:type="dxa" w:w="6060"/>
          </w:tcPr>
          <w:p>
            <w:pPr>
              <w:spacing w:before="0" w:after="0" w:line="259" w:lineRule="auto"/>
            </w:pPr>
            <w:r>
              <w:rPr>
                <w:rFonts w:ascii="Calibri" w:hAnsi="Calibri"/>
                <w:color w:val="0B2545"/>
                <w:sz w:val="19"/>
              </w:rPr>
              <w:t>Treat Phase 0 as a hard dependency; obtain vendor confirmation and isolate bootstrap in one adapter.</w:t>
            </w:r>
          </w:p>
        </w:tc>
      </w:tr>
      <w:tr>
        <w:tc>
          <w:tcPr>
            <w:tcW w:type="dxa" w:w="3300"/>
          </w:tcPr>
          <w:p>
            <w:pPr>
              <w:spacing w:before="0" w:after="0" w:line="259" w:lineRule="auto"/>
            </w:pPr>
            <w:r>
              <w:rPr>
                <w:rFonts w:ascii="Calibri" w:hAnsi="Calibri"/>
                <w:color w:val="0B2545"/>
                <w:sz w:val="19"/>
              </w:rPr>
              <w:t>Matrix feature semantics differ from ChurchTools web chat.</w:t>
            </w:r>
          </w:p>
        </w:tc>
        <w:tc>
          <w:tcPr>
            <w:tcW w:type="dxa" w:w="6060"/>
          </w:tcPr>
          <w:p>
            <w:pPr>
              <w:spacing w:before="0" w:after="0" w:line="259" w:lineRule="auto"/>
            </w:pPr>
            <w:r>
              <w:rPr>
                <w:rFonts w:ascii="Calibri" w:hAnsi="Calibri"/>
                <w:color w:val="0B2545"/>
                <w:sz w:val="19"/>
              </w:rPr>
              <w:t>Capability matrix, cross-client test accounts and progressive enablement.</w:t>
            </w:r>
          </w:p>
        </w:tc>
      </w:tr>
      <w:tr>
        <w:tc>
          <w:tcPr>
            <w:tcW w:type="dxa" w:w="3300"/>
          </w:tcPr>
          <w:p>
            <w:pPr>
              <w:spacing w:before="0" w:after="0" w:line="259" w:lineRule="auto"/>
            </w:pPr>
            <w:r>
              <w:rPr>
                <w:rFonts w:ascii="Calibri" w:hAnsi="Calibri"/>
                <w:color w:val="0B2545"/>
                <w:sz w:val="19"/>
              </w:rPr>
              <w:t>Token handling expands attack surface.</w:t>
            </w:r>
          </w:p>
        </w:tc>
        <w:tc>
          <w:tcPr>
            <w:tcW w:type="dxa" w:w="6060"/>
          </w:tcPr>
          <w:p>
            <w:pPr>
              <w:spacing w:before="0" w:after="0" w:line="259" w:lineRule="auto"/>
            </w:pPr>
            <w:r>
              <w:rPr>
                <w:rFonts w:ascii="Calibri" w:hAnsi="Calibri"/>
                <w:color w:val="0B2545"/>
                <w:sz w:val="19"/>
              </w:rPr>
              <w:t>Server-side encryption, strict redaction, per-user isolation, rotation/revoke flow and security review.</w:t>
            </w:r>
          </w:p>
        </w:tc>
      </w:tr>
      <w:tr>
        <w:tc>
          <w:tcPr>
            <w:tcW w:type="dxa" w:w="3300"/>
          </w:tcPr>
          <w:p>
            <w:pPr>
              <w:spacing w:before="0" w:after="0" w:line="259" w:lineRule="auto"/>
            </w:pPr>
            <w:r>
              <w:rPr>
                <w:rFonts w:ascii="Calibri" w:hAnsi="Calibri"/>
                <w:color w:val="0B2545"/>
                <w:sz w:val="19"/>
              </w:rPr>
              <w:t>Smart Picker links expose content beyond intended audience.</w:t>
            </w:r>
          </w:p>
        </w:tc>
        <w:tc>
          <w:tcPr>
            <w:tcW w:type="dxa" w:w="6060"/>
          </w:tcPr>
          <w:p>
            <w:pPr>
              <w:spacing w:before="0" w:after="0" w:line="259" w:lineRule="auto"/>
            </w:pPr>
            <w:r>
              <w:rPr>
                <w:rFonts w:ascii="Calibri" w:hAnsi="Calibri"/>
                <w:color w:val="0B2545"/>
                <w:sz w:val="19"/>
              </w:rPr>
              <w:t>Use provider/policy allowlist, preserve Nextcloud share permissions and show insertion preview.</w:t>
            </w:r>
          </w:p>
        </w:tc>
      </w:tr>
      <w:tr>
        <w:tc>
          <w:tcPr>
            <w:tcW w:type="dxa" w:w="3300"/>
          </w:tcPr>
          <w:p>
            <w:pPr>
              <w:spacing w:before="0" w:after="0" w:line="259" w:lineRule="auto"/>
            </w:pPr>
            <w:r>
              <w:rPr>
                <w:rFonts w:ascii="Calibri" w:hAnsi="Calibri"/>
                <w:color w:val="0B2545"/>
                <w:sz w:val="19"/>
              </w:rPr>
              <w:t>Nextcloud upgrades alter frontend APIs.</w:t>
            </w:r>
          </w:p>
        </w:tc>
        <w:tc>
          <w:tcPr>
            <w:tcW w:type="dxa" w:w="6060"/>
          </w:tcPr>
          <w:p>
            <w:pPr>
              <w:spacing w:before="0" w:after="0" w:line="259" w:lineRule="auto"/>
            </w:pPr>
            <w:r>
              <w:rPr>
                <w:rFonts w:ascii="Calibri" w:hAnsi="Calibri"/>
                <w:color w:val="0B2545"/>
                <w:sz w:val="19"/>
              </w:rPr>
              <w:t>Pin supported versions, CI compatibility matrix and use documented @nextcloud/vue contracts.</w:t>
            </w:r>
          </w:p>
        </w:tc>
      </w:tr>
      <w:tr>
        <w:tc>
          <w:tcPr>
            <w:tcW w:type="dxa" w:w="3300"/>
          </w:tcPr>
          <w:p>
            <w:pPr>
              <w:spacing w:before="0" w:after="0" w:line="259" w:lineRule="auto"/>
            </w:pPr>
            <w:r>
              <w:rPr>
                <w:rFonts w:ascii="Calibri" w:hAnsi="Calibri"/>
                <w:color w:val="0B2545"/>
                <w:sz w:val="19"/>
              </w:rPr>
              <w:t>High-volume rooms degrade UI or sync.</w:t>
            </w:r>
          </w:p>
        </w:tc>
        <w:tc>
          <w:tcPr>
            <w:tcW w:type="dxa" w:w="6060"/>
          </w:tcPr>
          <w:p>
            <w:pPr>
              <w:spacing w:before="0" w:after="0" w:line="259" w:lineRule="auto"/>
            </w:pPr>
            <w:r>
              <w:rPr>
                <w:rFonts w:ascii="Calibri" w:hAnsi="Calibri"/>
                <w:color w:val="0B2545"/>
                <w:sz w:val="19"/>
              </w:rPr>
              <w:t>Pagination, virtualization, bounded caches, backpressure and load testing.</w:t>
            </w:r>
          </w:p>
        </w:tc>
      </w:tr>
    </w:tbl>
    <w:p>
      <w:pPr>
        <w:spacing w:after="60"/>
      </w:pPr>
    </w:p>
    <w:p>
      <w:pPr>
        <w:pStyle w:val="Heading1"/>
      </w:pPr>
      <w:r>
        <w:t>14. Acceptance criteria</w:t>
      </w:r>
    </w:p>
    <w:p>
      <w:pPr>
        <w:pStyle w:val="ListBullet"/>
        <w:spacing w:before="0" w:after="80" w:line="280" w:lineRule="auto"/>
        <w:ind w:left="720" w:hanging="360"/>
      </w:pPr>
      <w:r>
        <w:rPr>
          <w:rFonts w:ascii="Calibri" w:hAnsi="Calibri"/>
          <w:sz w:val="22"/>
        </w:rPr>
        <w:t>A user can add, validate, replace and revoke their own ChurchTools access token in Personal settings; token values are never displayed after save.</w:t>
      </w:r>
    </w:p>
    <w:p>
      <w:pPr>
        <w:pStyle w:val="ListBullet"/>
        <w:spacing w:before="0" w:after="80" w:line="280" w:lineRule="auto"/>
        <w:ind w:left="720" w:hanging="360"/>
      </w:pPr>
      <w:r>
        <w:rPr>
          <w:rFonts w:ascii="Calibri" w:hAnsi="Calibri"/>
          <w:sz w:val="22"/>
        </w:rPr>
        <w:t>An authorized user sees the appropriate room list and messages, with correct unread and reconnect behavior, using the approved ChurchTools/Matrix flows.</w:t>
      </w:r>
    </w:p>
    <w:p>
      <w:pPr>
        <w:pStyle w:val="ListBullet"/>
        <w:spacing w:before="0" w:after="80" w:line="280" w:lineRule="auto"/>
        <w:ind w:left="720" w:hanging="360"/>
      </w:pPr>
      <w:r>
        <w:rPr>
          <w:rFonts w:ascii="Calibri" w:hAnsi="Calibri"/>
          <w:sz w:val="22"/>
        </w:rPr>
        <w:t>The interface resembles Nextcloud Talk’s chat conventions while containing no calling/video/audio controls or related dependencies.</w:t>
      </w:r>
    </w:p>
    <w:p>
      <w:pPr>
        <w:pStyle w:val="ListBullet"/>
        <w:spacing w:before="0" w:after="80" w:line="280" w:lineRule="auto"/>
        <w:ind w:left="720" w:hanging="360"/>
      </w:pPr>
      <w:r>
        <w:rPr>
          <w:rFonts w:ascii="Calibri" w:hAnsi="Calibri"/>
          <w:sz w:val="22"/>
        </w:rPr>
        <w:t>Markdown messages render safely and consistently; unsafe HTML, scripts and dangerous URLs cannot execute.</w:t>
      </w:r>
    </w:p>
    <w:p>
      <w:pPr>
        <w:pStyle w:val="ListBullet"/>
        <w:spacing w:before="0" w:after="80" w:line="280" w:lineRule="auto"/>
        <w:ind w:left="720" w:hanging="360"/>
      </w:pPr>
      <w:r>
        <w:rPr>
          <w:rFonts w:ascii="Calibri" w:hAnsi="Calibri"/>
          <w:sz w:val="22"/>
        </w:rPr>
        <w:t>The Smart Picker opens from the composer and inserts only policy-approved selections without changing sharing permissions silently.</w:t>
      </w:r>
    </w:p>
    <w:p>
      <w:pPr>
        <w:pStyle w:val="ListBullet"/>
        <w:spacing w:before="0" w:after="80" w:line="280" w:lineRule="auto"/>
        <w:ind w:left="720" w:hanging="360"/>
      </w:pPr>
      <w:r>
        <w:rPr>
          <w:rFonts w:ascii="Calibri" w:hAnsi="Calibri"/>
          <w:sz w:val="22"/>
        </w:rPr>
        <w:t>Core message operations supported by the verified capability matrix work end-to-end, including failure/retry feedback and idempotent reconciliation.</w:t>
      </w:r>
    </w:p>
    <w:p>
      <w:pPr>
        <w:pStyle w:val="ListBullet"/>
        <w:spacing w:before="0" w:after="80" w:line="280" w:lineRule="auto"/>
        <w:ind w:left="720" w:hanging="360"/>
      </w:pPr>
      <w:r>
        <w:rPr>
          <w:rFonts w:ascii="Calibri" w:hAnsi="Calibri"/>
          <w:sz w:val="22"/>
        </w:rPr>
        <w:t>Desktop, tablet and mobile layouts support keyboard and touch use, and the defined accessibility checks pass.</w:t>
      </w:r>
    </w:p>
    <w:p>
      <w:pPr>
        <w:pStyle w:val="ListBullet"/>
        <w:spacing w:before="0" w:after="80" w:line="280" w:lineRule="auto"/>
        <w:ind w:left="720" w:hanging="360"/>
      </w:pPr>
      <w:r>
        <w:rPr>
          <w:rFonts w:ascii="Calibri" w:hAnsi="Calibri"/>
          <w:sz w:val="22"/>
        </w:rPr>
        <w:t>Automated unit, contract, integration, E2E and security test suites pass for every supported Nextcloud version before release.</w:t>
      </w:r>
    </w:p>
    <w:p>
      <w:pPr>
        <w:pStyle w:val="Heading1"/>
      </w:pPr>
      <w:r>
        <w:t>15. Decisions required before implementation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000"/>
        <w:gridCol w:w="5360"/>
      </w:tblGrid>
      <w:tr>
        <w:tc>
          <w:tcPr>
            <w:tcW w:type="dxa" w:w="400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Decision</w:t>
            </w:r>
          </w:p>
        </w:tc>
        <w:tc>
          <w:tcPr>
            <w:tcW w:type="dxa" w:w="5360"/>
            <w:tcMar>
              <w:top w:w="80" w:type="dxa"/>
              <w:start w:w="120" w:type="dxa"/>
              <w:bottom w:w="80" w:type="dxa"/>
              <w:end w:w="120" w:type="dxa"/>
            </w:tcMar>
            <w:vAlign w:val="center"/>
            <w:shd w:fill="F2F4F7"/>
          </w:tcPr>
          <w:p>
            <w:pPr>
              <w:spacing w:before="0" w:after="0" w:line="252" w:lineRule="auto"/>
            </w:pPr>
            <w:r>
              <w:rPr>
                <w:rFonts w:ascii="Calibri" w:hAnsi="Calibri"/>
                <w:b/>
                <w:color w:val="1F4D78"/>
                <w:sz w:val="18"/>
              </w:rPr>
              <w:t>Owner / input needed</w:t>
            </w:r>
          </w:p>
        </w:tc>
      </w:tr>
      <w:tr>
        <w:tc>
          <w:tcPr>
            <w:tcW w:type="dxa" w:w="4000"/>
          </w:tcPr>
          <w:p>
            <w:pPr>
              <w:spacing w:before="0" w:after="0" w:line="259" w:lineRule="auto"/>
            </w:pPr>
            <w:r>
              <w:rPr>
                <w:rFonts w:ascii="Calibri" w:hAnsi="Calibri"/>
                <w:color w:val="0B2545"/>
                <w:sz w:val="19"/>
              </w:rPr>
              <w:t>Official ChurchTools-to-Matrix authentication/bootstrap method and token lifecycle.</w:t>
            </w:r>
          </w:p>
        </w:tc>
        <w:tc>
          <w:tcPr>
            <w:tcW w:type="dxa" w:w="5360"/>
          </w:tcPr>
          <w:p>
            <w:pPr>
              <w:spacing w:before="0" w:after="0" w:line="259" w:lineRule="auto"/>
            </w:pPr>
            <w:r>
              <w:rPr>
                <w:rFonts w:ascii="Calibri" w:hAnsi="Calibri"/>
                <w:color w:val="0B2545"/>
                <w:sz w:val="19"/>
              </w:rPr>
              <w:t>ChurchTools API/tenant administrator.</w:t>
            </w:r>
          </w:p>
        </w:tc>
      </w:tr>
      <w:tr>
        <w:tc>
          <w:tcPr>
            <w:tcW w:type="dxa" w:w="4000"/>
          </w:tcPr>
          <w:p>
            <w:pPr>
              <w:spacing w:before="0" w:after="0" w:line="259" w:lineRule="auto"/>
            </w:pPr>
            <w:r>
              <w:rPr>
                <w:rFonts w:ascii="Calibri" w:hAnsi="Calibri"/>
                <w:color w:val="0B2545"/>
                <w:sz w:val="19"/>
              </w:rPr>
              <w:t>Exact REST endpoints and permissions available to personal access tokens.</w:t>
            </w:r>
          </w:p>
        </w:tc>
        <w:tc>
          <w:tcPr>
            <w:tcW w:type="dxa" w:w="5360"/>
          </w:tcPr>
          <w:p>
            <w:pPr>
              <w:spacing w:before="0" w:after="0" w:line="259" w:lineRule="auto"/>
            </w:pPr>
            <w:r>
              <w:rPr>
                <w:rFonts w:ascii="Calibri" w:hAnsi="Calibri"/>
                <w:color w:val="0B2545"/>
                <w:sz w:val="19"/>
              </w:rPr>
              <w:t>ChurchTools API documentation and test tenant.</w:t>
            </w:r>
          </w:p>
        </w:tc>
      </w:tr>
      <w:tr>
        <w:tc>
          <w:tcPr>
            <w:tcW w:type="dxa" w:w="4000"/>
          </w:tcPr>
          <w:p>
            <w:pPr>
              <w:spacing w:before="0" w:after="0" w:line="259" w:lineRule="auto"/>
            </w:pPr>
            <w:r>
              <w:rPr>
                <w:rFonts w:ascii="Calibri" w:hAnsi="Calibri"/>
                <w:color w:val="0B2545"/>
                <w:sz w:val="19"/>
              </w:rPr>
              <w:t>Support policy for attachments, images, file upload and externally hosted previews.</w:t>
            </w:r>
          </w:p>
        </w:tc>
        <w:tc>
          <w:tcPr>
            <w:tcW w:type="dxa" w:w="5360"/>
          </w:tcPr>
          <w:p>
            <w:pPr>
              <w:spacing w:before="0" w:after="0" w:line="259" w:lineRule="auto"/>
            </w:pPr>
            <w:r>
              <w:rPr>
                <w:rFonts w:ascii="Calibri" w:hAnsi="Calibri"/>
                <w:color w:val="0B2545"/>
                <w:sz w:val="19"/>
              </w:rPr>
              <w:t>Product, privacy and ChurchTools stakeholders.</w:t>
            </w:r>
          </w:p>
        </w:tc>
      </w:tr>
      <w:tr>
        <w:tc>
          <w:tcPr>
            <w:tcW w:type="dxa" w:w="4000"/>
          </w:tcPr>
          <w:p>
            <w:pPr>
              <w:spacing w:before="0" w:after="0" w:line="259" w:lineRule="auto"/>
            </w:pPr>
            <w:r>
              <w:rPr>
                <w:rFonts w:ascii="Calibri" w:hAnsi="Calibri"/>
                <w:color w:val="0B2545"/>
                <w:sz w:val="19"/>
              </w:rPr>
              <w:t>Supported Nextcloud versions and browser/mobile minimums.</w:t>
            </w:r>
          </w:p>
        </w:tc>
        <w:tc>
          <w:tcPr>
            <w:tcW w:type="dxa" w:w="5360"/>
          </w:tcPr>
          <w:p>
            <w:pPr>
              <w:spacing w:before="0" w:after="0" w:line="259" w:lineRule="auto"/>
            </w:pPr>
            <w:r>
              <w:rPr>
                <w:rFonts w:ascii="Calibri" w:hAnsi="Calibri"/>
                <w:color w:val="0B2545"/>
                <w:sz w:val="19"/>
              </w:rPr>
              <w:t>Nextcloud administrator and engineering.</w:t>
            </w:r>
          </w:p>
        </w:tc>
      </w:tr>
      <w:tr>
        <w:tc>
          <w:tcPr>
            <w:tcW w:type="dxa" w:w="4000"/>
          </w:tcPr>
          <w:p>
            <w:pPr>
              <w:spacing w:before="0" w:after="0" w:line="259" w:lineRule="auto"/>
            </w:pPr>
            <w:r>
              <w:rPr>
                <w:rFonts w:ascii="Calibri" w:hAnsi="Calibri"/>
                <w:color w:val="0B2545"/>
                <w:sz w:val="19"/>
              </w:rPr>
              <w:t>Data retention, audit log content and incident-response ownership.</w:t>
            </w:r>
          </w:p>
        </w:tc>
        <w:tc>
          <w:tcPr>
            <w:tcW w:type="dxa" w:w="5360"/>
          </w:tcPr>
          <w:p>
            <w:pPr>
              <w:spacing w:before="0" w:after="0" w:line="259" w:lineRule="auto"/>
            </w:pPr>
            <w:r>
              <w:rPr>
                <w:rFonts w:ascii="Calibri" w:hAnsi="Calibri"/>
                <w:color w:val="0B2545"/>
                <w:sz w:val="19"/>
              </w:rPr>
              <w:t>Security/privacy and operations.</w:t>
            </w:r>
          </w:p>
        </w:tc>
      </w:tr>
      <w:tr>
        <w:tc>
          <w:tcPr>
            <w:tcW w:type="dxa" w:w="4000"/>
          </w:tcPr>
          <w:p>
            <w:pPr>
              <w:spacing w:before="0" w:after="0" w:line="259" w:lineRule="auto"/>
            </w:pPr>
            <w:r>
              <w:rPr>
                <w:rFonts w:ascii="Calibri" w:hAnsi="Calibri"/>
                <w:color w:val="0B2545"/>
                <w:sz w:val="19"/>
              </w:rPr>
              <w:t>Whether only users with matching ChurchTools identities may connect.</w:t>
            </w:r>
          </w:p>
        </w:tc>
        <w:tc>
          <w:tcPr>
            <w:tcW w:type="dxa" w:w="5360"/>
          </w:tcPr>
          <w:p>
            <w:pPr>
              <w:spacing w:before="0" w:after="0" w:line="259" w:lineRule="auto"/>
            </w:pPr>
            <w:r>
              <w:rPr>
                <w:rFonts w:ascii="Calibri" w:hAnsi="Calibri"/>
                <w:color w:val="0B2545"/>
                <w:sz w:val="19"/>
              </w:rPr>
              <w:t>Product owner and identity administrator.</w:t>
            </w:r>
          </w:p>
        </w:tc>
      </w:tr>
    </w:tbl>
    <w:p>
      <w:pPr>
        <w:spacing w:after="60"/>
      </w:pPr>
    </w:p>
    <w:p>
      <w:pPr>
        <w:spacing w:before="320" w:after="0" w:line="264" w:lineRule="auto"/>
      </w:pPr>
      <w:r>
        <w:rPr>
          <w:rFonts w:ascii="Calibri" w:hAnsi="Calibri"/>
          <w:i/>
          <w:color w:val="5B6573"/>
          <w:sz w:val="22"/>
        </w:rPr>
        <w:t>Appendix — Implementation principle: validate remote contracts first. This document intentionally describes stable service boundaries rather than inventing ChurchTools endpoint names or credential-exchange details. The Phase 0 spike turns the published OpenAPI and approved Matrix behavior into versioned, testable contracts before UI and synchronization work scales.</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Confidential implementation planning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6"/>
      </w:rPr>
      <w:t>CHURCHTOOLS CHAT FOR NEXTCLOUD  |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