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380C66">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380C66">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380C6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380C6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380C6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380C6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r w:rsidR="004B1FFC">
        <w:t>: importarUsuarios</w:t>
      </w:r>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5B1DA4">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3" w:name="_Toc482824070"/>
      <w:r>
        <w:t>Caso de prueba I-01-P-02</w:t>
      </w:r>
      <w:bookmarkEnd w:id="43"/>
      <w:r w:rsidR="004B1FFC">
        <w:t>: importarUsuarios</w:t>
      </w:r>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4" w:name="_Toc482824071"/>
      <w:r>
        <w:t>Caso de prueba I-01-P-03</w:t>
      </w:r>
      <w:bookmarkEnd w:id="44"/>
      <w:r w:rsidR="006C1937">
        <w:t>: importarUsuarios</w:t>
      </w:r>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5" w:name="_Toc482824072"/>
      <w:r>
        <w:t>Caso de prueba I-01-P-04</w:t>
      </w:r>
      <w:bookmarkEnd w:id="45"/>
      <w:r w:rsidR="006C1937">
        <w:t>:</w:t>
      </w:r>
      <w:r w:rsidR="006C1937" w:rsidRPr="006C1937">
        <w:t xml:space="preserve"> </w:t>
      </w:r>
      <w:r w:rsidR="006C1937">
        <w:t>importarUsuarios</w:t>
      </w:r>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r w:rsidR="006C1937">
        <w:t>: importarCompra</w:t>
      </w:r>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824075"/>
      <w:r>
        <w:t>Caso de prueba I-01</w:t>
      </w:r>
      <w:r w:rsidR="004D1A0C">
        <w:t>-P-0</w:t>
      </w:r>
      <w:bookmarkEnd w:id="48"/>
      <w:r w:rsidR="00E4478D">
        <w:t>7</w:t>
      </w:r>
      <w:r w:rsidR="006C1937">
        <w:t>: importarCompra</w:t>
      </w:r>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824076"/>
      <w:r>
        <w:t>Caso de prueba I-01</w:t>
      </w:r>
      <w:r w:rsidR="00955E37">
        <w:t>-P-0</w:t>
      </w:r>
      <w:bookmarkEnd w:id="49"/>
      <w:r w:rsidR="00E4478D">
        <w:t>8</w:t>
      </w:r>
      <w:r w:rsidR="006C1937">
        <w:t>: importarUsuarios</w:t>
      </w:r>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824077"/>
      <w:r>
        <w:lastRenderedPageBreak/>
        <w:t>Caso de prueba I-0</w:t>
      </w:r>
      <w:r w:rsidR="007515DF">
        <w:t>1</w:t>
      </w:r>
      <w:r w:rsidR="00992EE6" w:rsidRPr="009D206C">
        <w:t>-P-0</w:t>
      </w:r>
      <w:bookmarkEnd w:id="50"/>
      <w:r w:rsidR="00E4478D">
        <w:t>9</w:t>
      </w:r>
      <w:r w:rsidR="006C1937">
        <w:t>: importarUsuarios</w:t>
      </w:r>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824078"/>
      <w:r>
        <w:t>Caso de prueba I-01</w:t>
      </w:r>
      <w:r w:rsidR="005F159B">
        <w:t>-P-</w:t>
      </w:r>
      <w:bookmarkEnd w:id="51"/>
      <w:r w:rsidR="00E4478D">
        <w:t>10</w:t>
      </w:r>
      <w:r w:rsidR="001404AA">
        <w:t>: importarUsuarios</w:t>
      </w:r>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824079"/>
      <w:r>
        <w:t>Caso de prueba I-01</w:t>
      </w:r>
      <w:r w:rsidR="00FF4946">
        <w:t>-P-</w:t>
      </w:r>
      <w:r w:rsidR="00A46FA4">
        <w:t>1</w:t>
      </w:r>
      <w:bookmarkEnd w:id="52"/>
      <w:r w:rsidR="00E4478D">
        <w:t>1</w:t>
      </w:r>
      <w:r w:rsidR="00E26932">
        <w:t>: importarCompra</w:t>
      </w:r>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824080"/>
      <w:r>
        <w:t>Caso de prueba I-01</w:t>
      </w:r>
      <w:r w:rsidR="00066434">
        <w:t>-P-</w:t>
      </w:r>
      <w:r>
        <w:t>1</w:t>
      </w:r>
      <w:bookmarkEnd w:id="53"/>
      <w:r w:rsidR="00E4478D">
        <w:t>2</w:t>
      </w:r>
      <w:r w:rsidR="00521232">
        <w:t>: importarUsuarios</w:t>
      </w:r>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4" w:name="_Toc482824081"/>
      <w:r>
        <w:lastRenderedPageBreak/>
        <w:t>Caso de prueba I-01</w:t>
      </w:r>
      <w:r w:rsidR="003449DB">
        <w:t>-P-</w:t>
      </w:r>
      <w:r>
        <w:t>1</w:t>
      </w:r>
      <w:bookmarkEnd w:id="54"/>
      <w:r w:rsidR="00E4478D">
        <w:t>3</w:t>
      </w:r>
      <w:r w:rsidR="00521232">
        <w:t>: importarCompra</w:t>
      </w:r>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824082"/>
      <w:r>
        <w:t>Caso de prueba I-01</w:t>
      </w:r>
      <w:r w:rsidR="008218A7">
        <w:t>-P-1</w:t>
      </w:r>
      <w:bookmarkEnd w:id="55"/>
      <w:r w:rsidR="00E4478D">
        <w:t>4</w:t>
      </w:r>
      <w:r w:rsidR="00521232">
        <w:t>: importarCompra</w:t>
      </w:r>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824083"/>
      <w:r>
        <w:t>Caso de prueba I-02</w:t>
      </w:r>
      <w:r w:rsidR="002C55F4">
        <w:t>-P-01</w:t>
      </w:r>
      <w:bookmarkEnd w:id="56"/>
      <w:r w:rsidR="00521232">
        <w:t>: importarUsuario</w:t>
      </w:r>
      <w:r w:rsidR="00512077">
        <w:t>s</w:t>
      </w:r>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824084"/>
      <w:r>
        <w:t>Caso de prueba I-02</w:t>
      </w:r>
      <w:r w:rsidR="00C05C5B">
        <w:t>-P-02</w:t>
      </w:r>
      <w:bookmarkEnd w:id="57"/>
      <w:r w:rsidR="006A2520">
        <w:t>: importarUsuario</w:t>
      </w:r>
      <w:r w:rsidR="00512077">
        <w:t>s</w:t>
      </w:r>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824085"/>
      <w:r>
        <w:lastRenderedPageBreak/>
        <w:t>Caso de prueba I-02</w:t>
      </w:r>
      <w:r w:rsidR="00A10D85">
        <w:t>-P-03</w:t>
      </w:r>
      <w:bookmarkEnd w:id="58"/>
      <w:r w:rsidR="00521232">
        <w:t>: importarUsuarios</w:t>
      </w:r>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r w:rsidR="00297C6A">
        <w:t>: 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824088"/>
      <w:r>
        <w:t>Caso de prueba D-01-P-02</w:t>
      </w:r>
      <w:bookmarkEnd w:id="61"/>
      <w:r w:rsidR="00297C6A">
        <w:t>: 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824089"/>
      <w:r>
        <w:t>Caso de prueba D-01-P-03</w:t>
      </w:r>
      <w:bookmarkEnd w:id="62"/>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824090"/>
      <w:r>
        <w:t>Caso de prueba D-01-P-04</w:t>
      </w:r>
      <w:bookmarkEnd w:id="63"/>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824091"/>
      <w:r>
        <w:t>Caso de prueba D-01-P-05</w:t>
      </w:r>
      <w:bookmarkEnd w:id="64"/>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824092"/>
      <w:r>
        <w:t>Caso de prueba D-01-P-06</w:t>
      </w:r>
      <w:bookmarkEnd w:id="65"/>
      <w:r w:rsidR="00297C6A">
        <w:t>: modUsuario</w:t>
      </w:r>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824093"/>
      <w:r>
        <w:t>Caso de prueba D-01-P-07</w:t>
      </w:r>
      <w:bookmarkEnd w:id="66"/>
      <w:r w:rsidR="00297C6A">
        <w:t>: modUsuario</w:t>
      </w:r>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r>
        <w:t>Caso de prueba D-02-P-01</w:t>
      </w:r>
      <w:r w:rsidR="00297C6A">
        <w:t>: insertItem</w:t>
      </w:r>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7" w:name="_Toc482824096"/>
      <w:r>
        <w:lastRenderedPageBreak/>
        <w:t>Caso de prueba D-02-P-0</w:t>
      </w:r>
      <w:bookmarkEnd w:id="67"/>
      <w:r w:rsidR="00781885">
        <w:t>2</w:t>
      </w:r>
      <w:r w:rsidR="00297C6A">
        <w:t>: updateItem</w:t>
      </w:r>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8" w:name="_Toc482824097"/>
      <w:r>
        <w:t>Caso de prueba D-02-P-0</w:t>
      </w:r>
      <w:bookmarkEnd w:id="68"/>
      <w:r w:rsidR="00781885">
        <w:t>3</w:t>
      </w:r>
      <w:r w:rsidR="00297C6A">
        <w:t>: insertItem</w:t>
      </w:r>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69" w:name="_Toc482824098"/>
      <w:r w:rsidRPr="00781885">
        <w:t>Caso de prueba D-02-P-0</w:t>
      </w:r>
      <w:bookmarkEnd w:id="69"/>
      <w:r w:rsidR="00781885" w:rsidRPr="00781885">
        <w:t>4</w:t>
      </w:r>
      <w:r w:rsidR="00297C6A">
        <w:t>: insertVenta</w:t>
      </w:r>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0" w:name="_Toc482824099"/>
      <w:r>
        <w:lastRenderedPageBreak/>
        <w:t>Caso de prueba D-02-P-0</w:t>
      </w:r>
      <w:bookmarkEnd w:id="70"/>
      <w:r w:rsidR="00781885">
        <w:t>5</w:t>
      </w:r>
      <w:r w:rsidR="00297C6A">
        <w:t>: updateItem</w:t>
      </w:r>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1" w:name="_Toc482824100"/>
      <w:r>
        <w:t>Caso de prueba D-03-P-01</w:t>
      </w:r>
      <w:bookmarkEnd w:id="71"/>
      <w:r w:rsidR="00297C6A">
        <w:t>: validateOrder</w:t>
      </w:r>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2" w:name="_Toc482824101"/>
      <w:r>
        <w:t>Caso de prueba D-03-P-02</w:t>
      </w:r>
      <w:bookmarkEnd w:id="72"/>
      <w:r w:rsidR="00297C6A">
        <w:t>: validateOrder</w:t>
      </w:r>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3" w:name="_Toc482824102"/>
      <w:r>
        <w:t>Caso de prueba D-04-P-01</w:t>
      </w:r>
      <w:bookmarkEnd w:id="73"/>
      <w:r w:rsidR="00297C6A">
        <w:t>: getHistorialUsuario</w:t>
      </w:r>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4" w:name="_Toc482824103"/>
      <w:r>
        <w:t>Caso de prueba D-04-P-02</w:t>
      </w:r>
      <w:bookmarkEnd w:id="74"/>
      <w:r w:rsidR="00297C6A">
        <w:t>: 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5" w:name="_Toc482824104"/>
      <w:r>
        <w:lastRenderedPageBreak/>
        <w:t>Caso de prueba D-04-P-03</w:t>
      </w:r>
      <w:bookmarkEnd w:id="75"/>
      <w:r w:rsidR="00297C6A">
        <w:t>: 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6" w:name="_Toc482824105"/>
      <w:r>
        <w:t>Caso de prueba D-04-P-04</w:t>
      </w:r>
      <w:bookmarkEnd w:id="76"/>
      <w:r w:rsidR="00297C6A">
        <w:t>: getHistorialUsuario</w:t>
      </w:r>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7" w:name="_Toc482824106"/>
      <w:r>
        <w:t>Caso de prueba D-05-P-01</w:t>
      </w:r>
      <w:bookmarkEnd w:id="77"/>
      <w:r w:rsidR="00297C6A">
        <w:t>: getItemById</w:t>
      </w:r>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8" w:name="_Toc482824107"/>
      <w:r>
        <w:t>Caso de prueba D-05-P-02</w:t>
      </w:r>
      <w:bookmarkEnd w:id="78"/>
      <w:r w:rsidR="00297C6A">
        <w:t>: 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79" w:name="_Toc482824108"/>
      <w:r>
        <w:t>Caso de prueba D-05-P-03</w:t>
      </w:r>
      <w:bookmarkEnd w:id="79"/>
      <w:r w:rsidR="00297C6A">
        <w:t>: 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0" w:name="_Toc482824109"/>
      <w:r>
        <w:t xml:space="preserve">Pruebas sobre el módulo </w:t>
      </w:r>
      <w:r w:rsidR="00D212B1">
        <w:t>Estadistic</w:t>
      </w:r>
      <w:bookmarkEnd w:id="80"/>
      <w:r>
        <w:t>o</w:t>
      </w:r>
    </w:p>
    <w:p w:rsidR="00D212B1" w:rsidRDefault="00D212B1" w:rsidP="00F9315C">
      <w:pPr>
        <w:pStyle w:val="Ttulo3"/>
      </w:pPr>
      <w:bookmarkStart w:id="81" w:name="_Toc482824110"/>
      <w:r>
        <w:t>Nota</w:t>
      </w:r>
      <w:bookmarkEnd w:id="81"/>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2" w:name="_Toc482824113"/>
      <w:r>
        <w:t>Caso de prueba E-01-P-0</w:t>
      </w:r>
      <w:bookmarkEnd w:id="82"/>
      <w:r>
        <w:t>1: getHistogramas</w:t>
      </w:r>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RPr="008C1473" w:rsidTr="00433EC3">
        <w:trPr>
          <w:trHeight w:val="1056"/>
        </w:trPr>
        <w:tc>
          <w:tcPr>
            <w:tcW w:w="2123" w:type="dxa"/>
          </w:tcPr>
          <w:p w:rsidR="008E0CD8" w:rsidRDefault="008E0CD8" w:rsidP="00433EC3">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433EC3">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433EC3">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433EC3">
            <w:pPr>
              <w:pStyle w:val="Textoindependiente"/>
              <w:jc w:val="center"/>
              <w:rPr>
                <w:b/>
                <w:sz w:val="18"/>
                <w:szCs w:val="18"/>
              </w:rPr>
            </w:pPr>
          </w:p>
        </w:tc>
        <w:tc>
          <w:tcPr>
            <w:tcW w:w="2124" w:type="dxa"/>
          </w:tcPr>
          <w:p w:rsidR="008E0CD8" w:rsidRPr="008C1473" w:rsidRDefault="008E0CD8" w:rsidP="00433EC3">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433EC3">
            <w:pPr>
              <w:pStyle w:val="Textoindependiente"/>
              <w:jc w:val="center"/>
              <w:rPr>
                <w:sz w:val="18"/>
                <w:szCs w:val="18"/>
              </w:rPr>
            </w:pPr>
            <w:r>
              <w:rPr>
                <w:sz w:val="18"/>
                <w:szCs w:val="18"/>
              </w:rPr>
              <w:t>1</w:t>
            </w:r>
          </w:p>
        </w:tc>
      </w:tr>
    </w:tbl>
    <w:p w:rsidR="008E0CD8" w:rsidRPr="003D4520" w:rsidRDefault="008E0CD8" w:rsidP="008E0CD8"/>
    <w:p w:rsidR="008E0CD8" w:rsidRDefault="008E0CD8" w:rsidP="008E0CD8">
      <w:pPr>
        <w:pStyle w:val="Ttulo3"/>
      </w:pPr>
      <w:bookmarkStart w:id="83" w:name="_Toc482824114"/>
      <w:r>
        <w:t>Caso de prueba E-01-P-0</w:t>
      </w:r>
      <w:bookmarkEnd w:id="83"/>
      <w:r>
        <w:t>2: getHistogramas</w:t>
      </w:r>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RPr="008C1473" w:rsidTr="00433EC3">
        <w:trPr>
          <w:trHeight w:val="1056"/>
        </w:trPr>
        <w:tc>
          <w:tcPr>
            <w:tcW w:w="2123" w:type="dxa"/>
          </w:tcPr>
          <w:p w:rsidR="008E0CD8" w:rsidRDefault="008E0CD8" w:rsidP="00433EC3">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433EC3">
            <w:pPr>
              <w:rPr>
                <w:sz w:val="18"/>
                <w:szCs w:val="18"/>
              </w:rPr>
            </w:pPr>
            <w:r>
              <w:rPr>
                <w:sz w:val="18"/>
                <w:szCs w:val="18"/>
              </w:rPr>
              <w:t xml:space="preserve">*Se introducirá una fecha 7 días anterior a la actual. Este dato se concreta de esta forma para que las </w:t>
            </w:r>
            <w:r>
              <w:rPr>
                <w:sz w:val="18"/>
                <w:szCs w:val="18"/>
              </w:rPr>
              <w:lastRenderedPageBreak/>
              <w:t>pruebas puedan ser repetibles.</w:t>
            </w:r>
          </w:p>
        </w:tc>
        <w:tc>
          <w:tcPr>
            <w:tcW w:w="2123" w:type="dxa"/>
          </w:tcPr>
          <w:p w:rsidR="008E0CD8" w:rsidRPr="008C1473" w:rsidRDefault="008E0CD8" w:rsidP="00433EC3">
            <w:pPr>
              <w:pStyle w:val="Textoindependiente"/>
              <w:jc w:val="center"/>
              <w:rPr>
                <w:sz w:val="18"/>
                <w:szCs w:val="18"/>
              </w:rPr>
            </w:pPr>
            <w:r>
              <w:rPr>
                <w:sz w:val="18"/>
                <w:szCs w:val="18"/>
              </w:rPr>
              <w:lastRenderedPageBreak/>
              <w:t>Modo</w:t>
            </w:r>
            <w:r w:rsidRPr="008C1473">
              <w:rPr>
                <w:sz w:val="18"/>
                <w:szCs w:val="18"/>
              </w:rPr>
              <w:t>:</w:t>
            </w:r>
            <w:r>
              <w:rPr>
                <w:sz w:val="18"/>
                <w:szCs w:val="18"/>
              </w:rPr>
              <w:t xml:space="preserve"> 2</w:t>
            </w:r>
          </w:p>
          <w:p w:rsidR="008E0CD8" w:rsidRPr="008C1473" w:rsidRDefault="008E0CD8" w:rsidP="00433EC3">
            <w:pPr>
              <w:pStyle w:val="Textoindependiente"/>
              <w:jc w:val="center"/>
              <w:rPr>
                <w:b/>
                <w:sz w:val="18"/>
                <w:szCs w:val="18"/>
              </w:rPr>
            </w:pPr>
          </w:p>
        </w:tc>
        <w:tc>
          <w:tcPr>
            <w:tcW w:w="2124" w:type="dxa"/>
          </w:tcPr>
          <w:p w:rsidR="008E0CD8" w:rsidRPr="008C1473" w:rsidRDefault="008E0CD8" w:rsidP="00433EC3">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433EC3">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4" w:name="_Toc482824115"/>
      <w:r>
        <w:t>Caso de prueba E-01-P-0</w:t>
      </w:r>
      <w:bookmarkEnd w:id="84"/>
      <w:r>
        <w:t>3: getPorcentajes</w:t>
      </w:r>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RPr="008C1473" w:rsidTr="00433EC3">
        <w:trPr>
          <w:trHeight w:val="1056"/>
        </w:trPr>
        <w:tc>
          <w:tcPr>
            <w:tcW w:w="2123" w:type="dxa"/>
          </w:tcPr>
          <w:p w:rsidR="008E0CD8" w:rsidRDefault="008E0CD8" w:rsidP="00433EC3">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433EC3">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433EC3">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433EC3">
            <w:pPr>
              <w:pStyle w:val="Textoindependiente"/>
              <w:jc w:val="center"/>
              <w:rPr>
                <w:b/>
                <w:sz w:val="18"/>
                <w:szCs w:val="18"/>
              </w:rPr>
            </w:pPr>
          </w:p>
        </w:tc>
        <w:tc>
          <w:tcPr>
            <w:tcW w:w="2124" w:type="dxa"/>
          </w:tcPr>
          <w:p w:rsidR="008E0CD8" w:rsidRPr="00335338" w:rsidRDefault="008E0CD8" w:rsidP="00433EC3">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433EC3">
            <w:pPr>
              <w:pStyle w:val="Textoindependiente"/>
              <w:jc w:val="center"/>
              <w:rPr>
                <w:sz w:val="18"/>
                <w:szCs w:val="18"/>
              </w:rPr>
            </w:pPr>
          </w:p>
        </w:tc>
        <w:tc>
          <w:tcPr>
            <w:tcW w:w="2124" w:type="dxa"/>
          </w:tcPr>
          <w:p w:rsidR="008E0CD8" w:rsidRPr="008C1473" w:rsidRDefault="008E0CD8" w:rsidP="00433EC3">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5" w:name="_Toc482824116"/>
      <w:r>
        <w:t>Caso de prueba E-01-P-0</w:t>
      </w:r>
      <w:bookmarkEnd w:id="85"/>
      <w:r>
        <w:t>4: getPorcentajes</w:t>
      </w:r>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RPr="008C1473" w:rsidTr="00433EC3">
        <w:trPr>
          <w:trHeight w:val="1056"/>
        </w:trPr>
        <w:tc>
          <w:tcPr>
            <w:tcW w:w="2123" w:type="dxa"/>
          </w:tcPr>
          <w:p w:rsidR="008E0CD8" w:rsidRPr="003D4520" w:rsidRDefault="008E0CD8" w:rsidP="00433EC3">
            <w:pPr>
              <w:rPr>
                <w:sz w:val="18"/>
                <w:szCs w:val="18"/>
              </w:rPr>
            </w:pPr>
            <w:r>
              <w:rPr>
                <w:sz w:val="18"/>
                <w:szCs w:val="18"/>
              </w:rPr>
              <w:t>No es necesario ningún prerrequisito.</w:t>
            </w:r>
          </w:p>
        </w:tc>
        <w:tc>
          <w:tcPr>
            <w:tcW w:w="2123" w:type="dxa"/>
          </w:tcPr>
          <w:p w:rsidR="008E0CD8" w:rsidRPr="008C1473" w:rsidRDefault="008E0CD8" w:rsidP="00433EC3">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433EC3">
            <w:pPr>
              <w:pStyle w:val="Textoindependiente"/>
              <w:jc w:val="center"/>
              <w:rPr>
                <w:b/>
                <w:sz w:val="18"/>
                <w:szCs w:val="18"/>
              </w:rPr>
            </w:pPr>
          </w:p>
        </w:tc>
        <w:tc>
          <w:tcPr>
            <w:tcW w:w="2124" w:type="dxa"/>
          </w:tcPr>
          <w:p w:rsidR="008E0CD8" w:rsidRPr="008C1473" w:rsidRDefault="008E0CD8" w:rsidP="00433EC3">
            <w:pPr>
              <w:pStyle w:val="Textoindependiente"/>
              <w:jc w:val="center"/>
              <w:rPr>
                <w:sz w:val="18"/>
                <w:szCs w:val="18"/>
              </w:rPr>
            </w:pPr>
            <w:r>
              <w:rPr>
                <w:sz w:val="18"/>
                <w:szCs w:val="18"/>
              </w:rPr>
              <w:t>La salida será una excepción.</w:t>
            </w:r>
          </w:p>
        </w:tc>
        <w:tc>
          <w:tcPr>
            <w:tcW w:w="2124" w:type="dxa"/>
          </w:tcPr>
          <w:p w:rsidR="008E0CD8" w:rsidRPr="008C1473" w:rsidRDefault="008E0CD8" w:rsidP="00433EC3">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6" w:name="_Toc482824111"/>
      <w:r>
        <w:t>Caso de prueba E-02-P-01</w:t>
      </w:r>
      <w:bookmarkEnd w:id="86"/>
      <w:r>
        <w:t>: getValoresBrutos</w:t>
      </w:r>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Tr="00433EC3">
        <w:trPr>
          <w:trHeight w:val="1056"/>
        </w:trPr>
        <w:tc>
          <w:tcPr>
            <w:tcW w:w="2123" w:type="dxa"/>
          </w:tcPr>
          <w:p w:rsidR="008E0CD8" w:rsidRPr="003D4520" w:rsidRDefault="008E0CD8" w:rsidP="00433EC3">
            <w:pPr>
              <w:rPr>
                <w:sz w:val="18"/>
                <w:szCs w:val="18"/>
              </w:rPr>
            </w:pPr>
            <w:r>
              <w:rPr>
                <w:sz w:val="18"/>
                <w:szCs w:val="18"/>
              </w:rPr>
              <w:t>No es necesario ningún prerrequisito.</w:t>
            </w:r>
          </w:p>
        </w:tc>
        <w:tc>
          <w:tcPr>
            <w:tcW w:w="2123" w:type="dxa"/>
          </w:tcPr>
          <w:p w:rsidR="008E0CD8" w:rsidRPr="00DF1AC5" w:rsidRDefault="008E0CD8" w:rsidP="00433EC3">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433EC3">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433EC3">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7" w:name="_Toc482824112"/>
      <w:r>
        <w:t>Caso de prueba E-02-P-02</w:t>
      </w:r>
      <w:bookmarkEnd w:id="87"/>
      <w:r>
        <w:t>: getMedias</w:t>
      </w:r>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433EC3">
        <w:tc>
          <w:tcPr>
            <w:tcW w:w="2123" w:type="dxa"/>
          </w:tcPr>
          <w:p w:rsidR="008E0CD8" w:rsidRPr="008C1473" w:rsidRDefault="008E0CD8" w:rsidP="00433EC3">
            <w:pPr>
              <w:pStyle w:val="Textoindependiente"/>
              <w:jc w:val="center"/>
              <w:rPr>
                <w:b/>
                <w:sz w:val="18"/>
                <w:szCs w:val="18"/>
              </w:rPr>
            </w:pPr>
            <w:r>
              <w:rPr>
                <w:b/>
                <w:sz w:val="18"/>
                <w:szCs w:val="18"/>
              </w:rPr>
              <w:t>Necesidades del entorno</w:t>
            </w:r>
          </w:p>
        </w:tc>
        <w:tc>
          <w:tcPr>
            <w:tcW w:w="2123" w:type="dxa"/>
          </w:tcPr>
          <w:p w:rsidR="008E0CD8" w:rsidRPr="008C1473" w:rsidRDefault="008E0CD8" w:rsidP="00433EC3">
            <w:pPr>
              <w:pStyle w:val="Textoindependiente"/>
              <w:jc w:val="center"/>
              <w:rPr>
                <w:b/>
                <w:sz w:val="18"/>
                <w:szCs w:val="18"/>
              </w:rPr>
            </w:pPr>
            <w:r>
              <w:rPr>
                <w:b/>
                <w:sz w:val="18"/>
                <w:szCs w:val="18"/>
              </w:rPr>
              <w:t>Entradas</w:t>
            </w:r>
          </w:p>
        </w:tc>
        <w:tc>
          <w:tcPr>
            <w:tcW w:w="2124" w:type="dxa"/>
          </w:tcPr>
          <w:p w:rsidR="008E0CD8" w:rsidRPr="008C1473" w:rsidRDefault="008E0CD8" w:rsidP="00433EC3">
            <w:pPr>
              <w:pStyle w:val="Textoindependiente"/>
              <w:jc w:val="center"/>
              <w:rPr>
                <w:b/>
                <w:sz w:val="18"/>
                <w:szCs w:val="18"/>
              </w:rPr>
            </w:pPr>
            <w:r>
              <w:rPr>
                <w:b/>
                <w:sz w:val="18"/>
                <w:szCs w:val="18"/>
              </w:rPr>
              <w:t>Salidas</w:t>
            </w:r>
          </w:p>
        </w:tc>
        <w:tc>
          <w:tcPr>
            <w:tcW w:w="2124" w:type="dxa"/>
          </w:tcPr>
          <w:p w:rsidR="008E0CD8" w:rsidRPr="008C1473" w:rsidRDefault="008E0CD8" w:rsidP="00433EC3">
            <w:pPr>
              <w:pStyle w:val="Textoindependiente"/>
              <w:jc w:val="center"/>
              <w:rPr>
                <w:b/>
                <w:sz w:val="18"/>
                <w:szCs w:val="18"/>
              </w:rPr>
            </w:pPr>
            <w:r>
              <w:rPr>
                <w:b/>
                <w:sz w:val="18"/>
                <w:szCs w:val="18"/>
              </w:rPr>
              <w:t>Clases que valida</w:t>
            </w:r>
          </w:p>
        </w:tc>
      </w:tr>
      <w:tr w:rsidR="008E0CD8" w:rsidRPr="008C1473" w:rsidTr="00433EC3">
        <w:trPr>
          <w:trHeight w:val="1056"/>
        </w:trPr>
        <w:tc>
          <w:tcPr>
            <w:tcW w:w="2123" w:type="dxa"/>
          </w:tcPr>
          <w:p w:rsidR="008E0CD8" w:rsidRDefault="008E0CD8" w:rsidP="00433EC3">
            <w:pPr>
              <w:rPr>
                <w:sz w:val="18"/>
                <w:szCs w:val="18"/>
              </w:rPr>
            </w:pPr>
            <w:r w:rsidRPr="003D4520">
              <w:rPr>
                <w:sz w:val="18"/>
                <w:szCs w:val="18"/>
              </w:rPr>
              <w:lastRenderedPageBreak/>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433EC3">
            <w:pPr>
              <w:rPr>
                <w:sz w:val="18"/>
                <w:szCs w:val="18"/>
              </w:rPr>
            </w:pPr>
          </w:p>
          <w:p w:rsidR="008E0CD8" w:rsidRDefault="008E0CD8" w:rsidP="00433EC3">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433EC3">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433EC3">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433EC3">
            <w:pPr>
              <w:pStyle w:val="Textoindependiente"/>
              <w:jc w:val="center"/>
              <w:rPr>
                <w:b/>
                <w:sz w:val="18"/>
                <w:szCs w:val="18"/>
              </w:rPr>
            </w:pPr>
          </w:p>
        </w:tc>
        <w:tc>
          <w:tcPr>
            <w:tcW w:w="2124" w:type="dxa"/>
          </w:tcPr>
          <w:p w:rsidR="008E0CD8" w:rsidRPr="008C1473" w:rsidRDefault="008E0CD8" w:rsidP="00433EC3">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433EC3">
            <w:pPr>
              <w:pStyle w:val="Textoindependiente"/>
              <w:jc w:val="center"/>
              <w:rPr>
                <w:sz w:val="18"/>
                <w:szCs w:val="18"/>
              </w:rPr>
            </w:pPr>
          </w:p>
        </w:tc>
        <w:tc>
          <w:tcPr>
            <w:tcW w:w="2124" w:type="dxa"/>
          </w:tcPr>
          <w:p w:rsidR="008E0CD8" w:rsidRPr="008C1473" w:rsidRDefault="008E0CD8" w:rsidP="00433EC3">
            <w:pPr>
              <w:pStyle w:val="Textoindependiente"/>
              <w:jc w:val="center"/>
              <w:rPr>
                <w:sz w:val="18"/>
                <w:szCs w:val="18"/>
              </w:rPr>
            </w:pPr>
            <w:r>
              <w:rPr>
                <w:sz w:val="18"/>
                <w:szCs w:val="18"/>
              </w:rPr>
              <w:t>1</w:t>
            </w:r>
          </w:p>
        </w:tc>
      </w:tr>
    </w:tbl>
    <w:p w:rsidR="00297C6A" w:rsidRDefault="00297C6A" w:rsidP="00F25AB8">
      <w:pPr>
        <w:pStyle w:val="Textoindependiente"/>
      </w:pPr>
      <w:bookmarkStart w:id="88" w:name="_GoBack"/>
      <w:bookmarkEnd w:id="88"/>
    </w:p>
    <w:p w:rsidR="002D12E0" w:rsidRDefault="002D12E0" w:rsidP="00F9315C">
      <w:pPr>
        <w:pStyle w:val="Ttulo1"/>
      </w:pPr>
      <w:bookmarkStart w:id="89" w:name="_Toc482824117"/>
      <w:r>
        <w:t>Casos de prueba de caja blanca</w:t>
      </w:r>
      <w:bookmarkEnd w:id="89"/>
    </w:p>
    <w:p w:rsidR="002D12E0" w:rsidRDefault="000C5737" w:rsidP="002D12E0">
      <w:pPr>
        <w:pStyle w:val="Ttulo2"/>
      </w:pPr>
      <w:bookmarkStart w:id="90" w:name="_Toc482824118"/>
      <w:r>
        <w:t>i</w:t>
      </w:r>
      <w:r w:rsidR="00213776">
        <w:t>mportarUsuarios</w:t>
      </w:r>
      <w:bookmarkEnd w:id="90"/>
    </w:p>
    <w:p w:rsidR="002D12E0" w:rsidRPr="002D12E0" w:rsidRDefault="002D12E0" w:rsidP="002D12E0">
      <w:pPr>
        <w:pStyle w:val="Ttulo3"/>
      </w:pPr>
      <w:bookmarkStart w:id="91" w:name="_Toc482824119"/>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824120"/>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824121"/>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824122"/>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824123"/>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4"/>
      <w:r>
        <w:lastRenderedPageBreak/>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5"/>
      <w:r>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6"/>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7"/>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8"/>
      <w:r>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824129"/>
      <w:r>
        <w:t>i</w:t>
      </w:r>
      <w:r w:rsidR="00213776">
        <w:t>mportaCompra</w:t>
      </w:r>
      <w:bookmarkEnd w:id="101"/>
    </w:p>
    <w:p w:rsidR="00213776" w:rsidRPr="00213776" w:rsidRDefault="00213776" w:rsidP="00213776">
      <w:pPr>
        <w:pStyle w:val="Ttulo3"/>
      </w:pPr>
      <w:bookmarkStart w:id="102" w:name="_Toc482824130"/>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lastRenderedPageBreak/>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824131"/>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824132"/>
      <w:r>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824133"/>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824134"/>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824135"/>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824136"/>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824137"/>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8"/>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9"/>
      <w:r>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40"/>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3" w:name="_Toc482824141"/>
      <w:r>
        <w:lastRenderedPageBreak/>
        <w:t>validateOrder</w:t>
      </w:r>
      <w:bookmarkEnd w:id="113"/>
    </w:p>
    <w:p w:rsidR="007E1070" w:rsidRDefault="007E1070" w:rsidP="007E1070">
      <w:pPr>
        <w:pStyle w:val="Ttulo3"/>
      </w:pPr>
      <w:bookmarkStart w:id="114" w:name="_Toc482824142"/>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824143"/>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824144"/>
      <w:r>
        <w:lastRenderedPageBreak/>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824145"/>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6"/>
      <w:r>
        <w:lastRenderedPageBreak/>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824147"/>
      <w:r>
        <w:t>getAllUsers</w:t>
      </w:r>
      <w:bookmarkEnd w:id="119"/>
    </w:p>
    <w:p w:rsidR="00A35853" w:rsidRPr="00A35853" w:rsidRDefault="00A35853" w:rsidP="00A35853">
      <w:pPr>
        <w:pStyle w:val="Ttulo3"/>
      </w:pPr>
      <w:bookmarkStart w:id="120" w:name="_Toc482824148"/>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1" w:name="_Toc482824149"/>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2" w:name="_Toc482824150"/>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824151"/>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824152"/>
      <w:r>
        <w:lastRenderedPageBreak/>
        <w:t>insertOrder</w:t>
      </w:r>
      <w:bookmarkEnd w:id="124"/>
    </w:p>
    <w:p w:rsidR="005C0449" w:rsidRPr="005C0449" w:rsidRDefault="005C0449" w:rsidP="005C0449">
      <w:pPr>
        <w:pStyle w:val="Ttulo3"/>
      </w:pPr>
      <w:bookmarkStart w:id="125" w:name="_Toc482824153"/>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824154"/>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824155"/>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824156"/>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29" w:name="_Toc482824157"/>
      <w:r>
        <w:t>Procedimientos de prueba</w:t>
      </w:r>
      <w:bookmarkEnd w:id="129"/>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30" w:name="_Toc482824158"/>
      <w:r>
        <w:t>Anexo: plantillas</w:t>
      </w:r>
      <w:bookmarkEnd w:id="130"/>
    </w:p>
    <w:p w:rsidR="00F42A99" w:rsidRDefault="00296510" w:rsidP="00F9315C">
      <w:pPr>
        <w:pStyle w:val="Ttulo2"/>
      </w:pPr>
      <w:bookmarkStart w:id="131" w:name="_Toc482824159"/>
      <w:r>
        <w:t>Plantilla de plan de pruebas</w:t>
      </w:r>
      <w:bookmarkEnd w:id="131"/>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2" w:name="_Toc482824160"/>
      <w:r>
        <w:t>Plantilla de diseño de pruebas</w:t>
      </w:r>
      <w:bookmarkEnd w:id="132"/>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3" w:name="_Toc482824161"/>
      <w:r>
        <w:t>Plantilla de casos de prueba</w:t>
      </w:r>
      <w:bookmarkEnd w:id="133"/>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4" w:name="_Toc482824162"/>
      <w:r>
        <w:t>Documentos relacionados</w:t>
      </w:r>
      <w:bookmarkEnd w:id="134"/>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C66" w:rsidRDefault="00380C66" w:rsidP="00F9315C">
      <w:r>
        <w:separator/>
      </w:r>
    </w:p>
  </w:endnote>
  <w:endnote w:type="continuationSeparator" w:id="0">
    <w:p w:rsidR="00380C66" w:rsidRDefault="00380C66"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DA4" w:rsidRDefault="005B1DA4"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DA4" w:rsidRPr="00173FFA" w:rsidRDefault="005B1DA4"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8E0CD8">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8E0CD8">
      <w:rPr>
        <w:noProof/>
        <w:lang w:val="es-ES"/>
      </w:rPr>
      <w:t>36</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8E0CD8">
      <w:rPr>
        <w:noProof/>
        <w:lang w:val="es-ES"/>
      </w:rPr>
      <w:t>53</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C66" w:rsidRDefault="00380C66" w:rsidP="00F9315C">
      <w:r>
        <w:separator/>
      </w:r>
    </w:p>
  </w:footnote>
  <w:footnote w:type="continuationSeparator" w:id="0">
    <w:p w:rsidR="00380C66" w:rsidRDefault="00380C66"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B1DA4" w:rsidRPr="003036AA" w:rsidTr="00692387">
      <w:trPr>
        <w:trHeight w:val="410"/>
      </w:trPr>
      <w:tc>
        <w:tcPr>
          <w:tcW w:w="1384" w:type="dxa"/>
          <w:vMerge w:val="restart"/>
        </w:tcPr>
        <w:p w:rsidR="005B1DA4" w:rsidRPr="00F63D22" w:rsidRDefault="005B1DA4" w:rsidP="00F9315C">
          <w:pPr>
            <w:pStyle w:val="Encabezado"/>
            <w:rPr>
              <w:lang w:val="es-ES"/>
            </w:rPr>
          </w:pPr>
          <w:r w:rsidRPr="00F63D22">
            <w:rPr>
              <w:lang w:val="es-ES"/>
            </w:rPr>
            <w:t>ENSO</w:t>
          </w:r>
        </w:p>
        <w:p w:rsidR="005B1DA4" w:rsidRPr="00F63D22" w:rsidRDefault="005B1DA4" w:rsidP="00F9315C">
          <w:pPr>
            <w:pStyle w:val="Encabezado"/>
            <w:rPr>
              <w:lang w:val="es-ES"/>
            </w:rPr>
          </w:pPr>
          <w:r>
            <w:rPr>
              <w:lang w:val="es-ES"/>
            </w:rPr>
            <w:t>Gr</w:t>
          </w:r>
          <w:r w:rsidRPr="00F63D22">
            <w:rPr>
              <w:lang w:val="es-ES"/>
            </w:rPr>
            <w:t>EI</w:t>
          </w:r>
        </w:p>
      </w:tc>
      <w:tc>
        <w:tcPr>
          <w:tcW w:w="5528" w:type="dxa"/>
          <w:vAlign w:val="center"/>
        </w:tcPr>
        <w:p w:rsidR="005B1DA4" w:rsidRPr="00F512EB" w:rsidRDefault="005B1DA4" w:rsidP="00F9315C">
          <w:pPr>
            <w:pStyle w:val="Encabezado"/>
            <w:rPr>
              <w:b/>
              <w:noProof/>
              <w:lang w:val="pt-BR"/>
            </w:rPr>
          </w:pPr>
          <w:r>
            <w:rPr>
              <w:lang w:val="es-ES"/>
            </w:rPr>
            <w:t>Proceso de Pruebas</w:t>
          </w:r>
        </w:p>
      </w:tc>
      <w:tc>
        <w:tcPr>
          <w:tcW w:w="1808" w:type="dxa"/>
          <w:vAlign w:val="center"/>
        </w:tcPr>
        <w:p w:rsidR="005B1DA4" w:rsidRPr="008B2824" w:rsidRDefault="005B1DA4" w:rsidP="00F9315C">
          <w:pPr>
            <w:pStyle w:val="Encabezado"/>
            <w:rPr>
              <w:i/>
              <w:lang w:val="es-ES"/>
            </w:rPr>
          </w:pPr>
          <w:r w:rsidRPr="008B2824">
            <w:rPr>
              <w:lang w:val="es-ES"/>
            </w:rPr>
            <w:t>01/04/2017</w:t>
          </w:r>
        </w:p>
      </w:tc>
    </w:tr>
    <w:tr w:rsidR="005B1DA4" w:rsidRPr="003D156B" w:rsidTr="00692387">
      <w:trPr>
        <w:trHeight w:val="273"/>
      </w:trPr>
      <w:tc>
        <w:tcPr>
          <w:tcW w:w="1384" w:type="dxa"/>
          <w:vMerge/>
        </w:tcPr>
        <w:p w:rsidR="005B1DA4" w:rsidRPr="003036AA" w:rsidRDefault="005B1DA4" w:rsidP="00F9315C">
          <w:pPr>
            <w:pStyle w:val="Encabezado"/>
            <w:rPr>
              <w:lang w:val="pt-BR"/>
            </w:rPr>
          </w:pPr>
        </w:p>
      </w:tc>
      <w:tc>
        <w:tcPr>
          <w:tcW w:w="7336" w:type="dxa"/>
          <w:gridSpan w:val="2"/>
          <w:noWrap/>
          <w:vAlign w:val="center"/>
        </w:tcPr>
        <w:p w:rsidR="005B1DA4" w:rsidRPr="003D156B" w:rsidRDefault="005B1DA4" w:rsidP="00F9315C">
          <w:pPr>
            <w:pStyle w:val="Encabezado"/>
            <w:rPr>
              <w:lang w:val="es-ES"/>
            </w:rPr>
          </w:pPr>
          <w:r w:rsidRPr="003036AA">
            <w:rPr>
              <w:lang w:val="pt-BR"/>
            </w:rPr>
            <w:t>Doc</w:t>
          </w:r>
          <w:r w:rsidRPr="003D156B">
            <w:rPr>
              <w:lang w:val="pt-BR"/>
            </w:rPr>
            <w:t xml:space="preserve">.:  </w:t>
          </w:r>
          <w:r>
            <w:rPr>
              <w:lang w:val="pt-BR"/>
            </w:rPr>
            <w:t>PDP_v1.doc</w:t>
          </w:r>
        </w:p>
      </w:tc>
    </w:tr>
  </w:tbl>
  <w:p w:rsidR="005B1DA4" w:rsidRPr="0012255E" w:rsidRDefault="005B1DA4"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26932"/>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97D9-D6A3-4C8E-A774-62BB2030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768</TotalTime>
  <Pages>53</Pages>
  <Words>14086</Words>
  <Characters>77479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91383</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107</cp:revision>
  <cp:lastPrinted>2017-05-17T18:49:00Z</cp:lastPrinted>
  <dcterms:created xsi:type="dcterms:W3CDTF">2017-05-17T20:38:00Z</dcterms:created>
  <dcterms:modified xsi:type="dcterms:W3CDTF">2017-05-19T17:54:00Z</dcterms:modified>
</cp:coreProperties>
</file>