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348A6" w14:textId="77777777" w:rsidR="00B47A6C" w:rsidRPr="00B47A6C" w:rsidRDefault="00B47A6C" w:rsidP="00B47A6C">
      <w:pPr>
        <w:pBdr>
          <w:bottom w:val="single" w:sz="4" w:space="1" w:color="auto"/>
        </w:pBdr>
        <w:rPr>
          <w:b/>
          <w:bCs/>
        </w:rPr>
      </w:pPr>
      <w:r w:rsidRPr="00B47A6C">
        <w:rPr>
          <w:b/>
          <w:bCs/>
        </w:rPr>
        <w:t>Kapitel 2:</w:t>
      </w:r>
    </w:p>
    <w:p w14:paraId="1A83D9C8" w14:textId="4CEA2892" w:rsidR="00B47A6C" w:rsidRPr="00B47A6C" w:rsidRDefault="00B47A6C" w:rsidP="00B47A6C">
      <w:r w:rsidRPr="00B47A6C">
        <w:t>In den vorliegenden Quellen werden grundlegende ökonomische Konzepte beschrieben, die Googles Geschäftsmodell im Bereich der Online-Werbung untermauern. Diese lassen sich in die Kategorien zweiseitige Märkte, Auktionstheorie und die Extraktion von Monopolrenten unterteilen.</w:t>
      </w:r>
    </w:p>
    <w:p w14:paraId="4F467F09" w14:textId="77777777" w:rsidR="00B47A6C" w:rsidRPr="00B47A6C" w:rsidRDefault="00B47A6C" w:rsidP="00B47A6C">
      <w:r w:rsidRPr="00B47A6C">
        <w:rPr>
          <w:b/>
          <w:bCs/>
        </w:rPr>
        <w:t>1. Zweiseitige Märkte (</w:t>
      </w:r>
      <w:proofErr w:type="spellStart"/>
      <w:r w:rsidRPr="00B47A6C">
        <w:rPr>
          <w:b/>
          <w:bCs/>
        </w:rPr>
        <w:t>Two-Sided</w:t>
      </w:r>
      <w:proofErr w:type="spellEnd"/>
      <w:r w:rsidRPr="00B47A6C">
        <w:rPr>
          <w:b/>
          <w:bCs/>
        </w:rPr>
        <w:t xml:space="preserve"> </w:t>
      </w:r>
      <w:proofErr w:type="spellStart"/>
      <w:r w:rsidRPr="00B47A6C">
        <w:rPr>
          <w:b/>
          <w:bCs/>
        </w:rPr>
        <w:t>Markets</w:t>
      </w:r>
      <w:proofErr w:type="spellEnd"/>
      <w:r w:rsidRPr="00B47A6C">
        <w:rPr>
          <w:b/>
          <w:bCs/>
        </w:rPr>
        <w:t>) und Netzwerkeffekte</w:t>
      </w:r>
    </w:p>
    <w:p w14:paraId="5E844AA5" w14:textId="77777777" w:rsidR="00B47A6C" w:rsidRPr="00B47A6C" w:rsidRDefault="00B47A6C" w:rsidP="00B47A6C">
      <w:r w:rsidRPr="00B47A6C">
        <w:t>Google Search wird als eine </w:t>
      </w:r>
      <w:r w:rsidRPr="00B47A6C">
        <w:rPr>
          <w:b/>
          <w:bCs/>
        </w:rPr>
        <w:t>zweiseitige Plattform</w:t>
      </w:r>
      <w:r w:rsidRPr="00B47A6C">
        <w:t> definiert, die zwei unterschiedliche, aber voneinander abhängige Nachfragegruppen verbindet: die Nutzer der Suchmaschine und die Werbetreibenden.</w:t>
      </w:r>
    </w:p>
    <w:p w14:paraId="143075A2" w14:textId="77777777" w:rsidR="00B47A6C" w:rsidRPr="00B47A6C" w:rsidRDefault="00B47A6C" w:rsidP="00B47A6C">
      <w:pPr>
        <w:numPr>
          <w:ilvl w:val="0"/>
          <w:numId w:val="1"/>
        </w:numPr>
      </w:pPr>
      <w:r w:rsidRPr="00B47A6C">
        <w:rPr>
          <w:b/>
          <w:bCs/>
        </w:rPr>
        <w:t>Indirekte Netzwerkeffekte:</w:t>
      </w:r>
      <w:r w:rsidRPr="00B47A6C">
        <w:t> Der Wert der Plattform für eine Gruppe hängt von der Anzahl der Nutzer auf der anderen Seite ab. Während Werbetreibende von einer steigenden Nutzerzahl profitieren (größere Reichweite), entscheiden Nutzer ihre Wahl der Suchmaschine in der Regel nicht basierend auf der Anzahl der vorhandenen Werbeanzeigen.</w:t>
      </w:r>
    </w:p>
    <w:p w14:paraId="221D8B97" w14:textId="77777777" w:rsidR="00B47A6C" w:rsidRPr="00B47A6C" w:rsidRDefault="00B47A6C" w:rsidP="00B47A6C">
      <w:pPr>
        <w:numPr>
          <w:ilvl w:val="0"/>
          <w:numId w:val="1"/>
        </w:numPr>
      </w:pPr>
      <w:r w:rsidRPr="00B47A6C">
        <w:rPr>
          <w:b/>
          <w:bCs/>
        </w:rPr>
        <w:t>Daten-Feedback-Schleifen (</w:t>
      </w:r>
      <w:proofErr w:type="spellStart"/>
      <w:r w:rsidRPr="00B47A6C">
        <w:rPr>
          <w:b/>
          <w:bCs/>
        </w:rPr>
        <w:t>Flywheel</w:t>
      </w:r>
      <w:proofErr w:type="spellEnd"/>
      <w:r w:rsidRPr="00B47A6C">
        <w:rPr>
          <w:b/>
          <w:bCs/>
        </w:rPr>
        <w:t>):</w:t>
      </w:r>
      <w:r w:rsidRPr="00B47A6C">
        <w:t> Die Dominanz wird durch einen Kreislauf verstärkt: Mehr Nutzer generieren mehr Daten, was die Suchqualität verbessert, wiederum mehr Nutzer anzieht und die Monetarisierung optimiert. Diese Rückkopplung wird als </w:t>
      </w:r>
      <w:r w:rsidRPr="00B47A6C">
        <w:rPr>
          <w:b/>
          <w:bCs/>
        </w:rPr>
        <w:t>"Daten-Netzwerkeffekt"</w:t>
      </w:r>
      <w:r w:rsidRPr="00B47A6C">
        <w:t> bezeichnet, da jede Suchanfrage den Algorithmus verfeinert und Werbeauktionen profitabler macht.</w:t>
      </w:r>
    </w:p>
    <w:p w14:paraId="6280DB1F" w14:textId="77777777" w:rsidR="00B47A6C" w:rsidRPr="00B47A6C" w:rsidRDefault="00B47A6C" w:rsidP="00B47A6C">
      <w:r w:rsidRPr="00B47A6C">
        <w:rPr>
          <w:b/>
          <w:bCs/>
        </w:rPr>
        <w:t>2. Auktionstheorie und Preismechanismen</w:t>
      </w:r>
    </w:p>
    <w:p w14:paraId="0463281B" w14:textId="77777777" w:rsidR="00B47A6C" w:rsidRPr="00B47A6C" w:rsidRDefault="00B47A6C" w:rsidP="00B47A6C">
      <w:r w:rsidRPr="00B47A6C">
        <w:t>Die Vergabe von Anzeigenplätzen basiert auf der </w:t>
      </w:r>
      <w:r w:rsidRPr="00B47A6C">
        <w:rPr>
          <w:b/>
          <w:bCs/>
        </w:rPr>
        <w:t>Auktionstheorie</w:t>
      </w:r>
      <w:r w:rsidRPr="00B47A6C">
        <w:t>, wobei Google spezifische Modifikationen nutzt, um den Umsatz zu steuern.</w:t>
      </w:r>
    </w:p>
    <w:p w14:paraId="6B06403D" w14:textId="77777777" w:rsidR="00B47A6C" w:rsidRPr="00B47A6C" w:rsidRDefault="00B47A6C" w:rsidP="00B47A6C">
      <w:pPr>
        <w:numPr>
          <w:ilvl w:val="0"/>
          <w:numId w:val="2"/>
        </w:numPr>
      </w:pPr>
      <w:proofErr w:type="spellStart"/>
      <w:r w:rsidRPr="00B47A6C">
        <w:rPr>
          <w:b/>
          <w:bCs/>
        </w:rPr>
        <w:t>Generalized</w:t>
      </w:r>
      <w:proofErr w:type="spellEnd"/>
      <w:r w:rsidRPr="00B47A6C">
        <w:rPr>
          <w:b/>
          <w:bCs/>
        </w:rPr>
        <w:t xml:space="preserve"> Second Price (GSP) </w:t>
      </w:r>
      <w:proofErr w:type="spellStart"/>
      <w:r w:rsidRPr="00B47A6C">
        <w:rPr>
          <w:b/>
          <w:bCs/>
        </w:rPr>
        <w:t>Auction</w:t>
      </w:r>
      <w:proofErr w:type="spellEnd"/>
      <w:r w:rsidRPr="00B47A6C">
        <w:rPr>
          <w:b/>
          <w:bCs/>
        </w:rPr>
        <w:t>:</w:t>
      </w:r>
      <w:r w:rsidRPr="00B47A6C">
        <w:t> Google nutzt eine Variante der Zweitpreisauktion. Der Gewinner zahlt nicht sein eigenes Gebot, sondern den Preis des zweitplatzierten Bieters plus einen Cent. Dies gilt als effizienter, da es Werbetreibende daran hindert, ihre Gebote ständig in kleinsten Schritten anzupassen.</w:t>
      </w:r>
    </w:p>
    <w:p w14:paraId="69DB5959" w14:textId="77777777" w:rsidR="00B47A6C" w:rsidRPr="00B47A6C" w:rsidRDefault="00B47A6C" w:rsidP="00B47A6C">
      <w:pPr>
        <w:numPr>
          <w:ilvl w:val="0"/>
          <w:numId w:val="2"/>
        </w:numPr>
      </w:pPr>
      <w:r w:rsidRPr="00B47A6C">
        <w:rPr>
          <w:b/>
          <w:bCs/>
        </w:rPr>
        <w:t>Ad Rank und die LTV-Funktion:</w:t>
      </w:r>
      <w:r w:rsidRPr="00B47A6C">
        <w:t> Die Positionierung erfolgt über einen Score namens </w:t>
      </w:r>
      <w:r w:rsidRPr="00B47A6C">
        <w:rPr>
          <w:b/>
          <w:bCs/>
        </w:rPr>
        <w:t>Long-Term Value (LTV)</w:t>
      </w:r>
      <w:r w:rsidRPr="00B47A6C">
        <w:t>. Die Formel lautet: </w:t>
      </w:r>
      <w:r w:rsidRPr="00B47A6C">
        <w:rPr>
          <w:i/>
          <w:iCs/>
        </w:rPr>
        <w:t>LTV</w:t>
      </w:r>
      <w:r w:rsidRPr="00B47A6C">
        <w:t>=</w:t>
      </w:r>
      <w:proofErr w:type="spellStart"/>
      <w:r w:rsidRPr="00B47A6C">
        <w:rPr>
          <w:i/>
          <w:iCs/>
        </w:rPr>
        <w:t>bid</w:t>
      </w:r>
      <w:r w:rsidRPr="00B47A6C">
        <w:rPr>
          <w:rFonts w:ascii="Cambria Math" w:hAnsi="Cambria Math" w:cs="Cambria Math"/>
        </w:rPr>
        <w:t>⋅</w:t>
      </w:r>
      <w:r w:rsidRPr="00B47A6C">
        <w:rPr>
          <w:i/>
          <w:iCs/>
        </w:rPr>
        <w:t>pctr</w:t>
      </w:r>
      <w:proofErr w:type="spellEnd"/>
      <w:r w:rsidRPr="00B47A6C">
        <w:t>−</w:t>
      </w:r>
      <w:r w:rsidRPr="00B47A6C">
        <w:rPr>
          <w:i/>
          <w:iCs/>
        </w:rPr>
        <w:t>β</w:t>
      </w:r>
      <w:r w:rsidRPr="00B47A6C">
        <w:t>. Hierbei ist </w:t>
      </w:r>
      <w:proofErr w:type="spellStart"/>
      <w:r w:rsidRPr="00B47A6C">
        <w:rPr>
          <w:i/>
          <w:iCs/>
        </w:rPr>
        <w:t>bid</w:t>
      </w:r>
      <w:proofErr w:type="spellEnd"/>
      <w:r w:rsidRPr="00B47A6C">
        <w:t> das Gebot, </w:t>
      </w:r>
      <w:proofErr w:type="spellStart"/>
      <w:r w:rsidRPr="00B47A6C">
        <w:rPr>
          <w:i/>
          <w:iCs/>
        </w:rPr>
        <w:t>pctr</w:t>
      </w:r>
      <w:proofErr w:type="spellEnd"/>
      <w:r w:rsidRPr="00B47A6C">
        <w:t> die vorhergesagte Klickrate (Qualität) und </w:t>
      </w:r>
      <w:r w:rsidRPr="00B47A6C">
        <w:rPr>
          <w:i/>
          <w:iCs/>
        </w:rPr>
        <w:t>β</w:t>
      </w:r>
      <w:r w:rsidRPr="00B47A6C">
        <w:t> (Beta) ein Faktor für die "Anzeigenblindheit", der die zukünftige Interaktion der Nutzer einpreist.</w:t>
      </w:r>
    </w:p>
    <w:p w14:paraId="1EFF8878" w14:textId="77777777" w:rsidR="00B47A6C" w:rsidRPr="00B47A6C" w:rsidRDefault="00B47A6C" w:rsidP="00B47A6C">
      <w:pPr>
        <w:numPr>
          <w:ilvl w:val="0"/>
          <w:numId w:val="2"/>
        </w:numPr>
      </w:pPr>
      <w:r w:rsidRPr="00B47A6C">
        <w:rPr>
          <w:b/>
          <w:bCs/>
        </w:rPr>
        <w:t xml:space="preserve">Pricing </w:t>
      </w:r>
      <w:proofErr w:type="spellStart"/>
      <w:r w:rsidRPr="00B47A6C">
        <w:rPr>
          <w:b/>
          <w:bCs/>
        </w:rPr>
        <w:t>Knobs</w:t>
      </w:r>
      <w:proofErr w:type="spellEnd"/>
      <w:r w:rsidRPr="00B47A6C">
        <w:rPr>
          <w:b/>
          <w:bCs/>
        </w:rPr>
        <w:t xml:space="preserve"> (Stellschrauben):</w:t>
      </w:r>
      <w:r w:rsidRPr="00B47A6C">
        <w:t> Google setzt Mechanismen ein, um den Auktionspreis aktiv zu beeinflussen ("Intentional Pricing").</w:t>
      </w:r>
    </w:p>
    <w:p w14:paraId="4C2334F7" w14:textId="77777777" w:rsidR="00B47A6C" w:rsidRPr="00B47A6C" w:rsidRDefault="00B47A6C" w:rsidP="00B47A6C">
      <w:pPr>
        <w:numPr>
          <w:ilvl w:val="1"/>
          <w:numId w:val="2"/>
        </w:numPr>
      </w:pPr>
      <w:proofErr w:type="spellStart"/>
      <w:r w:rsidRPr="00B47A6C">
        <w:rPr>
          <w:b/>
          <w:bCs/>
        </w:rPr>
        <w:t>Squashing</w:t>
      </w:r>
      <w:proofErr w:type="spellEnd"/>
      <w:r w:rsidRPr="00B47A6C">
        <w:rPr>
          <w:b/>
          <w:bCs/>
        </w:rPr>
        <w:t>:</w:t>
      </w:r>
      <w:r w:rsidRPr="00B47A6C">
        <w:t> Hierbei wird der Qualitätsunterschied (</w:t>
      </w:r>
      <w:proofErr w:type="spellStart"/>
      <w:r w:rsidRPr="00B47A6C">
        <w:rPr>
          <w:i/>
          <w:iCs/>
        </w:rPr>
        <w:t>pctr</w:t>
      </w:r>
      <w:proofErr w:type="spellEnd"/>
      <w:r w:rsidRPr="00B47A6C">
        <w:t>) zwischen den Bieter künstlich komprimiert, um den Wettbewerbsdruck auf den Erstplatzierten zu erhöhen und so den CPC (</w:t>
      </w:r>
      <w:proofErr w:type="spellStart"/>
      <w:r w:rsidRPr="00B47A6C">
        <w:t>Cost</w:t>
      </w:r>
      <w:proofErr w:type="spellEnd"/>
      <w:r w:rsidRPr="00B47A6C">
        <w:t>-per-Click) zu steigern.</w:t>
      </w:r>
    </w:p>
    <w:p w14:paraId="7DB3CB9B" w14:textId="77777777" w:rsidR="00B47A6C" w:rsidRPr="00B47A6C" w:rsidRDefault="00B47A6C" w:rsidP="00B47A6C">
      <w:pPr>
        <w:numPr>
          <w:ilvl w:val="1"/>
          <w:numId w:val="2"/>
        </w:numPr>
      </w:pPr>
      <w:proofErr w:type="spellStart"/>
      <w:r w:rsidRPr="00B47A6C">
        <w:rPr>
          <w:b/>
          <w:bCs/>
        </w:rPr>
        <w:t>rGSP</w:t>
      </w:r>
      <w:proofErr w:type="spellEnd"/>
      <w:r w:rsidRPr="00B47A6C">
        <w:rPr>
          <w:b/>
          <w:bCs/>
        </w:rPr>
        <w:t xml:space="preserve"> (</w:t>
      </w:r>
      <w:proofErr w:type="spellStart"/>
      <w:r w:rsidRPr="00B47A6C">
        <w:rPr>
          <w:b/>
          <w:bCs/>
        </w:rPr>
        <w:t>Randomized</w:t>
      </w:r>
      <w:proofErr w:type="spellEnd"/>
      <w:r w:rsidRPr="00B47A6C">
        <w:rPr>
          <w:b/>
          <w:bCs/>
        </w:rPr>
        <w:t xml:space="preserve"> GSP):</w:t>
      </w:r>
      <w:r w:rsidRPr="00B47A6C">
        <w:t> Dieser Mechanismus vertauscht gelegentlich die LTV-Scores der beiden besten Bieter. Top-Bieter müssen ihre Gebote massiv erhöhen (bis zu </w:t>
      </w:r>
      <w:r w:rsidRPr="00B47A6C">
        <w:rPr>
          <w:b/>
          <w:bCs/>
        </w:rPr>
        <w:t>370 %</w:t>
      </w:r>
      <w:r w:rsidRPr="00B47A6C">
        <w:t> über den Verfolger), um ihre Position sicher zu verteidigen.</w:t>
      </w:r>
    </w:p>
    <w:p w14:paraId="7596FE61" w14:textId="77777777" w:rsidR="00B47A6C" w:rsidRPr="00B47A6C" w:rsidRDefault="00B47A6C" w:rsidP="00B47A6C">
      <w:pPr>
        <w:numPr>
          <w:ilvl w:val="0"/>
          <w:numId w:val="2"/>
        </w:numPr>
      </w:pPr>
      <w:r w:rsidRPr="00B47A6C">
        <w:rPr>
          <w:b/>
          <w:bCs/>
        </w:rPr>
        <w:t>Reserve Prices:</w:t>
      </w:r>
      <w:r w:rsidRPr="00B47A6C">
        <w:t> Mindestpreise, unter denen keine Anzeige geschaltet wird, selbst wenn kein Wettbewerb besteht.</w:t>
      </w:r>
    </w:p>
    <w:p w14:paraId="3CA9BFDB" w14:textId="77777777" w:rsidR="00B47A6C" w:rsidRPr="00B47A6C" w:rsidRDefault="00B47A6C" w:rsidP="00B47A6C">
      <w:r w:rsidRPr="00B47A6C">
        <w:rPr>
          <w:b/>
          <w:bCs/>
        </w:rPr>
        <w:t>3. Monopolrenten und Marktmacht</w:t>
      </w:r>
    </w:p>
    <w:p w14:paraId="57320EB2" w14:textId="77777777" w:rsidR="00B47A6C" w:rsidRPr="00B47A6C" w:rsidRDefault="00B47A6C" w:rsidP="00B47A6C">
      <w:r w:rsidRPr="00B47A6C">
        <w:lastRenderedPageBreak/>
        <w:t>Die Quellen beschreiben, wie Google seine Marktstellung nutzt, um </w:t>
      </w:r>
      <w:r w:rsidRPr="00B47A6C">
        <w:rPr>
          <w:b/>
          <w:bCs/>
        </w:rPr>
        <w:t>Monopolrenten</w:t>
      </w:r>
      <w:r w:rsidRPr="00B47A6C">
        <w:t> (Gewinne über dem Wettbewerbsniveau) zu erzielen.</w:t>
      </w:r>
    </w:p>
    <w:p w14:paraId="366AB036" w14:textId="77777777" w:rsidR="00B47A6C" w:rsidRPr="00B47A6C" w:rsidRDefault="00B47A6C" w:rsidP="00B47A6C">
      <w:pPr>
        <w:numPr>
          <w:ilvl w:val="0"/>
          <w:numId w:val="3"/>
        </w:numPr>
      </w:pPr>
      <w:proofErr w:type="spellStart"/>
      <w:r w:rsidRPr="00B47A6C">
        <w:rPr>
          <w:b/>
          <w:bCs/>
        </w:rPr>
        <w:t>Supracompetitive</w:t>
      </w:r>
      <w:proofErr w:type="spellEnd"/>
      <w:r w:rsidRPr="00B47A6C">
        <w:rPr>
          <w:b/>
          <w:bCs/>
        </w:rPr>
        <w:t xml:space="preserve"> Pricing:</w:t>
      </w:r>
      <w:r w:rsidRPr="00B47A6C">
        <w:t> Das Gericht stellte fest, dass Google aufgrund fehlenden Wettbewerbs </w:t>
      </w:r>
      <w:r w:rsidRPr="00B47A6C">
        <w:rPr>
          <w:b/>
          <w:bCs/>
        </w:rPr>
        <w:t>"</w:t>
      </w:r>
      <w:proofErr w:type="spellStart"/>
      <w:r w:rsidRPr="00B47A6C">
        <w:rPr>
          <w:b/>
          <w:bCs/>
        </w:rPr>
        <w:t>supracompetitive</w:t>
      </w:r>
      <w:proofErr w:type="spellEnd"/>
      <w:r w:rsidRPr="00B47A6C">
        <w:rPr>
          <w:b/>
          <w:bCs/>
        </w:rPr>
        <w:t xml:space="preserve"> Preise"</w:t>
      </w:r>
      <w:r w:rsidRPr="00B47A6C">
        <w:t> verlangen konnte. Google konnte Anzeigenpreise schrittweise erhöhen, ohne dass Werbetreibende zu Konkurrenten wie Bing abwanderten.</w:t>
      </w:r>
    </w:p>
    <w:p w14:paraId="35F6D086" w14:textId="77777777" w:rsidR="00B47A6C" w:rsidRPr="00B47A6C" w:rsidRDefault="00B47A6C" w:rsidP="00B47A6C">
      <w:pPr>
        <w:numPr>
          <w:ilvl w:val="0"/>
          <w:numId w:val="3"/>
        </w:numPr>
      </w:pPr>
      <w:r w:rsidRPr="00B47A6C">
        <w:rPr>
          <w:b/>
          <w:bCs/>
        </w:rPr>
        <w:t>Abschöpfung von "</w:t>
      </w:r>
      <w:proofErr w:type="spellStart"/>
      <w:r w:rsidRPr="00B47A6C">
        <w:rPr>
          <w:b/>
          <w:bCs/>
        </w:rPr>
        <w:t>Headroom</w:t>
      </w:r>
      <w:proofErr w:type="spellEnd"/>
      <w:r w:rsidRPr="00B47A6C">
        <w:rPr>
          <w:b/>
          <w:bCs/>
        </w:rPr>
        <w:t>":</w:t>
      </w:r>
      <w:r w:rsidRPr="00B47A6C">
        <w:t> Google analysiert systematisch den finanziellen Spielraum (</w:t>
      </w:r>
      <w:proofErr w:type="spellStart"/>
      <w:r w:rsidRPr="00B47A6C">
        <w:rPr>
          <w:i/>
          <w:iCs/>
        </w:rPr>
        <w:t>Headroom</w:t>
      </w:r>
      <w:proofErr w:type="spellEnd"/>
      <w:r w:rsidRPr="00B47A6C">
        <w:t xml:space="preserve">) zwischen dem tatsächlichen Auktionspreis und dem maximalen Wert, den eine Anzeige für den Kunden hat. Durch "Pricing </w:t>
      </w:r>
      <w:proofErr w:type="spellStart"/>
      <w:r w:rsidRPr="00B47A6C">
        <w:t>Knobs</w:t>
      </w:r>
      <w:proofErr w:type="spellEnd"/>
      <w:r w:rsidRPr="00B47A6C">
        <w:t>" wird der Preis so nah wie möglich an diesen maximalen Wert getrieben, was in einem wettbewerbsorientierten Markt nicht möglich wäre.</w:t>
      </w:r>
    </w:p>
    <w:p w14:paraId="58AA7467" w14:textId="77777777" w:rsidR="00B47A6C" w:rsidRPr="00B47A6C" w:rsidRDefault="00B47A6C" w:rsidP="00B47A6C">
      <w:pPr>
        <w:numPr>
          <w:ilvl w:val="0"/>
          <w:numId w:val="3"/>
        </w:numPr>
      </w:pPr>
      <w:r w:rsidRPr="00B47A6C">
        <w:rPr>
          <w:b/>
          <w:bCs/>
        </w:rPr>
        <w:t>Reinvestition der Renten:</w:t>
      </w:r>
      <w:r w:rsidRPr="00B47A6C">
        <w:t> Die so erzielten Monopolgewinne werden genutzt, um Milliardenzahlungen (TAC – Traffic Acquisition Costs) an Partner wie Apple zu leisten, um den Status als Standard-Suchdienst zu sichern und Rivalen den Zugang zu Skaleneffekten zu verwehren.</w:t>
      </w:r>
    </w:p>
    <w:p w14:paraId="0FC6BC32" w14:textId="77777777" w:rsidR="00113536" w:rsidRDefault="00113536"/>
    <w:p w14:paraId="2DF1061E" w14:textId="7029A214" w:rsidR="00B47A6C" w:rsidRPr="00B47A6C" w:rsidRDefault="00B47A6C" w:rsidP="00B47A6C">
      <w:pPr>
        <w:pBdr>
          <w:bottom w:val="single" w:sz="4" w:space="1" w:color="auto"/>
        </w:pBdr>
        <w:rPr>
          <w:b/>
          <w:bCs/>
        </w:rPr>
      </w:pPr>
      <w:r w:rsidRPr="00B47A6C">
        <w:rPr>
          <w:b/>
          <w:bCs/>
        </w:rPr>
        <w:t>Kapitel 3.1:</w:t>
      </w:r>
    </w:p>
    <w:p w14:paraId="7F5B315C" w14:textId="77777777" w:rsidR="00B47A6C" w:rsidRPr="00B47A6C" w:rsidRDefault="00B47A6C" w:rsidP="00B47A6C">
      <w:r w:rsidRPr="00B47A6C">
        <w:t>Basierend auf den vorliegenden Quellen (insbesondere den 10-K-Jahresberichten von Alphabet und den Beweisstücken des US-Justizministeriums/DOJ) lassen sich die finanziellen Kennzahlen für Google Search und das Google-Services-Segment wie folgt tabellarisch zusammenfassen.</w:t>
      </w:r>
    </w:p>
    <w:p w14:paraId="6881846A" w14:textId="77777777" w:rsidR="00B47A6C" w:rsidRPr="00B47A6C" w:rsidRDefault="00B47A6C" w:rsidP="00B47A6C">
      <w:r w:rsidRPr="00B47A6C">
        <w:t>Finanzkennzahlen Google Search &amp; Services (2018–2024)</w:t>
      </w:r>
    </w:p>
    <w:p w14:paraId="4BC1C939" w14:textId="77777777" w:rsidR="00B47A6C" w:rsidRPr="00B47A6C" w:rsidRDefault="00B47A6C" w:rsidP="00B47A6C">
      <w:r w:rsidRPr="00B47A6C">
        <w:t>Die folgende Tabelle zeigt die Umsätze für </w:t>
      </w:r>
      <w:r w:rsidRPr="00B47A6C">
        <w:rPr>
          <w:b/>
          <w:bCs/>
        </w:rPr>
        <w:t xml:space="preserve">Google Search &amp; </w:t>
      </w:r>
      <w:proofErr w:type="spellStart"/>
      <w:r w:rsidRPr="00B47A6C">
        <w:rPr>
          <w:b/>
          <w:bCs/>
        </w:rPr>
        <w:t>other</w:t>
      </w:r>
      <w:proofErr w:type="spellEnd"/>
      <w:r w:rsidRPr="00B47A6C">
        <w:t> (öffentlich kommunizierter Wert in 10-K-Berichten), die Wachstumsraten sowie die operativen Margen des übergeordneten Segments </w:t>
      </w:r>
      <w:r w:rsidRPr="00B47A6C">
        <w:rPr>
          <w:b/>
          <w:bCs/>
        </w:rPr>
        <w:t>Google Services</w:t>
      </w:r>
      <w:r w:rsidRPr="00B47A6C">
        <w:t> (bis 2019 als Segment „Google“ berichtet).</w:t>
      </w:r>
    </w:p>
    <w:tbl>
      <w:tblPr>
        <w:tblW w:w="0" w:type="auto"/>
        <w:tblCellMar>
          <w:top w:w="15" w:type="dxa"/>
          <w:left w:w="15" w:type="dxa"/>
          <w:bottom w:w="15" w:type="dxa"/>
          <w:right w:w="15" w:type="dxa"/>
        </w:tblCellMar>
        <w:tblLook w:val="04A0" w:firstRow="1" w:lastRow="0" w:firstColumn="1" w:lastColumn="0" w:noHBand="0" w:noVBand="1"/>
      </w:tblPr>
      <w:tblGrid>
        <w:gridCol w:w="501"/>
        <w:gridCol w:w="2571"/>
        <w:gridCol w:w="2074"/>
        <w:gridCol w:w="2294"/>
        <w:gridCol w:w="1632"/>
      </w:tblGrid>
      <w:tr w:rsidR="00B47A6C" w:rsidRPr="00B47A6C" w14:paraId="1A2EA417" w14:textId="77777777" w:rsidTr="00B47A6C">
        <w:tc>
          <w:tcPr>
            <w:tcW w:w="0" w:type="auto"/>
            <w:tcBorders>
              <w:bottom w:val="single" w:sz="6" w:space="0" w:color="919191"/>
            </w:tcBorders>
            <w:hideMark/>
          </w:tcPr>
          <w:p w14:paraId="64516D11" w14:textId="77777777" w:rsidR="00B47A6C" w:rsidRPr="00B47A6C" w:rsidRDefault="00B47A6C" w:rsidP="00B47A6C">
            <w:pPr>
              <w:rPr>
                <w:b/>
                <w:bCs/>
              </w:rPr>
            </w:pPr>
            <w:r w:rsidRPr="00B47A6C">
              <w:rPr>
                <w:b/>
                <w:bCs/>
              </w:rPr>
              <w:t>Jahr</w:t>
            </w:r>
          </w:p>
        </w:tc>
        <w:tc>
          <w:tcPr>
            <w:tcW w:w="0" w:type="auto"/>
            <w:tcBorders>
              <w:bottom w:val="single" w:sz="6" w:space="0" w:color="919191"/>
            </w:tcBorders>
            <w:hideMark/>
          </w:tcPr>
          <w:p w14:paraId="22D20B74" w14:textId="77777777" w:rsidR="00B47A6C" w:rsidRPr="00B47A6C" w:rsidRDefault="00B47A6C" w:rsidP="00B47A6C">
            <w:pPr>
              <w:rPr>
                <w:b/>
                <w:bCs/>
                <w:lang w:val="en-US"/>
              </w:rPr>
            </w:pPr>
            <w:r w:rsidRPr="00B47A6C">
              <w:rPr>
                <w:b/>
                <w:bCs/>
                <w:lang w:val="en-US"/>
              </w:rPr>
              <w:t>Search Ads Revenue (Mio. USD)</w:t>
            </w:r>
          </w:p>
        </w:tc>
        <w:tc>
          <w:tcPr>
            <w:tcW w:w="0" w:type="auto"/>
            <w:tcBorders>
              <w:bottom w:val="single" w:sz="6" w:space="0" w:color="919191"/>
            </w:tcBorders>
            <w:hideMark/>
          </w:tcPr>
          <w:p w14:paraId="6F0E38A8" w14:textId="77777777" w:rsidR="00B47A6C" w:rsidRPr="00B47A6C" w:rsidRDefault="00B47A6C" w:rsidP="00B47A6C">
            <w:pPr>
              <w:rPr>
                <w:b/>
                <w:bCs/>
              </w:rPr>
            </w:pPr>
            <w:r w:rsidRPr="00B47A6C">
              <w:rPr>
                <w:b/>
                <w:bCs/>
              </w:rPr>
              <w:t>Wachstum (Search Ads)</w:t>
            </w:r>
          </w:p>
        </w:tc>
        <w:tc>
          <w:tcPr>
            <w:tcW w:w="0" w:type="auto"/>
            <w:tcBorders>
              <w:bottom w:val="single" w:sz="6" w:space="0" w:color="919191"/>
            </w:tcBorders>
            <w:hideMark/>
          </w:tcPr>
          <w:p w14:paraId="0FA064DE" w14:textId="77777777" w:rsidR="00B47A6C" w:rsidRPr="00B47A6C" w:rsidRDefault="00B47A6C" w:rsidP="00B47A6C">
            <w:pPr>
              <w:rPr>
                <w:b/>
                <w:bCs/>
              </w:rPr>
            </w:pPr>
            <w:r w:rsidRPr="00B47A6C">
              <w:rPr>
                <w:b/>
                <w:bCs/>
              </w:rPr>
              <w:t>Operative Marge (Segment)</w:t>
            </w:r>
          </w:p>
        </w:tc>
        <w:tc>
          <w:tcPr>
            <w:tcW w:w="0" w:type="auto"/>
            <w:tcBorders>
              <w:bottom w:val="single" w:sz="6" w:space="0" w:color="919191"/>
            </w:tcBorders>
            <w:hideMark/>
          </w:tcPr>
          <w:p w14:paraId="174A586A" w14:textId="77777777" w:rsidR="00B47A6C" w:rsidRPr="00B47A6C" w:rsidRDefault="00B47A6C" w:rsidP="00B47A6C">
            <w:pPr>
              <w:rPr>
                <w:b/>
                <w:bCs/>
              </w:rPr>
            </w:pPr>
            <w:r w:rsidRPr="00B47A6C">
              <w:rPr>
                <w:b/>
                <w:bCs/>
              </w:rPr>
              <w:t>Quellen (Auswahl)</w:t>
            </w:r>
          </w:p>
        </w:tc>
      </w:tr>
      <w:tr w:rsidR="00B47A6C" w:rsidRPr="00B47A6C" w14:paraId="7691136B" w14:textId="77777777" w:rsidTr="00B47A6C">
        <w:tc>
          <w:tcPr>
            <w:tcW w:w="0" w:type="auto"/>
            <w:tcBorders>
              <w:bottom w:val="single" w:sz="6" w:space="0" w:color="DDE1EB"/>
            </w:tcBorders>
            <w:hideMark/>
          </w:tcPr>
          <w:p w14:paraId="0A59C812" w14:textId="77777777" w:rsidR="00B47A6C" w:rsidRPr="00B47A6C" w:rsidRDefault="00B47A6C" w:rsidP="00B47A6C">
            <w:r w:rsidRPr="00B47A6C">
              <w:rPr>
                <w:b/>
                <w:bCs/>
              </w:rPr>
              <w:t>2018</w:t>
            </w:r>
          </w:p>
        </w:tc>
        <w:tc>
          <w:tcPr>
            <w:tcW w:w="0" w:type="auto"/>
            <w:tcBorders>
              <w:bottom w:val="single" w:sz="6" w:space="0" w:color="DDE1EB"/>
            </w:tcBorders>
            <w:hideMark/>
          </w:tcPr>
          <w:p w14:paraId="315D197B" w14:textId="77777777" w:rsidR="00B47A6C" w:rsidRPr="00B47A6C" w:rsidRDefault="00B47A6C" w:rsidP="00B47A6C">
            <w:r w:rsidRPr="00B47A6C">
              <w:t>85.296</w:t>
            </w:r>
          </w:p>
        </w:tc>
        <w:tc>
          <w:tcPr>
            <w:tcW w:w="0" w:type="auto"/>
            <w:tcBorders>
              <w:bottom w:val="single" w:sz="6" w:space="0" w:color="DDE1EB"/>
            </w:tcBorders>
            <w:hideMark/>
          </w:tcPr>
          <w:p w14:paraId="5BA74D56" w14:textId="77777777" w:rsidR="00B47A6C" w:rsidRPr="00B47A6C" w:rsidRDefault="00B47A6C" w:rsidP="00B47A6C">
            <w:r w:rsidRPr="00B47A6C">
              <w:t>~22,2%</w:t>
            </w:r>
          </w:p>
        </w:tc>
        <w:tc>
          <w:tcPr>
            <w:tcW w:w="0" w:type="auto"/>
            <w:tcBorders>
              <w:bottom w:val="single" w:sz="6" w:space="0" w:color="DDE1EB"/>
            </w:tcBorders>
            <w:hideMark/>
          </w:tcPr>
          <w:p w14:paraId="3C4ECB49" w14:textId="77777777" w:rsidR="00B47A6C" w:rsidRPr="00B47A6C" w:rsidRDefault="00B47A6C" w:rsidP="00B47A6C">
            <w:r w:rsidRPr="00B47A6C">
              <w:t>26,9% (Segment „Google“)</w:t>
            </w:r>
          </w:p>
        </w:tc>
        <w:tc>
          <w:tcPr>
            <w:tcW w:w="0" w:type="auto"/>
            <w:tcBorders>
              <w:bottom w:val="single" w:sz="6" w:space="0" w:color="DDE1EB"/>
            </w:tcBorders>
            <w:hideMark/>
          </w:tcPr>
          <w:p w14:paraId="35D990B4" w14:textId="77777777" w:rsidR="00B47A6C" w:rsidRPr="00B47A6C" w:rsidRDefault="00B47A6C" w:rsidP="00B47A6C"/>
        </w:tc>
      </w:tr>
      <w:tr w:rsidR="00B47A6C" w:rsidRPr="00B47A6C" w14:paraId="12CCDFCA" w14:textId="77777777" w:rsidTr="00B47A6C">
        <w:tc>
          <w:tcPr>
            <w:tcW w:w="0" w:type="auto"/>
            <w:tcBorders>
              <w:bottom w:val="single" w:sz="6" w:space="0" w:color="DDE1EB"/>
            </w:tcBorders>
            <w:hideMark/>
          </w:tcPr>
          <w:p w14:paraId="36A2DB65" w14:textId="77777777" w:rsidR="00B47A6C" w:rsidRPr="00B47A6C" w:rsidRDefault="00B47A6C" w:rsidP="00B47A6C">
            <w:r w:rsidRPr="00B47A6C">
              <w:rPr>
                <w:b/>
                <w:bCs/>
              </w:rPr>
              <w:t>2019</w:t>
            </w:r>
          </w:p>
        </w:tc>
        <w:tc>
          <w:tcPr>
            <w:tcW w:w="0" w:type="auto"/>
            <w:tcBorders>
              <w:bottom w:val="single" w:sz="6" w:space="0" w:color="DDE1EB"/>
            </w:tcBorders>
            <w:hideMark/>
          </w:tcPr>
          <w:p w14:paraId="20C77E58" w14:textId="77777777" w:rsidR="00B47A6C" w:rsidRPr="00B47A6C" w:rsidRDefault="00B47A6C" w:rsidP="00B47A6C">
            <w:r w:rsidRPr="00B47A6C">
              <w:t>98.115</w:t>
            </w:r>
          </w:p>
        </w:tc>
        <w:tc>
          <w:tcPr>
            <w:tcW w:w="0" w:type="auto"/>
            <w:tcBorders>
              <w:bottom w:val="single" w:sz="6" w:space="0" w:color="DDE1EB"/>
            </w:tcBorders>
            <w:hideMark/>
          </w:tcPr>
          <w:p w14:paraId="2046C8D7" w14:textId="77777777" w:rsidR="00B47A6C" w:rsidRPr="00B47A6C" w:rsidRDefault="00B47A6C" w:rsidP="00B47A6C">
            <w:r w:rsidRPr="00B47A6C">
              <w:t>~15,0%</w:t>
            </w:r>
          </w:p>
        </w:tc>
        <w:tc>
          <w:tcPr>
            <w:tcW w:w="0" w:type="auto"/>
            <w:tcBorders>
              <w:bottom w:val="single" w:sz="6" w:space="0" w:color="DDE1EB"/>
            </w:tcBorders>
            <w:hideMark/>
          </w:tcPr>
          <w:p w14:paraId="5693B5E6" w14:textId="77777777" w:rsidR="00B47A6C" w:rsidRPr="00B47A6C" w:rsidRDefault="00B47A6C" w:rsidP="00B47A6C">
            <w:r w:rsidRPr="00B47A6C">
              <w:t>25,9% (Segment „Google“)</w:t>
            </w:r>
          </w:p>
        </w:tc>
        <w:tc>
          <w:tcPr>
            <w:tcW w:w="0" w:type="auto"/>
            <w:tcBorders>
              <w:bottom w:val="single" w:sz="6" w:space="0" w:color="DDE1EB"/>
            </w:tcBorders>
            <w:hideMark/>
          </w:tcPr>
          <w:p w14:paraId="7BB61191" w14:textId="77777777" w:rsidR="00B47A6C" w:rsidRPr="00B47A6C" w:rsidRDefault="00B47A6C" w:rsidP="00B47A6C"/>
        </w:tc>
      </w:tr>
      <w:tr w:rsidR="00B47A6C" w:rsidRPr="00B47A6C" w14:paraId="1DC6AF72" w14:textId="77777777" w:rsidTr="00B47A6C">
        <w:tc>
          <w:tcPr>
            <w:tcW w:w="0" w:type="auto"/>
            <w:tcBorders>
              <w:bottom w:val="single" w:sz="6" w:space="0" w:color="DDE1EB"/>
            </w:tcBorders>
            <w:hideMark/>
          </w:tcPr>
          <w:p w14:paraId="58B20273" w14:textId="77777777" w:rsidR="00B47A6C" w:rsidRPr="00B47A6C" w:rsidRDefault="00B47A6C" w:rsidP="00B47A6C">
            <w:r w:rsidRPr="00B47A6C">
              <w:rPr>
                <w:b/>
                <w:bCs/>
              </w:rPr>
              <w:t>2020</w:t>
            </w:r>
          </w:p>
        </w:tc>
        <w:tc>
          <w:tcPr>
            <w:tcW w:w="0" w:type="auto"/>
            <w:tcBorders>
              <w:bottom w:val="single" w:sz="6" w:space="0" w:color="DDE1EB"/>
            </w:tcBorders>
            <w:hideMark/>
          </w:tcPr>
          <w:p w14:paraId="4014ED37" w14:textId="77777777" w:rsidR="00B47A6C" w:rsidRPr="00B47A6C" w:rsidRDefault="00B47A6C" w:rsidP="00B47A6C">
            <w:r w:rsidRPr="00B47A6C">
              <w:t>104.062</w:t>
            </w:r>
          </w:p>
        </w:tc>
        <w:tc>
          <w:tcPr>
            <w:tcW w:w="0" w:type="auto"/>
            <w:tcBorders>
              <w:bottom w:val="single" w:sz="6" w:space="0" w:color="DDE1EB"/>
            </w:tcBorders>
            <w:hideMark/>
          </w:tcPr>
          <w:p w14:paraId="7DDD1EFC" w14:textId="77777777" w:rsidR="00B47A6C" w:rsidRPr="00B47A6C" w:rsidRDefault="00B47A6C" w:rsidP="00B47A6C">
            <w:r w:rsidRPr="00B47A6C">
              <w:t>~6,1%</w:t>
            </w:r>
          </w:p>
        </w:tc>
        <w:tc>
          <w:tcPr>
            <w:tcW w:w="0" w:type="auto"/>
            <w:tcBorders>
              <w:bottom w:val="single" w:sz="6" w:space="0" w:color="DDE1EB"/>
            </w:tcBorders>
            <w:hideMark/>
          </w:tcPr>
          <w:p w14:paraId="26FA98BE" w14:textId="77777777" w:rsidR="00B47A6C" w:rsidRPr="00B47A6C" w:rsidRDefault="00B47A6C" w:rsidP="00B47A6C">
            <w:r w:rsidRPr="00B47A6C">
              <w:t>32,4% (Google Services)</w:t>
            </w:r>
          </w:p>
        </w:tc>
        <w:tc>
          <w:tcPr>
            <w:tcW w:w="0" w:type="auto"/>
            <w:tcBorders>
              <w:bottom w:val="single" w:sz="6" w:space="0" w:color="DDE1EB"/>
            </w:tcBorders>
            <w:hideMark/>
          </w:tcPr>
          <w:p w14:paraId="76C279C7" w14:textId="77777777" w:rsidR="00B47A6C" w:rsidRPr="00B47A6C" w:rsidRDefault="00B47A6C" w:rsidP="00B47A6C"/>
        </w:tc>
      </w:tr>
      <w:tr w:rsidR="00B47A6C" w:rsidRPr="00B47A6C" w14:paraId="2B1647E2" w14:textId="77777777" w:rsidTr="00B47A6C">
        <w:tc>
          <w:tcPr>
            <w:tcW w:w="0" w:type="auto"/>
            <w:tcBorders>
              <w:bottom w:val="single" w:sz="6" w:space="0" w:color="DDE1EB"/>
            </w:tcBorders>
            <w:hideMark/>
          </w:tcPr>
          <w:p w14:paraId="6A456E78" w14:textId="77777777" w:rsidR="00B47A6C" w:rsidRPr="00B47A6C" w:rsidRDefault="00B47A6C" w:rsidP="00B47A6C">
            <w:r w:rsidRPr="00B47A6C">
              <w:rPr>
                <w:b/>
                <w:bCs/>
              </w:rPr>
              <w:t>2021</w:t>
            </w:r>
          </w:p>
        </w:tc>
        <w:tc>
          <w:tcPr>
            <w:tcW w:w="0" w:type="auto"/>
            <w:tcBorders>
              <w:bottom w:val="single" w:sz="6" w:space="0" w:color="DDE1EB"/>
            </w:tcBorders>
            <w:hideMark/>
          </w:tcPr>
          <w:p w14:paraId="04ABEB6E" w14:textId="77777777" w:rsidR="00B47A6C" w:rsidRPr="00B47A6C" w:rsidRDefault="00B47A6C" w:rsidP="00B47A6C">
            <w:r w:rsidRPr="00B47A6C">
              <w:t>148.951</w:t>
            </w:r>
          </w:p>
        </w:tc>
        <w:tc>
          <w:tcPr>
            <w:tcW w:w="0" w:type="auto"/>
            <w:tcBorders>
              <w:bottom w:val="single" w:sz="6" w:space="0" w:color="DDE1EB"/>
            </w:tcBorders>
            <w:hideMark/>
          </w:tcPr>
          <w:p w14:paraId="52739BC6" w14:textId="77777777" w:rsidR="00B47A6C" w:rsidRPr="00B47A6C" w:rsidRDefault="00B47A6C" w:rsidP="00B47A6C">
            <w:r w:rsidRPr="00B47A6C">
              <w:t>~43,1%</w:t>
            </w:r>
          </w:p>
        </w:tc>
        <w:tc>
          <w:tcPr>
            <w:tcW w:w="0" w:type="auto"/>
            <w:tcBorders>
              <w:bottom w:val="single" w:sz="6" w:space="0" w:color="DDE1EB"/>
            </w:tcBorders>
            <w:hideMark/>
          </w:tcPr>
          <w:p w14:paraId="382BD957" w14:textId="77777777" w:rsidR="00B47A6C" w:rsidRPr="00B47A6C" w:rsidRDefault="00B47A6C" w:rsidP="00B47A6C">
            <w:r w:rsidRPr="00B47A6C">
              <w:t>38,7% (Google Services)</w:t>
            </w:r>
          </w:p>
        </w:tc>
        <w:tc>
          <w:tcPr>
            <w:tcW w:w="0" w:type="auto"/>
            <w:tcBorders>
              <w:bottom w:val="single" w:sz="6" w:space="0" w:color="DDE1EB"/>
            </w:tcBorders>
            <w:hideMark/>
          </w:tcPr>
          <w:p w14:paraId="053DB35A" w14:textId="77777777" w:rsidR="00B47A6C" w:rsidRPr="00B47A6C" w:rsidRDefault="00B47A6C" w:rsidP="00B47A6C"/>
        </w:tc>
      </w:tr>
      <w:tr w:rsidR="00B47A6C" w:rsidRPr="00B47A6C" w14:paraId="5EC74DBA" w14:textId="77777777" w:rsidTr="00B47A6C">
        <w:tc>
          <w:tcPr>
            <w:tcW w:w="0" w:type="auto"/>
            <w:tcBorders>
              <w:bottom w:val="single" w:sz="6" w:space="0" w:color="DDE1EB"/>
            </w:tcBorders>
            <w:hideMark/>
          </w:tcPr>
          <w:p w14:paraId="10D067D2" w14:textId="77777777" w:rsidR="00B47A6C" w:rsidRPr="00B47A6C" w:rsidRDefault="00B47A6C" w:rsidP="00B47A6C">
            <w:r w:rsidRPr="00B47A6C">
              <w:rPr>
                <w:b/>
                <w:bCs/>
              </w:rPr>
              <w:t>2022</w:t>
            </w:r>
          </w:p>
        </w:tc>
        <w:tc>
          <w:tcPr>
            <w:tcW w:w="0" w:type="auto"/>
            <w:tcBorders>
              <w:bottom w:val="single" w:sz="6" w:space="0" w:color="DDE1EB"/>
            </w:tcBorders>
            <w:hideMark/>
          </w:tcPr>
          <w:p w14:paraId="262B980A" w14:textId="77777777" w:rsidR="00B47A6C" w:rsidRPr="00B47A6C" w:rsidRDefault="00B47A6C" w:rsidP="00B47A6C">
            <w:r w:rsidRPr="00B47A6C">
              <w:t>162.450</w:t>
            </w:r>
          </w:p>
        </w:tc>
        <w:tc>
          <w:tcPr>
            <w:tcW w:w="0" w:type="auto"/>
            <w:tcBorders>
              <w:bottom w:val="single" w:sz="6" w:space="0" w:color="DDE1EB"/>
            </w:tcBorders>
            <w:hideMark/>
          </w:tcPr>
          <w:p w14:paraId="71748CAC" w14:textId="77777777" w:rsidR="00B47A6C" w:rsidRPr="00B47A6C" w:rsidRDefault="00B47A6C" w:rsidP="00B47A6C">
            <w:r w:rsidRPr="00B47A6C">
              <w:t>~9,1%</w:t>
            </w:r>
          </w:p>
        </w:tc>
        <w:tc>
          <w:tcPr>
            <w:tcW w:w="0" w:type="auto"/>
            <w:tcBorders>
              <w:bottom w:val="single" w:sz="6" w:space="0" w:color="DDE1EB"/>
            </w:tcBorders>
            <w:hideMark/>
          </w:tcPr>
          <w:p w14:paraId="1F45A8E8" w14:textId="77777777" w:rsidR="00B47A6C" w:rsidRPr="00B47A6C" w:rsidRDefault="00B47A6C" w:rsidP="00B47A6C">
            <w:r w:rsidRPr="00B47A6C">
              <w:t>34,1% (Google Services)</w:t>
            </w:r>
          </w:p>
        </w:tc>
        <w:tc>
          <w:tcPr>
            <w:tcW w:w="0" w:type="auto"/>
            <w:tcBorders>
              <w:bottom w:val="single" w:sz="6" w:space="0" w:color="DDE1EB"/>
            </w:tcBorders>
            <w:hideMark/>
          </w:tcPr>
          <w:p w14:paraId="4E6DA106" w14:textId="77777777" w:rsidR="00B47A6C" w:rsidRPr="00B47A6C" w:rsidRDefault="00B47A6C" w:rsidP="00B47A6C"/>
        </w:tc>
      </w:tr>
      <w:tr w:rsidR="00B47A6C" w:rsidRPr="00B47A6C" w14:paraId="3588702E" w14:textId="77777777" w:rsidTr="00B47A6C">
        <w:tc>
          <w:tcPr>
            <w:tcW w:w="0" w:type="auto"/>
            <w:tcBorders>
              <w:bottom w:val="single" w:sz="6" w:space="0" w:color="DDE1EB"/>
            </w:tcBorders>
            <w:hideMark/>
          </w:tcPr>
          <w:p w14:paraId="1EFDBDA7" w14:textId="77777777" w:rsidR="00B47A6C" w:rsidRPr="00B47A6C" w:rsidRDefault="00B47A6C" w:rsidP="00B47A6C">
            <w:r w:rsidRPr="00B47A6C">
              <w:rPr>
                <w:b/>
                <w:bCs/>
              </w:rPr>
              <w:t>2023</w:t>
            </w:r>
          </w:p>
        </w:tc>
        <w:tc>
          <w:tcPr>
            <w:tcW w:w="0" w:type="auto"/>
            <w:tcBorders>
              <w:bottom w:val="single" w:sz="6" w:space="0" w:color="DDE1EB"/>
            </w:tcBorders>
            <w:hideMark/>
          </w:tcPr>
          <w:p w14:paraId="0761646C" w14:textId="77777777" w:rsidR="00B47A6C" w:rsidRPr="00B47A6C" w:rsidRDefault="00B47A6C" w:rsidP="00B47A6C">
            <w:r w:rsidRPr="00B47A6C">
              <w:t>175.033</w:t>
            </w:r>
          </w:p>
        </w:tc>
        <w:tc>
          <w:tcPr>
            <w:tcW w:w="0" w:type="auto"/>
            <w:tcBorders>
              <w:bottom w:val="single" w:sz="6" w:space="0" w:color="DDE1EB"/>
            </w:tcBorders>
            <w:hideMark/>
          </w:tcPr>
          <w:p w14:paraId="3E5631EA" w14:textId="77777777" w:rsidR="00B47A6C" w:rsidRPr="00B47A6C" w:rsidRDefault="00B47A6C" w:rsidP="00B47A6C">
            <w:r w:rsidRPr="00B47A6C">
              <w:t>~7,7%</w:t>
            </w:r>
          </w:p>
        </w:tc>
        <w:tc>
          <w:tcPr>
            <w:tcW w:w="0" w:type="auto"/>
            <w:tcBorders>
              <w:bottom w:val="single" w:sz="6" w:space="0" w:color="DDE1EB"/>
            </w:tcBorders>
            <w:hideMark/>
          </w:tcPr>
          <w:p w14:paraId="0BC5BE12" w14:textId="77777777" w:rsidR="00B47A6C" w:rsidRPr="00B47A6C" w:rsidRDefault="00B47A6C" w:rsidP="00B47A6C">
            <w:r w:rsidRPr="00B47A6C">
              <w:t>35,2% (Google Services)</w:t>
            </w:r>
          </w:p>
        </w:tc>
        <w:tc>
          <w:tcPr>
            <w:tcW w:w="0" w:type="auto"/>
            <w:tcBorders>
              <w:bottom w:val="single" w:sz="6" w:space="0" w:color="DDE1EB"/>
            </w:tcBorders>
            <w:hideMark/>
          </w:tcPr>
          <w:p w14:paraId="3C1966C5" w14:textId="77777777" w:rsidR="00B47A6C" w:rsidRPr="00B47A6C" w:rsidRDefault="00B47A6C" w:rsidP="00B47A6C"/>
        </w:tc>
      </w:tr>
      <w:tr w:rsidR="00B47A6C" w:rsidRPr="00B47A6C" w14:paraId="4011FD1E" w14:textId="77777777" w:rsidTr="00B47A6C">
        <w:tc>
          <w:tcPr>
            <w:tcW w:w="0" w:type="auto"/>
            <w:tcBorders>
              <w:bottom w:val="single" w:sz="6" w:space="0" w:color="DDE1EB"/>
            </w:tcBorders>
            <w:hideMark/>
          </w:tcPr>
          <w:p w14:paraId="4E445BAB" w14:textId="77777777" w:rsidR="00B47A6C" w:rsidRPr="00B47A6C" w:rsidRDefault="00B47A6C" w:rsidP="00B47A6C">
            <w:r w:rsidRPr="00B47A6C">
              <w:rPr>
                <w:b/>
                <w:bCs/>
              </w:rPr>
              <w:lastRenderedPageBreak/>
              <w:t>2024</w:t>
            </w:r>
          </w:p>
        </w:tc>
        <w:tc>
          <w:tcPr>
            <w:tcW w:w="0" w:type="auto"/>
            <w:tcBorders>
              <w:bottom w:val="single" w:sz="6" w:space="0" w:color="DDE1EB"/>
            </w:tcBorders>
            <w:hideMark/>
          </w:tcPr>
          <w:p w14:paraId="2F7D897C" w14:textId="77777777" w:rsidR="00B47A6C" w:rsidRPr="00B47A6C" w:rsidRDefault="00B47A6C" w:rsidP="00B47A6C">
            <w:r w:rsidRPr="00B47A6C">
              <w:t>198.084</w:t>
            </w:r>
          </w:p>
        </w:tc>
        <w:tc>
          <w:tcPr>
            <w:tcW w:w="0" w:type="auto"/>
            <w:tcBorders>
              <w:bottom w:val="single" w:sz="6" w:space="0" w:color="DDE1EB"/>
            </w:tcBorders>
            <w:hideMark/>
          </w:tcPr>
          <w:p w14:paraId="7E103621" w14:textId="77777777" w:rsidR="00B47A6C" w:rsidRPr="00B47A6C" w:rsidRDefault="00B47A6C" w:rsidP="00B47A6C">
            <w:r w:rsidRPr="00B47A6C">
              <w:t>~13,2%</w:t>
            </w:r>
          </w:p>
        </w:tc>
        <w:tc>
          <w:tcPr>
            <w:tcW w:w="0" w:type="auto"/>
            <w:tcBorders>
              <w:bottom w:val="single" w:sz="6" w:space="0" w:color="DDE1EB"/>
            </w:tcBorders>
            <w:hideMark/>
          </w:tcPr>
          <w:p w14:paraId="4EF99942" w14:textId="77777777" w:rsidR="00B47A6C" w:rsidRPr="00B47A6C" w:rsidRDefault="00B47A6C" w:rsidP="00B47A6C">
            <w:r w:rsidRPr="00B47A6C">
              <w:t>39,8% (Google Services)</w:t>
            </w:r>
          </w:p>
        </w:tc>
        <w:tc>
          <w:tcPr>
            <w:tcW w:w="0" w:type="auto"/>
            <w:tcBorders>
              <w:bottom w:val="single" w:sz="6" w:space="0" w:color="DDE1EB"/>
            </w:tcBorders>
            <w:hideMark/>
          </w:tcPr>
          <w:p w14:paraId="587949D3" w14:textId="77777777" w:rsidR="00B47A6C" w:rsidRPr="00B47A6C" w:rsidRDefault="00B47A6C" w:rsidP="00B47A6C"/>
        </w:tc>
      </w:tr>
    </w:tbl>
    <w:p w14:paraId="0D283D18" w14:textId="77777777" w:rsidR="00B47A6C" w:rsidRPr="00B47A6C" w:rsidRDefault="00B47A6C" w:rsidP="00B47A6C">
      <w:r w:rsidRPr="00B47A6C">
        <w:t>Erläuterungen zu den Kennzahlen</w:t>
      </w:r>
    </w:p>
    <w:p w14:paraId="5BBC8959" w14:textId="77777777" w:rsidR="00B47A6C" w:rsidRPr="00B47A6C" w:rsidRDefault="00B47A6C" w:rsidP="00B47A6C">
      <w:pPr>
        <w:numPr>
          <w:ilvl w:val="0"/>
          <w:numId w:val="4"/>
        </w:numPr>
      </w:pPr>
      <w:r w:rsidRPr="00B47A6C">
        <w:rPr>
          <w:b/>
          <w:bCs/>
        </w:rPr>
        <w:t xml:space="preserve">Google Search &amp; </w:t>
      </w:r>
      <w:proofErr w:type="spellStart"/>
      <w:r w:rsidRPr="00B47A6C">
        <w:rPr>
          <w:b/>
          <w:bCs/>
        </w:rPr>
        <w:t>other</w:t>
      </w:r>
      <w:proofErr w:type="spellEnd"/>
      <w:r w:rsidRPr="00B47A6C">
        <w:rPr>
          <w:b/>
          <w:bCs/>
        </w:rPr>
        <w:t xml:space="preserve"> Revenue:</w:t>
      </w:r>
      <w:r w:rsidRPr="00B47A6C">
        <w:t> Dieser Wert umfasst Einnahmen aus Google-Suchergebnissen sowie von Partnern, die Google als Standard-Suche nutzen, sowie andere Google-eigene Eigenschaften wie Gmail, Maps und Google Play. In DOJ-Dokumenten wird diese Kennzahl oft als </w:t>
      </w:r>
      <w:r w:rsidRPr="00B47A6C">
        <w:rPr>
          <w:b/>
          <w:bCs/>
        </w:rPr>
        <w:t>„Search+“</w:t>
      </w:r>
      <w:r w:rsidRPr="00B47A6C">
        <w:t> bezeichnet.</w:t>
      </w:r>
    </w:p>
    <w:p w14:paraId="6AEE0E0C" w14:textId="77777777" w:rsidR="00B47A6C" w:rsidRPr="00B47A6C" w:rsidRDefault="00B47A6C" w:rsidP="00B47A6C">
      <w:pPr>
        <w:numPr>
          <w:ilvl w:val="0"/>
          <w:numId w:val="4"/>
        </w:numPr>
      </w:pPr>
      <w:r w:rsidRPr="00B47A6C">
        <w:rPr>
          <w:b/>
          <w:bCs/>
        </w:rPr>
        <w:t>Operative Margen:</w:t>
      </w:r>
      <w:r w:rsidRPr="00B47A6C">
        <w:t> Die öffentlichen 10-K-Berichte weisen die operative Marge nur für das gesamte Segment </w:t>
      </w:r>
      <w:r w:rsidRPr="00B47A6C">
        <w:rPr>
          <w:b/>
          <w:bCs/>
        </w:rPr>
        <w:t>Google Services</w:t>
      </w:r>
      <w:r w:rsidRPr="00B47A6C">
        <w:t> aus (enthält auch YouTube und Hardware). Interne DOJ-Dokumente (</w:t>
      </w:r>
      <w:proofErr w:type="spellStart"/>
      <w:r w:rsidRPr="00B47A6C">
        <w:t>Exhibit</w:t>
      </w:r>
      <w:proofErr w:type="spellEnd"/>
      <w:r w:rsidRPr="00B47A6C">
        <w:t xml:space="preserve"> UPX7002.A) enthüllen jedoch, dass die </w:t>
      </w:r>
      <w:r w:rsidRPr="00B47A6C">
        <w:rPr>
          <w:b/>
          <w:bCs/>
        </w:rPr>
        <w:t>Bruttomargen</w:t>
      </w:r>
      <w:r w:rsidRPr="00B47A6C">
        <w:t> für den Bereich Search+ zwischen 2014 und 2021 konstant zwischen </w:t>
      </w:r>
      <w:r w:rsidRPr="00B47A6C">
        <w:rPr>
          <w:b/>
          <w:bCs/>
        </w:rPr>
        <w:t>76 % und 82 %</w:t>
      </w:r>
      <w:r w:rsidRPr="00B47A6C">
        <w:t> lagen.</w:t>
      </w:r>
    </w:p>
    <w:p w14:paraId="499DBFB8" w14:textId="77777777" w:rsidR="00B47A6C" w:rsidRPr="00B47A6C" w:rsidRDefault="00B47A6C" w:rsidP="00B47A6C">
      <w:pPr>
        <w:numPr>
          <w:ilvl w:val="0"/>
          <w:numId w:val="4"/>
        </w:numPr>
      </w:pPr>
      <w:r w:rsidRPr="00B47A6C">
        <w:rPr>
          <w:b/>
          <w:bCs/>
        </w:rPr>
        <w:t>Wachstumsraten:</w:t>
      </w:r>
      <w:r w:rsidRPr="00B47A6C">
        <w:t> Das Jahr 2021 sticht mit einem Wachstum von über 43 % hervor, was Google zum Teil auf Nachholeffekte nach der COVID-19-Pandemie und eine gesteigerte Werbeaktivität zurückführte. Ein DOJ-Beweisstück zeigt zudem, dass das Umsatzwachstum von Google.com über fast ein Jahrzehnt (bis 2018) extrem stabil bei etwa </w:t>
      </w:r>
      <w:r w:rsidRPr="00B47A6C">
        <w:rPr>
          <w:b/>
          <w:bCs/>
        </w:rPr>
        <w:t>21 % pro Jahr</w:t>
      </w:r>
      <w:r w:rsidRPr="00B47A6C">
        <w:t> lag.</w:t>
      </w:r>
    </w:p>
    <w:p w14:paraId="43D0DC45" w14:textId="77777777" w:rsidR="00B47A6C" w:rsidRPr="00B47A6C" w:rsidRDefault="00B47A6C" w:rsidP="00B47A6C">
      <w:pPr>
        <w:numPr>
          <w:ilvl w:val="0"/>
          <w:numId w:val="4"/>
        </w:numPr>
      </w:pPr>
      <w:r w:rsidRPr="00B47A6C">
        <w:rPr>
          <w:b/>
          <w:bCs/>
        </w:rPr>
        <w:t>ARPU (Average Revenue per User):</w:t>
      </w:r>
      <w:r w:rsidRPr="00B47A6C">
        <w:t> Die Quellen enthalten keine konsolidierte Tabelle für den ARPU über den gesamten Zeitraum. Es finden sich jedoch spezifische Fallbeispiele:</w:t>
      </w:r>
    </w:p>
    <w:p w14:paraId="3E9F2885" w14:textId="77777777" w:rsidR="00B47A6C" w:rsidRPr="00B47A6C" w:rsidRDefault="00B47A6C" w:rsidP="00B47A6C">
      <w:pPr>
        <w:numPr>
          <w:ilvl w:val="1"/>
          <w:numId w:val="4"/>
        </w:numPr>
      </w:pPr>
      <w:r w:rsidRPr="00B47A6C">
        <w:t>Android-Nutzer, die die Amazon-App aktiv nutzten, generierten für Google einen </w:t>
      </w:r>
      <w:r w:rsidRPr="00B47A6C">
        <w:rPr>
          <w:b/>
          <w:bCs/>
        </w:rPr>
        <w:t>inkrementellen Suchumsatz von 2,31 USD pro Nutzer</w:t>
      </w:r>
      <w:r w:rsidRPr="00B47A6C">
        <w:t>.</w:t>
      </w:r>
    </w:p>
    <w:p w14:paraId="7AE24DE8" w14:textId="77777777" w:rsidR="00B47A6C" w:rsidRPr="00B47A6C" w:rsidRDefault="00B47A6C" w:rsidP="00B47A6C">
      <w:pPr>
        <w:numPr>
          <w:ilvl w:val="1"/>
          <w:numId w:val="4"/>
        </w:numPr>
      </w:pPr>
      <w:r w:rsidRPr="00B47A6C">
        <w:t>Die EU-Kommission merkte an, dass es schwierig sei, präzise und verifizierbare Werte für den </w:t>
      </w:r>
      <w:r w:rsidRPr="00B47A6C">
        <w:rPr>
          <w:b/>
          <w:bCs/>
        </w:rPr>
        <w:t>Revenue Per Search (RPS)</w:t>
      </w:r>
      <w:r w:rsidRPr="00B47A6C">
        <w:t> der wichtigsten allgemeinen Suchdienste zu erhalten.</w:t>
      </w:r>
    </w:p>
    <w:p w14:paraId="56D3A415" w14:textId="77777777" w:rsidR="00B47A6C" w:rsidRPr="00B47A6C" w:rsidRDefault="00B47A6C" w:rsidP="00B47A6C">
      <w:pPr>
        <w:numPr>
          <w:ilvl w:val="0"/>
          <w:numId w:val="4"/>
        </w:numPr>
      </w:pPr>
      <w:r w:rsidRPr="00B47A6C">
        <w:rPr>
          <w:b/>
          <w:bCs/>
        </w:rPr>
        <w:t>Monetisierungs-Metriken:</w:t>
      </w:r>
      <w:r w:rsidRPr="00B47A6C">
        <w:t> Statt ARPU steuert Google intern über </w:t>
      </w:r>
      <w:r w:rsidRPr="00B47A6C">
        <w:rPr>
          <w:b/>
          <w:bCs/>
        </w:rPr>
        <w:t>RPM</w:t>
      </w:r>
      <w:r w:rsidRPr="00B47A6C">
        <w:t> (Revenue per Mille / Umsatz pro 1.000 Anfragen) und überwacht die Veränderungen bei </w:t>
      </w:r>
      <w:r w:rsidRPr="00B47A6C">
        <w:rPr>
          <w:b/>
          <w:bCs/>
        </w:rPr>
        <w:t xml:space="preserve">Paid </w:t>
      </w:r>
      <w:proofErr w:type="spellStart"/>
      <w:r w:rsidRPr="00B47A6C">
        <w:rPr>
          <w:b/>
          <w:bCs/>
        </w:rPr>
        <w:t>Clicks</w:t>
      </w:r>
      <w:proofErr w:type="spellEnd"/>
      <w:r w:rsidRPr="00B47A6C">
        <w:t> und </w:t>
      </w:r>
      <w:proofErr w:type="spellStart"/>
      <w:r w:rsidRPr="00B47A6C">
        <w:rPr>
          <w:b/>
          <w:bCs/>
        </w:rPr>
        <w:t>Cost</w:t>
      </w:r>
      <w:proofErr w:type="spellEnd"/>
      <w:r w:rsidRPr="00B47A6C">
        <w:rPr>
          <w:b/>
          <w:bCs/>
        </w:rPr>
        <w:t>-per-Click (CPC)</w:t>
      </w:r>
      <w:r w:rsidRPr="00B47A6C">
        <w:t>. Beispielsweise stieg die Klickrate (CTR) von etwa 10 % (2011) auf über 30 % (2021).</w:t>
      </w:r>
    </w:p>
    <w:p w14:paraId="7A1B6D76" w14:textId="77777777" w:rsidR="00B47A6C" w:rsidRDefault="00B47A6C"/>
    <w:p w14:paraId="486061BD" w14:textId="647E8200" w:rsidR="00B47A6C" w:rsidRPr="00B47A6C" w:rsidRDefault="00B47A6C" w:rsidP="00B47A6C">
      <w:pPr>
        <w:pBdr>
          <w:bottom w:val="single" w:sz="4" w:space="1" w:color="auto"/>
        </w:pBdr>
        <w:rPr>
          <w:b/>
          <w:bCs/>
        </w:rPr>
      </w:pPr>
      <w:r w:rsidRPr="00B47A6C">
        <w:rPr>
          <w:b/>
          <w:bCs/>
        </w:rPr>
        <w:t>Kapitel 3.2</w:t>
      </w:r>
    </w:p>
    <w:p w14:paraId="09903BF4" w14:textId="77777777" w:rsidR="00B47A6C" w:rsidRPr="00B47A6C" w:rsidRDefault="00B47A6C" w:rsidP="00B47A6C">
      <w:r w:rsidRPr="00B47A6C">
        <w:t>Die </w:t>
      </w:r>
      <w:r w:rsidRPr="00B47A6C">
        <w:rPr>
          <w:b/>
          <w:bCs/>
        </w:rPr>
        <w:t>Traffic Acquisition Costs (TAC)</w:t>
      </w:r>
      <w:r w:rsidRPr="00B47A6C">
        <w:t> stellen Googles größte einzelne Ausgabenposition dar und sind das finanzielle Rückgrat seiner Distributionsstrategie. TAC umfassen Zahlungen an </w:t>
      </w:r>
      <w:r w:rsidRPr="00B47A6C">
        <w:rPr>
          <w:b/>
          <w:bCs/>
        </w:rPr>
        <w:t>Google Network-Partner</w:t>
      </w:r>
      <w:r w:rsidRPr="00B47A6C">
        <w:t> für Werbeanzeigen auf deren Seiten sowie Milliardenzahlungen an </w:t>
      </w:r>
      <w:r w:rsidRPr="00B47A6C">
        <w:rPr>
          <w:b/>
          <w:bCs/>
        </w:rPr>
        <w:t>Distributionspartner</w:t>
      </w:r>
      <w:r w:rsidRPr="00B47A6C">
        <w:t> (Browser-Entwickler, Mobilfunkanbieter und Gerätehersteller), damit Google als Standard-Suchmaschine voreingestellt wird.</w:t>
      </w:r>
    </w:p>
    <w:p w14:paraId="7D58BE64" w14:textId="77777777" w:rsidR="00B47A6C" w:rsidRPr="00B47A6C" w:rsidRDefault="00B47A6C" w:rsidP="00B47A6C">
      <w:r w:rsidRPr="00B47A6C">
        <w:t>1. Entwicklung der absoluten TAC-Zahlen</w:t>
      </w:r>
    </w:p>
    <w:p w14:paraId="508CF41B" w14:textId="77777777" w:rsidR="00B47A6C" w:rsidRPr="00B47A6C" w:rsidRDefault="00B47A6C" w:rsidP="00B47A6C">
      <w:r w:rsidRPr="00B47A6C">
        <w:t>Die Gesamtausgaben für TAC sind in den letzten Jahren massiv gestiegen. Während die öffentlichen 10-K-Berichte die TAC für den gesamten Google-Konzern (einschließlich Werbenetzwerk) ausweisen, zeigen interne DOJ-Dokumente die spezifischen Kosten für den Bereich </w:t>
      </w:r>
      <w:r w:rsidRPr="00B47A6C">
        <w:rPr>
          <w:b/>
          <w:bCs/>
        </w:rPr>
        <w:t>„Google Search+“</w:t>
      </w:r>
      <w:r w:rsidRPr="00B47A6C">
        <w:t>:</w:t>
      </w:r>
    </w:p>
    <w:tbl>
      <w:tblPr>
        <w:tblW w:w="0" w:type="auto"/>
        <w:tblCellMar>
          <w:top w:w="15" w:type="dxa"/>
          <w:left w:w="15" w:type="dxa"/>
          <w:bottom w:w="15" w:type="dxa"/>
          <w:right w:w="15" w:type="dxa"/>
        </w:tblCellMar>
        <w:tblLook w:val="04A0" w:firstRow="1" w:lastRow="0" w:firstColumn="1" w:lastColumn="0" w:noHBand="0" w:noVBand="1"/>
      </w:tblPr>
      <w:tblGrid>
        <w:gridCol w:w="501"/>
        <w:gridCol w:w="3356"/>
        <w:gridCol w:w="3142"/>
      </w:tblGrid>
      <w:tr w:rsidR="00B47A6C" w:rsidRPr="00B47A6C" w14:paraId="3D789D81" w14:textId="77777777" w:rsidTr="00B47A6C">
        <w:tc>
          <w:tcPr>
            <w:tcW w:w="0" w:type="auto"/>
            <w:tcBorders>
              <w:bottom w:val="single" w:sz="6" w:space="0" w:color="919191"/>
            </w:tcBorders>
            <w:hideMark/>
          </w:tcPr>
          <w:p w14:paraId="4A7D9616" w14:textId="77777777" w:rsidR="00B47A6C" w:rsidRPr="00B47A6C" w:rsidRDefault="00B47A6C" w:rsidP="00B47A6C">
            <w:pPr>
              <w:rPr>
                <w:b/>
                <w:bCs/>
              </w:rPr>
            </w:pPr>
            <w:r w:rsidRPr="00B47A6C">
              <w:rPr>
                <w:b/>
                <w:bCs/>
              </w:rPr>
              <w:lastRenderedPageBreak/>
              <w:t>Jahr</w:t>
            </w:r>
          </w:p>
        </w:tc>
        <w:tc>
          <w:tcPr>
            <w:tcW w:w="0" w:type="auto"/>
            <w:tcBorders>
              <w:bottom w:val="single" w:sz="6" w:space="0" w:color="919191"/>
            </w:tcBorders>
            <w:hideMark/>
          </w:tcPr>
          <w:p w14:paraId="4EF3A182" w14:textId="77777777" w:rsidR="00B47A6C" w:rsidRPr="00B47A6C" w:rsidRDefault="00B47A6C" w:rsidP="00B47A6C">
            <w:pPr>
              <w:rPr>
                <w:b/>
                <w:bCs/>
              </w:rPr>
            </w:pPr>
            <w:r w:rsidRPr="00B47A6C">
              <w:rPr>
                <w:b/>
                <w:bCs/>
                <w:lang w:val="en-US"/>
              </w:rPr>
              <w:t xml:space="preserve">Google Search+ TAC (in Mio. </w:t>
            </w:r>
            <w:r w:rsidRPr="00B47A6C">
              <w:rPr>
                <w:b/>
                <w:bCs/>
              </w:rPr>
              <w:t>USD)</w:t>
            </w:r>
          </w:p>
        </w:tc>
        <w:tc>
          <w:tcPr>
            <w:tcW w:w="0" w:type="auto"/>
            <w:tcBorders>
              <w:bottom w:val="single" w:sz="6" w:space="0" w:color="919191"/>
            </w:tcBorders>
            <w:hideMark/>
          </w:tcPr>
          <w:p w14:paraId="7387D80F" w14:textId="77777777" w:rsidR="00B47A6C" w:rsidRPr="00B47A6C" w:rsidRDefault="00B47A6C" w:rsidP="00B47A6C">
            <w:pPr>
              <w:rPr>
                <w:b/>
                <w:bCs/>
              </w:rPr>
            </w:pPr>
            <w:r w:rsidRPr="00B47A6C">
              <w:rPr>
                <w:b/>
                <w:bCs/>
              </w:rPr>
              <w:t>Gesamt-TAC (10-K, in Mio. USD)</w:t>
            </w:r>
          </w:p>
        </w:tc>
      </w:tr>
      <w:tr w:rsidR="00B47A6C" w:rsidRPr="00B47A6C" w14:paraId="4F7973AA" w14:textId="77777777" w:rsidTr="00B47A6C">
        <w:tc>
          <w:tcPr>
            <w:tcW w:w="0" w:type="auto"/>
            <w:tcBorders>
              <w:bottom w:val="single" w:sz="6" w:space="0" w:color="DDE1EB"/>
            </w:tcBorders>
            <w:hideMark/>
          </w:tcPr>
          <w:p w14:paraId="573F20A0" w14:textId="77777777" w:rsidR="00B47A6C" w:rsidRPr="00B47A6C" w:rsidRDefault="00B47A6C" w:rsidP="00B47A6C">
            <w:r w:rsidRPr="00B47A6C">
              <w:rPr>
                <w:b/>
                <w:bCs/>
              </w:rPr>
              <w:t>2014</w:t>
            </w:r>
          </w:p>
        </w:tc>
        <w:tc>
          <w:tcPr>
            <w:tcW w:w="0" w:type="auto"/>
            <w:tcBorders>
              <w:bottom w:val="single" w:sz="6" w:space="0" w:color="DDE1EB"/>
            </w:tcBorders>
            <w:hideMark/>
          </w:tcPr>
          <w:p w14:paraId="2BD36DE5" w14:textId="77777777" w:rsidR="00B47A6C" w:rsidRPr="00B47A6C" w:rsidRDefault="00B47A6C" w:rsidP="00B47A6C">
            <w:r w:rsidRPr="00B47A6C">
              <w:t>7.101</w:t>
            </w:r>
          </w:p>
        </w:tc>
        <w:tc>
          <w:tcPr>
            <w:tcW w:w="0" w:type="auto"/>
            <w:tcBorders>
              <w:bottom w:val="single" w:sz="6" w:space="0" w:color="DDE1EB"/>
            </w:tcBorders>
            <w:hideMark/>
          </w:tcPr>
          <w:p w14:paraId="692BC6E0" w14:textId="77777777" w:rsidR="00B47A6C" w:rsidRPr="00B47A6C" w:rsidRDefault="00B47A6C" w:rsidP="00B47A6C">
            <w:r w:rsidRPr="00B47A6C">
              <w:t>—</w:t>
            </w:r>
          </w:p>
        </w:tc>
      </w:tr>
      <w:tr w:rsidR="00B47A6C" w:rsidRPr="00B47A6C" w14:paraId="63744A5A" w14:textId="77777777" w:rsidTr="00B47A6C">
        <w:tc>
          <w:tcPr>
            <w:tcW w:w="0" w:type="auto"/>
            <w:tcBorders>
              <w:bottom w:val="single" w:sz="6" w:space="0" w:color="DDE1EB"/>
            </w:tcBorders>
            <w:hideMark/>
          </w:tcPr>
          <w:p w14:paraId="01571701" w14:textId="77777777" w:rsidR="00B47A6C" w:rsidRPr="00B47A6C" w:rsidRDefault="00B47A6C" w:rsidP="00B47A6C">
            <w:r w:rsidRPr="00B47A6C">
              <w:rPr>
                <w:b/>
                <w:bCs/>
              </w:rPr>
              <w:t>2017</w:t>
            </w:r>
          </w:p>
        </w:tc>
        <w:tc>
          <w:tcPr>
            <w:tcW w:w="0" w:type="auto"/>
            <w:tcBorders>
              <w:bottom w:val="single" w:sz="6" w:space="0" w:color="DDE1EB"/>
            </w:tcBorders>
            <w:hideMark/>
          </w:tcPr>
          <w:p w14:paraId="051A3777" w14:textId="77777777" w:rsidR="00B47A6C" w:rsidRPr="00B47A6C" w:rsidRDefault="00B47A6C" w:rsidP="00B47A6C">
            <w:r w:rsidRPr="00B47A6C">
              <w:t>11.198</w:t>
            </w:r>
          </w:p>
        </w:tc>
        <w:tc>
          <w:tcPr>
            <w:tcW w:w="0" w:type="auto"/>
            <w:tcBorders>
              <w:bottom w:val="single" w:sz="6" w:space="0" w:color="DDE1EB"/>
            </w:tcBorders>
            <w:hideMark/>
          </w:tcPr>
          <w:p w14:paraId="59CE8940" w14:textId="77777777" w:rsidR="00B47A6C" w:rsidRPr="00B47A6C" w:rsidRDefault="00B47A6C" w:rsidP="00B47A6C">
            <w:r w:rsidRPr="00B47A6C">
              <w:t>—</w:t>
            </w:r>
          </w:p>
        </w:tc>
      </w:tr>
      <w:tr w:rsidR="00B47A6C" w:rsidRPr="00B47A6C" w14:paraId="63E91564" w14:textId="77777777" w:rsidTr="00B47A6C">
        <w:tc>
          <w:tcPr>
            <w:tcW w:w="0" w:type="auto"/>
            <w:tcBorders>
              <w:bottom w:val="single" w:sz="6" w:space="0" w:color="DDE1EB"/>
            </w:tcBorders>
            <w:hideMark/>
          </w:tcPr>
          <w:p w14:paraId="7F554113" w14:textId="77777777" w:rsidR="00B47A6C" w:rsidRPr="00B47A6C" w:rsidRDefault="00B47A6C" w:rsidP="00B47A6C">
            <w:r w:rsidRPr="00B47A6C">
              <w:rPr>
                <w:b/>
                <w:bCs/>
              </w:rPr>
              <w:t>2018</w:t>
            </w:r>
          </w:p>
        </w:tc>
        <w:tc>
          <w:tcPr>
            <w:tcW w:w="0" w:type="auto"/>
            <w:tcBorders>
              <w:bottom w:val="single" w:sz="6" w:space="0" w:color="DDE1EB"/>
            </w:tcBorders>
            <w:hideMark/>
          </w:tcPr>
          <w:p w14:paraId="04AE62B4" w14:textId="77777777" w:rsidR="00B47A6C" w:rsidRPr="00B47A6C" w:rsidRDefault="00B47A6C" w:rsidP="00B47A6C">
            <w:r w:rsidRPr="00B47A6C">
              <w:t>14.482</w:t>
            </w:r>
          </w:p>
        </w:tc>
        <w:tc>
          <w:tcPr>
            <w:tcW w:w="0" w:type="auto"/>
            <w:tcBorders>
              <w:bottom w:val="single" w:sz="6" w:space="0" w:color="DDE1EB"/>
            </w:tcBorders>
            <w:hideMark/>
          </w:tcPr>
          <w:p w14:paraId="310D3CFA" w14:textId="77777777" w:rsidR="00B47A6C" w:rsidRPr="00B47A6C" w:rsidRDefault="00B47A6C" w:rsidP="00B47A6C">
            <w:r w:rsidRPr="00B47A6C">
              <w:t>26.726</w:t>
            </w:r>
          </w:p>
        </w:tc>
      </w:tr>
      <w:tr w:rsidR="00B47A6C" w:rsidRPr="00B47A6C" w14:paraId="3ADB18E1" w14:textId="77777777" w:rsidTr="00B47A6C">
        <w:tc>
          <w:tcPr>
            <w:tcW w:w="0" w:type="auto"/>
            <w:tcBorders>
              <w:bottom w:val="single" w:sz="6" w:space="0" w:color="DDE1EB"/>
            </w:tcBorders>
            <w:hideMark/>
          </w:tcPr>
          <w:p w14:paraId="7FE67D9B" w14:textId="77777777" w:rsidR="00B47A6C" w:rsidRPr="00B47A6C" w:rsidRDefault="00B47A6C" w:rsidP="00B47A6C">
            <w:r w:rsidRPr="00B47A6C">
              <w:rPr>
                <w:b/>
                <w:bCs/>
              </w:rPr>
              <w:t>2019</w:t>
            </w:r>
          </w:p>
        </w:tc>
        <w:tc>
          <w:tcPr>
            <w:tcW w:w="0" w:type="auto"/>
            <w:tcBorders>
              <w:bottom w:val="single" w:sz="6" w:space="0" w:color="DDE1EB"/>
            </w:tcBorders>
            <w:hideMark/>
          </w:tcPr>
          <w:p w14:paraId="486DB32C" w14:textId="77777777" w:rsidR="00B47A6C" w:rsidRPr="00B47A6C" w:rsidRDefault="00B47A6C" w:rsidP="00B47A6C">
            <w:r w:rsidRPr="00B47A6C">
              <w:t>16.976</w:t>
            </w:r>
          </w:p>
        </w:tc>
        <w:tc>
          <w:tcPr>
            <w:tcW w:w="0" w:type="auto"/>
            <w:tcBorders>
              <w:bottom w:val="single" w:sz="6" w:space="0" w:color="DDE1EB"/>
            </w:tcBorders>
            <w:hideMark/>
          </w:tcPr>
          <w:p w14:paraId="337F6F3C" w14:textId="77777777" w:rsidR="00B47A6C" w:rsidRPr="00B47A6C" w:rsidRDefault="00B47A6C" w:rsidP="00B47A6C">
            <w:r w:rsidRPr="00B47A6C">
              <w:t>30.089</w:t>
            </w:r>
          </w:p>
        </w:tc>
      </w:tr>
      <w:tr w:rsidR="00B47A6C" w:rsidRPr="00B47A6C" w14:paraId="26626753" w14:textId="77777777" w:rsidTr="00B47A6C">
        <w:tc>
          <w:tcPr>
            <w:tcW w:w="0" w:type="auto"/>
            <w:tcBorders>
              <w:bottom w:val="single" w:sz="6" w:space="0" w:color="DDE1EB"/>
            </w:tcBorders>
            <w:hideMark/>
          </w:tcPr>
          <w:p w14:paraId="02563F8A" w14:textId="77777777" w:rsidR="00B47A6C" w:rsidRPr="00B47A6C" w:rsidRDefault="00B47A6C" w:rsidP="00B47A6C">
            <w:r w:rsidRPr="00B47A6C">
              <w:rPr>
                <w:b/>
                <w:bCs/>
              </w:rPr>
              <w:t>2020</w:t>
            </w:r>
          </w:p>
        </w:tc>
        <w:tc>
          <w:tcPr>
            <w:tcW w:w="0" w:type="auto"/>
            <w:tcBorders>
              <w:bottom w:val="single" w:sz="6" w:space="0" w:color="DDE1EB"/>
            </w:tcBorders>
            <w:hideMark/>
          </w:tcPr>
          <w:p w14:paraId="41D055C4" w14:textId="77777777" w:rsidR="00B47A6C" w:rsidRPr="00B47A6C" w:rsidRDefault="00B47A6C" w:rsidP="00B47A6C">
            <w:r w:rsidRPr="00B47A6C">
              <w:t>18.576</w:t>
            </w:r>
          </w:p>
        </w:tc>
        <w:tc>
          <w:tcPr>
            <w:tcW w:w="0" w:type="auto"/>
            <w:tcBorders>
              <w:bottom w:val="single" w:sz="6" w:space="0" w:color="DDE1EB"/>
            </w:tcBorders>
            <w:hideMark/>
          </w:tcPr>
          <w:p w14:paraId="707728BA" w14:textId="77777777" w:rsidR="00B47A6C" w:rsidRPr="00B47A6C" w:rsidRDefault="00B47A6C" w:rsidP="00B47A6C">
            <w:r w:rsidRPr="00B47A6C">
              <w:t>32.778</w:t>
            </w:r>
          </w:p>
        </w:tc>
      </w:tr>
      <w:tr w:rsidR="00B47A6C" w:rsidRPr="00B47A6C" w14:paraId="55B2F556" w14:textId="77777777" w:rsidTr="00B47A6C">
        <w:tc>
          <w:tcPr>
            <w:tcW w:w="0" w:type="auto"/>
            <w:tcBorders>
              <w:bottom w:val="single" w:sz="6" w:space="0" w:color="DDE1EB"/>
            </w:tcBorders>
            <w:hideMark/>
          </w:tcPr>
          <w:p w14:paraId="2822A974" w14:textId="77777777" w:rsidR="00B47A6C" w:rsidRPr="00B47A6C" w:rsidRDefault="00B47A6C" w:rsidP="00B47A6C">
            <w:r w:rsidRPr="00B47A6C">
              <w:rPr>
                <w:b/>
                <w:bCs/>
              </w:rPr>
              <w:t>2021</w:t>
            </w:r>
          </w:p>
        </w:tc>
        <w:tc>
          <w:tcPr>
            <w:tcW w:w="0" w:type="auto"/>
            <w:tcBorders>
              <w:bottom w:val="single" w:sz="6" w:space="0" w:color="DDE1EB"/>
            </w:tcBorders>
            <w:hideMark/>
          </w:tcPr>
          <w:p w14:paraId="54CB99DC" w14:textId="77777777" w:rsidR="00B47A6C" w:rsidRPr="00B47A6C" w:rsidRDefault="00B47A6C" w:rsidP="00B47A6C">
            <w:r w:rsidRPr="00B47A6C">
              <w:rPr>
                <w:b/>
                <w:bCs/>
              </w:rPr>
              <w:t>26.344</w:t>
            </w:r>
          </w:p>
        </w:tc>
        <w:tc>
          <w:tcPr>
            <w:tcW w:w="0" w:type="auto"/>
            <w:tcBorders>
              <w:bottom w:val="single" w:sz="6" w:space="0" w:color="DDE1EB"/>
            </w:tcBorders>
            <w:hideMark/>
          </w:tcPr>
          <w:p w14:paraId="21DA7B25" w14:textId="77777777" w:rsidR="00B47A6C" w:rsidRPr="00B47A6C" w:rsidRDefault="00B47A6C" w:rsidP="00B47A6C">
            <w:r w:rsidRPr="00B47A6C">
              <w:t>45.566</w:t>
            </w:r>
          </w:p>
        </w:tc>
      </w:tr>
      <w:tr w:rsidR="00B47A6C" w:rsidRPr="00B47A6C" w14:paraId="60356228" w14:textId="77777777" w:rsidTr="00B47A6C">
        <w:tc>
          <w:tcPr>
            <w:tcW w:w="0" w:type="auto"/>
            <w:tcBorders>
              <w:bottom w:val="single" w:sz="6" w:space="0" w:color="DDE1EB"/>
            </w:tcBorders>
            <w:hideMark/>
          </w:tcPr>
          <w:p w14:paraId="4D7AB53D" w14:textId="77777777" w:rsidR="00B47A6C" w:rsidRPr="00B47A6C" w:rsidRDefault="00B47A6C" w:rsidP="00B47A6C">
            <w:r w:rsidRPr="00B47A6C">
              <w:rPr>
                <w:b/>
                <w:bCs/>
              </w:rPr>
              <w:t>2024</w:t>
            </w:r>
          </w:p>
        </w:tc>
        <w:tc>
          <w:tcPr>
            <w:tcW w:w="0" w:type="auto"/>
            <w:tcBorders>
              <w:bottom w:val="single" w:sz="6" w:space="0" w:color="DDE1EB"/>
            </w:tcBorders>
            <w:hideMark/>
          </w:tcPr>
          <w:p w14:paraId="7787CC8F" w14:textId="77777777" w:rsidR="00B47A6C" w:rsidRPr="00B47A6C" w:rsidRDefault="00B47A6C" w:rsidP="00B47A6C">
            <w:r w:rsidRPr="00B47A6C">
              <w:t>—</w:t>
            </w:r>
          </w:p>
        </w:tc>
        <w:tc>
          <w:tcPr>
            <w:tcW w:w="0" w:type="auto"/>
            <w:tcBorders>
              <w:bottom w:val="single" w:sz="6" w:space="0" w:color="DDE1EB"/>
            </w:tcBorders>
            <w:hideMark/>
          </w:tcPr>
          <w:p w14:paraId="2FBF7D44" w14:textId="77777777" w:rsidR="00B47A6C" w:rsidRPr="00B47A6C" w:rsidRDefault="00B47A6C" w:rsidP="00B47A6C">
            <w:r w:rsidRPr="00B47A6C">
              <w:rPr>
                <w:b/>
                <w:bCs/>
              </w:rPr>
              <w:t>54.900</w:t>
            </w:r>
          </w:p>
        </w:tc>
      </w:tr>
      <w:tr w:rsidR="00B47A6C" w:rsidRPr="00B47A6C" w14:paraId="6A944271" w14:textId="77777777" w:rsidTr="00B47A6C">
        <w:tc>
          <w:tcPr>
            <w:tcW w:w="0" w:type="auto"/>
            <w:tcBorders>
              <w:bottom w:val="single" w:sz="6" w:space="0" w:color="DDE1EB"/>
            </w:tcBorders>
            <w:hideMark/>
          </w:tcPr>
          <w:p w14:paraId="7B038B2B" w14:textId="77777777" w:rsidR="00B47A6C" w:rsidRPr="00B47A6C" w:rsidRDefault="00B47A6C" w:rsidP="00B47A6C">
            <w:r w:rsidRPr="00B47A6C">
              <w:rPr>
                <w:b/>
                <w:bCs/>
              </w:rPr>
              <w:t>2025</w:t>
            </w:r>
          </w:p>
        </w:tc>
        <w:tc>
          <w:tcPr>
            <w:tcW w:w="0" w:type="auto"/>
            <w:tcBorders>
              <w:bottom w:val="single" w:sz="6" w:space="0" w:color="DDE1EB"/>
            </w:tcBorders>
            <w:hideMark/>
          </w:tcPr>
          <w:p w14:paraId="51FEED60" w14:textId="77777777" w:rsidR="00B47A6C" w:rsidRPr="00B47A6C" w:rsidRDefault="00B47A6C" w:rsidP="00B47A6C">
            <w:r w:rsidRPr="00B47A6C">
              <w:t>—</w:t>
            </w:r>
          </w:p>
        </w:tc>
        <w:tc>
          <w:tcPr>
            <w:tcW w:w="0" w:type="auto"/>
            <w:tcBorders>
              <w:bottom w:val="single" w:sz="6" w:space="0" w:color="DDE1EB"/>
            </w:tcBorders>
            <w:hideMark/>
          </w:tcPr>
          <w:p w14:paraId="3BE56659" w14:textId="77777777" w:rsidR="00B47A6C" w:rsidRPr="00B47A6C" w:rsidRDefault="00B47A6C" w:rsidP="00B47A6C">
            <w:r w:rsidRPr="00B47A6C">
              <w:rPr>
                <w:b/>
                <w:bCs/>
              </w:rPr>
              <w:t>59.926</w:t>
            </w:r>
          </w:p>
        </w:tc>
      </w:tr>
    </w:tbl>
    <w:p w14:paraId="54C5C849" w14:textId="77777777" w:rsidR="00B47A6C" w:rsidRPr="00B47A6C" w:rsidRDefault="00B47A6C" w:rsidP="00B47A6C">
      <w:r w:rsidRPr="00B47A6C">
        <w:t>Die TAC als Prozentsatz der Werbeeinnahmen (</w:t>
      </w:r>
      <w:r w:rsidRPr="00B47A6C">
        <w:rPr>
          <w:b/>
          <w:bCs/>
        </w:rPr>
        <w:t>TAC-Rate</w:t>
      </w:r>
      <w:r w:rsidRPr="00B47A6C">
        <w:t>) lag zuletzt zwischen </w:t>
      </w:r>
      <w:r w:rsidRPr="00B47A6C">
        <w:rPr>
          <w:b/>
          <w:bCs/>
        </w:rPr>
        <w:t>20,3 % und 22,3 %</w:t>
      </w:r>
      <w:r w:rsidRPr="00B47A6C">
        <w:t>. Im Jahr 2021 waren die TAC fast viermal so hoch wie alle anderen suchspezifischen Kosten von Google zusammen.</w:t>
      </w:r>
    </w:p>
    <w:p w14:paraId="42A16D30" w14:textId="77777777" w:rsidR="00B47A6C" w:rsidRPr="00B47A6C" w:rsidRDefault="00B47A6C" w:rsidP="00B47A6C">
      <w:r w:rsidRPr="00B47A6C">
        <w:t>2. Vereinbarungen mit Schlüsselpartnern</w:t>
      </w:r>
    </w:p>
    <w:p w14:paraId="45E6AE04" w14:textId="77777777" w:rsidR="00B47A6C" w:rsidRPr="00B47A6C" w:rsidRDefault="00B47A6C" w:rsidP="00B47A6C">
      <w:r w:rsidRPr="00B47A6C">
        <w:t>Google zahlt Partnern einen Anteil an den Werbeeinnahmen (</w:t>
      </w:r>
      <w:r w:rsidRPr="00B47A6C">
        <w:rPr>
          <w:b/>
          <w:bCs/>
        </w:rPr>
        <w:t>Revenue Share</w:t>
      </w:r>
      <w:r w:rsidRPr="00B47A6C">
        <w:t>), die über die voreingestellten Suchzugangspunkte generiert werden.</w:t>
      </w:r>
    </w:p>
    <w:p w14:paraId="3DAEB8A7" w14:textId="77777777" w:rsidR="00B47A6C" w:rsidRPr="00B47A6C" w:rsidRDefault="00B47A6C" w:rsidP="00B47A6C">
      <w:pPr>
        <w:numPr>
          <w:ilvl w:val="0"/>
          <w:numId w:val="5"/>
        </w:numPr>
      </w:pPr>
      <w:r w:rsidRPr="00B47A6C">
        <w:rPr>
          <w:b/>
          <w:bCs/>
        </w:rPr>
        <w:t>Apple (Internet Services Agreement - ISA):</w:t>
      </w:r>
    </w:p>
    <w:p w14:paraId="72EEB967" w14:textId="77777777" w:rsidR="00B47A6C" w:rsidRPr="00B47A6C" w:rsidRDefault="00B47A6C" w:rsidP="00B47A6C">
      <w:pPr>
        <w:numPr>
          <w:ilvl w:val="1"/>
          <w:numId w:val="5"/>
        </w:numPr>
      </w:pPr>
      <w:r w:rsidRPr="00B47A6C">
        <w:rPr>
          <w:b/>
          <w:bCs/>
        </w:rPr>
        <w:t>Zahlungen:</w:t>
      </w:r>
      <w:r w:rsidRPr="00B47A6C">
        <w:t> Google zahlte Apple im Jahr 2021 geschätzte </w:t>
      </w:r>
      <w:r w:rsidRPr="00B47A6C">
        <w:rPr>
          <w:b/>
          <w:bCs/>
        </w:rPr>
        <w:t>8 bis 12 Milliarden USD</w:t>
      </w:r>
      <w:r w:rsidRPr="00B47A6C">
        <w:t>. Für 2022 wird die weltweite Zahlung auf rund </w:t>
      </w:r>
      <w:r w:rsidRPr="00B47A6C">
        <w:rPr>
          <w:b/>
          <w:bCs/>
        </w:rPr>
        <w:t>20 Milliarden USD</w:t>
      </w:r>
      <w:r w:rsidRPr="00B47A6C">
        <w:t> geschätzt.</w:t>
      </w:r>
    </w:p>
    <w:p w14:paraId="4B4BA359" w14:textId="77777777" w:rsidR="00B47A6C" w:rsidRPr="00B47A6C" w:rsidRDefault="00B47A6C" w:rsidP="00B47A6C">
      <w:pPr>
        <w:numPr>
          <w:ilvl w:val="1"/>
          <w:numId w:val="5"/>
        </w:numPr>
      </w:pPr>
      <w:r w:rsidRPr="00B47A6C">
        <w:rPr>
          <w:b/>
          <w:bCs/>
        </w:rPr>
        <w:t>Bedeutung für Apple:</w:t>
      </w:r>
      <w:r w:rsidRPr="00B47A6C">
        <w:t> Diese Zahlungen machten 2020 etwa </w:t>
      </w:r>
      <w:r w:rsidRPr="00B47A6C">
        <w:rPr>
          <w:b/>
          <w:bCs/>
        </w:rPr>
        <w:t>17,5 % des operativen Gewinns</w:t>
      </w:r>
      <w:r w:rsidRPr="00B47A6C">
        <w:t> von Apple aus.</w:t>
      </w:r>
    </w:p>
    <w:p w14:paraId="2FC65BC9" w14:textId="77777777" w:rsidR="00B47A6C" w:rsidRPr="00B47A6C" w:rsidRDefault="00B47A6C" w:rsidP="00B47A6C">
      <w:pPr>
        <w:numPr>
          <w:ilvl w:val="1"/>
          <w:numId w:val="5"/>
        </w:numPr>
      </w:pPr>
      <w:r w:rsidRPr="00B47A6C">
        <w:rPr>
          <w:b/>
          <w:bCs/>
        </w:rPr>
        <w:t>Gegenleistung:</w:t>
      </w:r>
      <w:r w:rsidRPr="00B47A6C">
        <w:t> Google ist der exklusive Standard-Suchdienst in </w:t>
      </w:r>
      <w:r w:rsidRPr="00B47A6C">
        <w:rPr>
          <w:b/>
          <w:bCs/>
        </w:rPr>
        <w:t>Safari</w:t>
      </w:r>
      <w:r w:rsidRPr="00B47A6C">
        <w:t>, </w:t>
      </w:r>
      <w:r w:rsidRPr="00B47A6C">
        <w:rPr>
          <w:b/>
          <w:bCs/>
        </w:rPr>
        <w:t>Siri</w:t>
      </w:r>
      <w:r w:rsidRPr="00B47A6C">
        <w:t> und </w:t>
      </w:r>
      <w:r w:rsidRPr="00B47A6C">
        <w:rPr>
          <w:b/>
          <w:bCs/>
        </w:rPr>
        <w:t>Spotlight</w:t>
      </w:r>
      <w:r w:rsidRPr="00B47A6C">
        <w:t>. Apple verpflichtet sich zudem, das Produktdesign der Suche „wesentlich ähnlich“ zu 2016 beizubehalten, um den Abfluss von Suchanfragen zu verhindern.</w:t>
      </w:r>
    </w:p>
    <w:p w14:paraId="67BBE850" w14:textId="77777777" w:rsidR="00B47A6C" w:rsidRPr="00B47A6C" w:rsidRDefault="00B47A6C" w:rsidP="00B47A6C">
      <w:pPr>
        <w:numPr>
          <w:ilvl w:val="0"/>
          <w:numId w:val="5"/>
        </w:numPr>
      </w:pPr>
      <w:r w:rsidRPr="00B47A6C">
        <w:rPr>
          <w:b/>
          <w:bCs/>
        </w:rPr>
        <w:t>Mozilla (Firefox):</w:t>
      </w:r>
    </w:p>
    <w:p w14:paraId="2ECC2B0B" w14:textId="77777777" w:rsidR="00B47A6C" w:rsidRPr="00B47A6C" w:rsidRDefault="00B47A6C" w:rsidP="00B47A6C">
      <w:pPr>
        <w:numPr>
          <w:ilvl w:val="1"/>
          <w:numId w:val="5"/>
        </w:numPr>
      </w:pPr>
      <w:r w:rsidRPr="00B47A6C">
        <w:rPr>
          <w:b/>
          <w:bCs/>
        </w:rPr>
        <w:t>Zahlungen:</w:t>
      </w:r>
      <w:r w:rsidRPr="00B47A6C">
        <w:t> Im Jahr 2021 erhielt Mozilla über </w:t>
      </w:r>
      <w:r w:rsidRPr="00B47A6C">
        <w:rPr>
          <w:b/>
          <w:bCs/>
        </w:rPr>
        <w:t>400 Millionen USD</w:t>
      </w:r>
      <w:r w:rsidRPr="00B47A6C">
        <w:t> von Google.</w:t>
      </w:r>
    </w:p>
    <w:p w14:paraId="699C00A3" w14:textId="77777777" w:rsidR="00B47A6C" w:rsidRPr="00B47A6C" w:rsidRDefault="00B47A6C" w:rsidP="00B47A6C">
      <w:pPr>
        <w:numPr>
          <w:ilvl w:val="1"/>
          <w:numId w:val="5"/>
        </w:numPr>
      </w:pPr>
      <w:r w:rsidRPr="00B47A6C">
        <w:rPr>
          <w:b/>
          <w:bCs/>
        </w:rPr>
        <w:t>Bedeutung für Mozilla:</w:t>
      </w:r>
      <w:r w:rsidRPr="00B47A6C">
        <w:t> Dies entspricht etwa </w:t>
      </w:r>
      <w:r w:rsidRPr="00B47A6C">
        <w:rPr>
          <w:b/>
          <w:bCs/>
        </w:rPr>
        <w:t>80 % des gesamten operativen Budgets</w:t>
      </w:r>
      <w:r w:rsidRPr="00B47A6C">
        <w:t> von Mozilla. Ohne diese Zahlungen wäre Mozilla laut eigenen Angaben kaum überlebensfähig.</w:t>
      </w:r>
    </w:p>
    <w:p w14:paraId="20D15D89" w14:textId="77777777" w:rsidR="00B47A6C" w:rsidRPr="00B47A6C" w:rsidRDefault="00B47A6C" w:rsidP="00B47A6C">
      <w:pPr>
        <w:numPr>
          <w:ilvl w:val="1"/>
          <w:numId w:val="5"/>
        </w:numPr>
      </w:pPr>
      <w:r w:rsidRPr="00B47A6C">
        <w:rPr>
          <w:b/>
          <w:bCs/>
        </w:rPr>
        <w:t>Gegenleistung:</w:t>
      </w:r>
      <w:r w:rsidRPr="00B47A6C">
        <w:t> Google wird als Standard-Suchmaschine im Firefox-Browser voreingestellt.</w:t>
      </w:r>
    </w:p>
    <w:p w14:paraId="1AFE0EF6" w14:textId="77777777" w:rsidR="00B47A6C" w:rsidRPr="00B47A6C" w:rsidRDefault="00B47A6C" w:rsidP="00B47A6C">
      <w:pPr>
        <w:numPr>
          <w:ilvl w:val="0"/>
          <w:numId w:val="5"/>
        </w:numPr>
      </w:pPr>
      <w:r w:rsidRPr="00B47A6C">
        <w:rPr>
          <w:b/>
          <w:bCs/>
        </w:rPr>
        <w:t>Mobilfunkanbieter (Verizon, AT&amp;T, T-Mobile):</w:t>
      </w:r>
    </w:p>
    <w:p w14:paraId="1F90C411" w14:textId="77777777" w:rsidR="00B47A6C" w:rsidRPr="00B47A6C" w:rsidRDefault="00B47A6C" w:rsidP="00B47A6C">
      <w:pPr>
        <w:numPr>
          <w:ilvl w:val="1"/>
          <w:numId w:val="5"/>
        </w:numPr>
      </w:pPr>
      <w:r w:rsidRPr="00B47A6C">
        <w:rPr>
          <w:b/>
          <w:bCs/>
        </w:rPr>
        <w:t>Zahlungen:</w:t>
      </w:r>
      <w:r w:rsidRPr="00B47A6C">
        <w:t> Google zahlt den großen US-Carriern kollektiv über </w:t>
      </w:r>
      <w:r w:rsidRPr="00B47A6C">
        <w:rPr>
          <w:b/>
          <w:bCs/>
        </w:rPr>
        <w:t>eine Milliarde USD</w:t>
      </w:r>
      <w:r w:rsidRPr="00B47A6C">
        <w:t> pro Jahr.</w:t>
      </w:r>
    </w:p>
    <w:p w14:paraId="0FBE8BB5" w14:textId="77777777" w:rsidR="00B47A6C" w:rsidRPr="00B47A6C" w:rsidRDefault="00B47A6C" w:rsidP="00B47A6C">
      <w:pPr>
        <w:numPr>
          <w:ilvl w:val="1"/>
          <w:numId w:val="5"/>
        </w:numPr>
      </w:pPr>
      <w:r w:rsidRPr="00B47A6C">
        <w:rPr>
          <w:b/>
          <w:bCs/>
        </w:rPr>
        <w:lastRenderedPageBreak/>
        <w:t>Struktur:</w:t>
      </w:r>
      <w:r w:rsidRPr="00B47A6C">
        <w:t> Die Zahlungen sind oft gestaffelt (</w:t>
      </w:r>
      <w:r w:rsidRPr="00B47A6C">
        <w:rPr>
          <w:b/>
          <w:bCs/>
        </w:rPr>
        <w:t>Tiers</w:t>
      </w:r>
      <w:r w:rsidRPr="00B47A6C">
        <w:t>). Höhere Exklusivität (z. B. keine Vorinstallation von Konkurrenten wie Bing) führt zu einem höheren Prozentsatz am Umsatz.</w:t>
      </w:r>
    </w:p>
    <w:p w14:paraId="1C0255D4" w14:textId="77777777" w:rsidR="00B47A6C" w:rsidRPr="00B47A6C" w:rsidRDefault="00B47A6C" w:rsidP="00B47A6C">
      <w:pPr>
        <w:numPr>
          <w:ilvl w:val="1"/>
          <w:numId w:val="5"/>
        </w:numPr>
      </w:pPr>
      <w:r w:rsidRPr="00B47A6C">
        <w:rPr>
          <w:b/>
          <w:bCs/>
        </w:rPr>
        <w:t>Beispiel Verizon:</w:t>
      </w:r>
      <w:r w:rsidRPr="00B47A6C">
        <w:t> Verizon erhielt von 2014 bis 2020 eine Revenue-Share von </w:t>
      </w:r>
      <w:r w:rsidRPr="00B47A6C">
        <w:rPr>
          <w:b/>
          <w:bCs/>
        </w:rPr>
        <w:t>20 %</w:t>
      </w:r>
      <w:r w:rsidRPr="00B47A6C">
        <w:t>. Ein Wechsel weg von Google hätte Verizon laut internen Analysen einen Verlust von </w:t>
      </w:r>
      <w:r w:rsidRPr="00B47A6C">
        <w:rPr>
          <w:b/>
          <w:bCs/>
        </w:rPr>
        <w:t>1,4 Milliarden USD</w:t>
      </w:r>
      <w:r w:rsidRPr="00B47A6C">
        <w:t> eingebracht, weshalb das Festhalten an Google als „einzig rationale Wahl“ galt.</w:t>
      </w:r>
    </w:p>
    <w:p w14:paraId="20A36CE6" w14:textId="77777777" w:rsidR="00B47A6C" w:rsidRPr="00B47A6C" w:rsidRDefault="00B47A6C" w:rsidP="00B47A6C">
      <w:pPr>
        <w:numPr>
          <w:ilvl w:val="0"/>
          <w:numId w:val="5"/>
        </w:numPr>
      </w:pPr>
      <w:r w:rsidRPr="00B47A6C">
        <w:rPr>
          <w:b/>
          <w:bCs/>
        </w:rPr>
        <w:t>Samsung:</w:t>
      </w:r>
    </w:p>
    <w:p w14:paraId="389586F3" w14:textId="77777777" w:rsidR="00B47A6C" w:rsidRPr="00B47A6C" w:rsidRDefault="00B47A6C" w:rsidP="00B47A6C">
      <w:pPr>
        <w:numPr>
          <w:ilvl w:val="1"/>
          <w:numId w:val="5"/>
        </w:numPr>
      </w:pPr>
      <w:r w:rsidRPr="00B47A6C">
        <w:t>Google hat spezifische Abkommen für Samsung-Geräte, um Google als Standard im </w:t>
      </w:r>
      <w:r w:rsidRPr="00B47A6C">
        <w:rPr>
          <w:b/>
          <w:bCs/>
        </w:rPr>
        <w:t>S Browser</w:t>
      </w:r>
      <w:r w:rsidRPr="00B47A6C">
        <w:t> und für das </w:t>
      </w:r>
      <w:r w:rsidRPr="00B47A6C">
        <w:rPr>
          <w:b/>
          <w:bCs/>
        </w:rPr>
        <w:t>Chrome-Widget</w:t>
      </w:r>
      <w:r w:rsidRPr="00B47A6C">
        <w:t> zu sichern. Die Zahlungen an Samsung überstiegen in einem einzigen Monat einen (geschwärzten) Millionenbetrag deutlich.</w:t>
      </w:r>
    </w:p>
    <w:p w14:paraId="5B66F87C" w14:textId="77777777" w:rsidR="00B47A6C" w:rsidRPr="00B47A6C" w:rsidRDefault="00B47A6C" w:rsidP="00B47A6C">
      <w:r w:rsidRPr="00B47A6C">
        <w:t>3. Zweck und Strategie hinter den TAC</w:t>
      </w:r>
    </w:p>
    <w:p w14:paraId="18578F95" w14:textId="77777777" w:rsidR="00B47A6C" w:rsidRPr="00B47A6C" w:rsidRDefault="00B47A6C" w:rsidP="00B47A6C">
      <w:r w:rsidRPr="00B47A6C">
        <w:t>Google nutzt diese Zahlungen als „Versicherungspolice“, um seinen Marktanteil zu schützen und Konkurrenten den Zugang zu Skaleneffekten (Nutzerdaten) zu verwehren. Intern bezeichnet Google den Verlust des Standardstatus bei Apple als </w:t>
      </w:r>
      <w:r w:rsidRPr="00B47A6C">
        <w:rPr>
          <w:b/>
          <w:bCs/>
        </w:rPr>
        <w:t xml:space="preserve">„Code </w:t>
      </w:r>
      <w:proofErr w:type="spellStart"/>
      <w:r w:rsidRPr="00B47A6C">
        <w:rPr>
          <w:b/>
          <w:bCs/>
        </w:rPr>
        <w:t>Red</w:t>
      </w:r>
      <w:proofErr w:type="spellEnd"/>
      <w:r w:rsidRPr="00B47A6C">
        <w:rPr>
          <w:b/>
          <w:bCs/>
        </w:rPr>
        <w:t>“</w:t>
      </w:r>
      <w:r w:rsidRPr="00B47A6C">
        <w:t>-Szenario, da dies den Kern des Geschäftsmodells gefährden würde. Das Gericht stellte fest, dass die schiere Höhe der Zahlungen eine unüberwindbare Markteintrittsbarriere für Rivalen wie Bing oder DuckDuckGo schafft, die solche Summen nicht refinanzieren können.</w:t>
      </w:r>
    </w:p>
    <w:p w14:paraId="6F2E2D72" w14:textId="77777777" w:rsidR="00B47A6C" w:rsidRDefault="00B47A6C"/>
    <w:p w14:paraId="04A15E8A" w14:textId="604C5041" w:rsidR="00B47A6C" w:rsidRPr="00B47A6C" w:rsidRDefault="00B47A6C" w:rsidP="00B47A6C">
      <w:pPr>
        <w:pBdr>
          <w:bottom w:val="single" w:sz="4" w:space="1" w:color="auto"/>
        </w:pBdr>
        <w:rPr>
          <w:b/>
          <w:bCs/>
        </w:rPr>
      </w:pPr>
      <w:r w:rsidRPr="00B47A6C">
        <w:rPr>
          <w:b/>
          <w:bCs/>
        </w:rPr>
        <w:t>Kapitel 3.3</w:t>
      </w:r>
    </w:p>
    <w:p w14:paraId="43ED1B0C" w14:textId="77777777" w:rsidR="00B47A6C" w:rsidRPr="00B47A6C" w:rsidRDefault="00B47A6C" w:rsidP="00B47A6C">
      <w:r w:rsidRPr="00B47A6C">
        <w:t>Bericht: Interne Preissteuerungsmechanismen bei Google Search Ads</w:t>
      </w:r>
    </w:p>
    <w:p w14:paraId="7A3379EA" w14:textId="77777777" w:rsidR="00B47A6C" w:rsidRPr="00B47A6C" w:rsidRDefault="00B47A6C" w:rsidP="00B47A6C">
      <w:r w:rsidRPr="00B47A6C">
        <w:t>Die vorliegenden Dokumente, insbesondere interne Google-Präsentationen (UPX-Reihe) und das Mehta-Haftungsurteil des US-Justizministeriums (DOJ), beschreiben detailliert die Mechanismen, mit denen Google die Auktionspreise für Suchanzeigen steuert.</w:t>
      </w:r>
    </w:p>
    <w:p w14:paraId="23D90F0E" w14:textId="77777777" w:rsidR="00B47A6C" w:rsidRPr="00B47A6C" w:rsidRDefault="00B47A6C" w:rsidP="00B47A6C">
      <w:r w:rsidRPr="00B47A6C">
        <w:rPr>
          <w:b/>
          <w:bCs/>
        </w:rPr>
        <w:t>Ad Rank und die LTV-Funktion</w:t>
      </w:r>
      <w:r w:rsidRPr="00B47A6C">
        <w:t> Das Fundament der Anzeigenauktion ist der </w:t>
      </w:r>
      <w:r w:rsidRPr="00B47A6C">
        <w:rPr>
          <w:b/>
          <w:bCs/>
        </w:rPr>
        <w:t>Ad Rank</w:t>
      </w:r>
      <w:r w:rsidRPr="00B47A6C">
        <w:t>, der auf einer sogenannten </w:t>
      </w:r>
      <w:r w:rsidRPr="00B47A6C">
        <w:rPr>
          <w:b/>
          <w:bCs/>
        </w:rPr>
        <w:t>Long-Term Value (LTV)</w:t>
      </w:r>
      <w:r w:rsidRPr="00B47A6C">
        <w:t> Funktion basiert. Die interne Formel lautet: </w:t>
      </w:r>
      <w:r w:rsidRPr="00B47A6C">
        <w:rPr>
          <w:i/>
          <w:iCs/>
        </w:rPr>
        <w:t>LTV</w:t>
      </w:r>
      <w:r w:rsidRPr="00B47A6C">
        <w:t>=</w:t>
      </w:r>
      <w:proofErr w:type="spellStart"/>
      <w:r w:rsidRPr="00B47A6C">
        <w:rPr>
          <w:i/>
          <w:iCs/>
        </w:rPr>
        <w:t>bid</w:t>
      </w:r>
      <w:r w:rsidRPr="00B47A6C">
        <w:rPr>
          <w:rFonts w:ascii="Cambria Math" w:hAnsi="Cambria Math" w:cs="Cambria Math"/>
        </w:rPr>
        <w:t>⋅</w:t>
      </w:r>
      <w:r w:rsidRPr="00B47A6C">
        <w:rPr>
          <w:i/>
          <w:iCs/>
        </w:rPr>
        <w:t>pctr</w:t>
      </w:r>
      <w:proofErr w:type="spellEnd"/>
      <w:r w:rsidRPr="00B47A6C">
        <w:t>−</w:t>
      </w:r>
      <w:r w:rsidRPr="00B47A6C">
        <w:rPr>
          <w:i/>
          <w:iCs/>
        </w:rPr>
        <w:t>β</w:t>
      </w:r>
      <w:r w:rsidRPr="00B47A6C">
        <w:t>. Dabei steht </w:t>
      </w:r>
      <w:proofErr w:type="spellStart"/>
      <w:r w:rsidRPr="00B47A6C">
        <w:rPr>
          <w:i/>
          <w:iCs/>
        </w:rPr>
        <w:t>bid</w:t>
      </w:r>
      <w:proofErr w:type="spellEnd"/>
      <w:r w:rsidRPr="00B47A6C">
        <w:t> für das Gebot des Werbetreibenden, </w:t>
      </w:r>
      <w:proofErr w:type="spellStart"/>
      <w:r w:rsidRPr="00B47A6C">
        <w:rPr>
          <w:i/>
          <w:iCs/>
        </w:rPr>
        <w:t>pctr</w:t>
      </w:r>
      <w:proofErr w:type="spellEnd"/>
      <w:r w:rsidRPr="00B47A6C">
        <w:t> für die vorhergesagte Klickrate (Qualität) und </w:t>
      </w:r>
      <w:r w:rsidRPr="00B47A6C">
        <w:rPr>
          <w:i/>
          <w:iCs/>
        </w:rPr>
        <w:t>β</w:t>
      </w:r>
      <w:r w:rsidRPr="00B47A6C">
        <w:t xml:space="preserve"> für die Kosten der „Anzeigenblindheit“ (Blindness </w:t>
      </w:r>
      <w:proofErr w:type="spellStart"/>
      <w:r w:rsidRPr="00B47A6C">
        <w:t>cost</w:t>
      </w:r>
      <w:proofErr w:type="spellEnd"/>
      <w:r w:rsidRPr="00B47A6C">
        <w:t>). Diese Formel ermöglicht es Google, nicht nur das höchste Gebot, sondern auch die Relevanz und Nutzererfahrung in den Rang einzubeziehen.</w:t>
      </w:r>
    </w:p>
    <w:p w14:paraId="5923481A" w14:textId="77777777" w:rsidR="00B47A6C" w:rsidRPr="00B47A6C" w:rsidRDefault="00B47A6C" w:rsidP="00B47A6C">
      <w:r w:rsidRPr="00B47A6C">
        <w:rPr>
          <w:b/>
          <w:bCs/>
        </w:rPr>
        <w:t xml:space="preserve">Pricing </w:t>
      </w:r>
      <w:proofErr w:type="spellStart"/>
      <w:r w:rsidRPr="00B47A6C">
        <w:rPr>
          <w:b/>
          <w:bCs/>
        </w:rPr>
        <w:t>Knobs</w:t>
      </w:r>
      <w:proofErr w:type="spellEnd"/>
      <w:r w:rsidRPr="00B47A6C">
        <w:rPr>
          <w:b/>
          <w:bCs/>
        </w:rPr>
        <w:t xml:space="preserve">: </w:t>
      </w:r>
      <w:proofErr w:type="spellStart"/>
      <w:r w:rsidRPr="00B47A6C">
        <w:rPr>
          <w:b/>
          <w:bCs/>
        </w:rPr>
        <w:t>Squashing</w:t>
      </w:r>
      <w:proofErr w:type="spellEnd"/>
      <w:r w:rsidRPr="00B47A6C">
        <w:rPr>
          <w:b/>
          <w:bCs/>
        </w:rPr>
        <w:t xml:space="preserve"> und Reserve Prices</w:t>
      </w:r>
      <w:r w:rsidRPr="00B47A6C">
        <w:t xml:space="preserve"> Google nutzt verschiedene „Pricing </w:t>
      </w:r>
      <w:proofErr w:type="spellStart"/>
      <w:r w:rsidRPr="00B47A6C">
        <w:t>Knobs</w:t>
      </w:r>
      <w:proofErr w:type="spellEnd"/>
      <w:r w:rsidRPr="00B47A6C">
        <w:t>“ (Stellschrauben), um den Umsatz (RPM – Revenue per Mille) zu optimieren. Ein zentraler Mechanismus ist das </w:t>
      </w:r>
      <w:r w:rsidRPr="00B47A6C">
        <w:rPr>
          <w:b/>
          <w:bCs/>
        </w:rPr>
        <w:t>„</w:t>
      </w:r>
      <w:proofErr w:type="spellStart"/>
      <w:r w:rsidRPr="00B47A6C">
        <w:rPr>
          <w:b/>
          <w:bCs/>
        </w:rPr>
        <w:t>Squashing</w:t>
      </w:r>
      <w:proofErr w:type="spellEnd"/>
      <w:r w:rsidRPr="00B47A6C">
        <w:rPr>
          <w:b/>
          <w:bCs/>
        </w:rPr>
        <w:t>“</w:t>
      </w:r>
      <w:r w:rsidRPr="00B47A6C">
        <w:t> (z. B. in Projekten wie </w:t>
      </w:r>
      <w:proofErr w:type="spellStart"/>
      <w:r w:rsidRPr="00B47A6C">
        <w:rPr>
          <w:b/>
          <w:bCs/>
        </w:rPr>
        <w:t>Potiron</w:t>
      </w:r>
      <w:proofErr w:type="spellEnd"/>
      <w:r w:rsidRPr="00B47A6C">
        <w:t>), bei dem der Qualitätsfaktor (</w:t>
      </w:r>
      <w:proofErr w:type="spellStart"/>
      <w:r w:rsidRPr="00B47A6C">
        <w:rPr>
          <w:i/>
          <w:iCs/>
        </w:rPr>
        <w:t>pctr</w:t>
      </w:r>
      <w:proofErr w:type="spellEnd"/>
      <w:r w:rsidRPr="00B47A6C">
        <w:t>) künstlich komprimiert wird. Dies reduziert den Vorteil qualitativ hochwertiger Bieter und zwingt diese zu höheren Geboten, um ihre Position gegen weniger relevante Wettbewerber zu verteidigen. Ergänzt wird dies durch </w:t>
      </w:r>
      <w:r w:rsidRPr="00B47A6C">
        <w:rPr>
          <w:b/>
          <w:bCs/>
        </w:rPr>
        <w:t>Reserve Prices</w:t>
      </w:r>
      <w:r w:rsidRPr="00B47A6C">
        <w:t> (Mindestpreise), unter denen keine Anzeige geschaltet wird, selbst wenn kein Wettbewerb besteht. Diese Reserven werden oft „blindheitsbewusst“ (</w:t>
      </w:r>
      <w:proofErr w:type="spellStart"/>
      <w:r w:rsidRPr="00B47A6C">
        <w:t>blindness</w:t>
      </w:r>
      <w:proofErr w:type="spellEnd"/>
      <w:r w:rsidRPr="00B47A6C">
        <w:t xml:space="preserve"> </w:t>
      </w:r>
      <w:proofErr w:type="spellStart"/>
      <w:r w:rsidRPr="00B47A6C">
        <w:t>aware</w:t>
      </w:r>
      <w:proofErr w:type="spellEnd"/>
      <w:r w:rsidRPr="00B47A6C">
        <w:t>) gesetzt, um den langfristigen Wert zu schützen.</w:t>
      </w:r>
    </w:p>
    <w:p w14:paraId="3991FA3E" w14:textId="77777777" w:rsidR="00B47A6C" w:rsidRPr="00B47A6C" w:rsidRDefault="00B47A6C" w:rsidP="00B47A6C">
      <w:r w:rsidRPr="00B47A6C">
        <w:rPr>
          <w:b/>
          <w:bCs/>
        </w:rPr>
        <w:t xml:space="preserve">Project </w:t>
      </w:r>
      <w:proofErr w:type="spellStart"/>
      <w:r w:rsidRPr="00B47A6C">
        <w:rPr>
          <w:b/>
          <w:bCs/>
        </w:rPr>
        <w:t>Momiji</w:t>
      </w:r>
      <w:proofErr w:type="spellEnd"/>
      <w:r w:rsidRPr="00B47A6C">
        <w:rPr>
          <w:b/>
          <w:bCs/>
        </w:rPr>
        <w:t xml:space="preserve"> und Format Pricing</w:t>
      </w:r>
      <w:r w:rsidRPr="00B47A6C">
        <w:t> </w:t>
      </w:r>
      <w:r w:rsidRPr="00B47A6C">
        <w:rPr>
          <w:b/>
          <w:bCs/>
        </w:rPr>
        <w:t xml:space="preserve">Project </w:t>
      </w:r>
      <w:proofErr w:type="spellStart"/>
      <w:r w:rsidRPr="00B47A6C">
        <w:rPr>
          <w:b/>
          <w:bCs/>
        </w:rPr>
        <w:t>Momiji</w:t>
      </w:r>
      <w:proofErr w:type="spellEnd"/>
      <w:r w:rsidRPr="00B47A6C">
        <w:t> war einer der Mechanismen, die Google einsetzte, um CPC-Änderungen (</w:t>
      </w:r>
      <w:proofErr w:type="spellStart"/>
      <w:r w:rsidRPr="00B47A6C">
        <w:t>Cost</w:t>
      </w:r>
      <w:proofErr w:type="spellEnd"/>
      <w:r w:rsidRPr="00B47A6C">
        <w:t xml:space="preserve">-per-Click) zu testen und durchzusetzen. Interne Analysen zeigten bei </w:t>
      </w:r>
      <w:proofErr w:type="spellStart"/>
      <w:r w:rsidRPr="00B47A6C">
        <w:t>Momiji</w:t>
      </w:r>
      <w:proofErr w:type="spellEnd"/>
      <w:r w:rsidRPr="00B47A6C">
        <w:t xml:space="preserve"> eine CPC-Verschiebung von über 12,5 % bei einem signifikanten Anteil der </w:t>
      </w:r>
      <w:r w:rsidRPr="00B47A6C">
        <w:lastRenderedPageBreak/>
        <w:t>Anzeigengruppen. Ein weiteres Instrument ist das </w:t>
      </w:r>
      <w:r w:rsidRPr="00B47A6C">
        <w:rPr>
          <w:b/>
          <w:bCs/>
        </w:rPr>
        <w:t>Format Pricing</w:t>
      </w:r>
      <w:r w:rsidRPr="00B47A6C">
        <w:t xml:space="preserve"> (z. B. im AION-Experiment), </w:t>
      </w:r>
      <w:proofErr w:type="gramStart"/>
      <w:r w:rsidRPr="00B47A6C">
        <w:t>bei dem Preise</w:t>
      </w:r>
      <w:proofErr w:type="gramEnd"/>
      <w:r w:rsidRPr="00B47A6C">
        <w:t xml:space="preserve"> für erweiterte Anzeigenformate erhöht wurden. Google stellte fest, dass es im Format Pricing erheblichen „</w:t>
      </w:r>
      <w:proofErr w:type="spellStart"/>
      <w:r w:rsidRPr="00B47A6C">
        <w:t>Headroom</w:t>
      </w:r>
      <w:proofErr w:type="spellEnd"/>
      <w:r w:rsidRPr="00B47A6C">
        <w:t>“ (Spielraum) gab, da Werbetreibende trotz Preissteigerungen kaum ihr Budget abzogen.</w:t>
      </w:r>
    </w:p>
    <w:p w14:paraId="3039EC79" w14:textId="77777777" w:rsidR="00B47A6C" w:rsidRPr="00B47A6C" w:rsidRDefault="00B47A6C" w:rsidP="00B47A6C">
      <w:r w:rsidRPr="00B47A6C">
        <w:rPr>
          <w:b/>
          <w:bCs/>
        </w:rPr>
        <w:t>Einschätzung des DOJ und des Gerichts</w:t>
      </w:r>
      <w:r w:rsidRPr="00B47A6C">
        <w:t> Das DOJ und das Gericht werten diese Mechanismen als Beweis für Googles Monopolmacht. Die Dokumente belegen, dass Google die Auktionsparameter einseitig verändern konnte, um Milliarden an inkrementellem Umsatz zu generieren, ohne dass Werbetreibende nennenswert zu Konkurrenten wie Bing abwanderten. Besonders kritisiert wird die „</w:t>
      </w:r>
      <w:proofErr w:type="spellStart"/>
      <w:r w:rsidRPr="00B47A6C">
        <w:t>Stickiness</w:t>
      </w:r>
      <w:proofErr w:type="spellEnd"/>
      <w:r w:rsidRPr="00B47A6C">
        <w:t>“ (Beständigkeit) dieser Preiserhöhungen: Werbetreibende reagieren oft nicht unmittelbar auf moderate CPC-Steigerungen durch diese „</w:t>
      </w:r>
      <w:proofErr w:type="spellStart"/>
      <w:r w:rsidRPr="00B47A6C">
        <w:t>Knobs</w:t>
      </w:r>
      <w:proofErr w:type="spellEnd"/>
      <w:r w:rsidRPr="00B47A6C">
        <w:t>“, da sie diese meist auf externe Marktfaktoren zurückführen.</w:t>
      </w:r>
    </w:p>
    <w:p w14:paraId="542A61AB" w14:textId="77777777" w:rsidR="00B47A6C" w:rsidRDefault="00B47A6C"/>
    <w:p w14:paraId="1635467D" w14:textId="77777777" w:rsidR="00B47A6C" w:rsidRPr="00B47A6C" w:rsidRDefault="00B47A6C" w:rsidP="00B47A6C">
      <w:r w:rsidRPr="00B47A6C">
        <w:t>Die vorliegenden Dokumente, insbesondere das Mehta-Haftungsurteil und interne Google-Präsentationen (UPX-Serie), nennen eine Vielzahl an konkreten Prozentwerten und Dollar-Beträgen, die den finanziellen Erfolg dieser Mechanismen belegen.</w:t>
      </w:r>
    </w:p>
    <w:p w14:paraId="14DDE162" w14:textId="77777777" w:rsidR="00B47A6C" w:rsidRPr="00B47A6C" w:rsidRDefault="00B47A6C" w:rsidP="00B47A6C">
      <w:r w:rsidRPr="00B47A6C">
        <w:t>Hier sind die in den Quellen genannten Zahlen, aufgeteilt nach den jeweiligen Mechanismen:</w:t>
      </w:r>
    </w:p>
    <w:p w14:paraId="1F1C3A61" w14:textId="77777777" w:rsidR="00B47A6C" w:rsidRPr="00B47A6C" w:rsidRDefault="00B47A6C" w:rsidP="00B47A6C">
      <w:r w:rsidRPr="00B47A6C">
        <w:rPr>
          <w:b/>
          <w:bCs/>
        </w:rPr>
        <w:t xml:space="preserve">Allgemeine Zahlen zu „Pricing </w:t>
      </w:r>
      <w:proofErr w:type="spellStart"/>
      <w:r w:rsidRPr="00B47A6C">
        <w:rPr>
          <w:b/>
          <w:bCs/>
        </w:rPr>
        <w:t>Knobs</w:t>
      </w:r>
      <w:proofErr w:type="spellEnd"/>
      <w:r w:rsidRPr="00B47A6C">
        <w:rPr>
          <w:b/>
          <w:bCs/>
        </w:rPr>
        <w:t>“ und „Intentional Pricing“</w:t>
      </w:r>
    </w:p>
    <w:p w14:paraId="18F8638C" w14:textId="77777777" w:rsidR="00B47A6C" w:rsidRPr="00B47A6C" w:rsidRDefault="00B47A6C" w:rsidP="00B47A6C">
      <w:pPr>
        <w:numPr>
          <w:ilvl w:val="0"/>
          <w:numId w:val="6"/>
        </w:numPr>
      </w:pPr>
      <w:r w:rsidRPr="00B47A6C">
        <w:rPr>
          <w:b/>
          <w:bCs/>
        </w:rPr>
        <w:t>Preiserhöhungen:</w:t>
      </w:r>
      <w:r w:rsidRPr="00B47A6C">
        <w:t> Google nutzte diese Stellschrauben, um die Preise für Textanzeigen (CPC) oft um </w:t>
      </w:r>
      <w:r w:rsidRPr="00B47A6C">
        <w:rPr>
          <w:b/>
          <w:bCs/>
        </w:rPr>
        <w:t>5 % bis 15 %</w:t>
      </w:r>
      <w:r w:rsidRPr="00B47A6C">
        <w:t> pro Maßnahme zu erhöhen.</w:t>
      </w:r>
    </w:p>
    <w:p w14:paraId="0C0FB034" w14:textId="77777777" w:rsidR="00B47A6C" w:rsidRPr="00B47A6C" w:rsidRDefault="00B47A6C" w:rsidP="00B47A6C">
      <w:pPr>
        <w:numPr>
          <w:ilvl w:val="0"/>
          <w:numId w:val="6"/>
        </w:numPr>
      </w:pPr>
      <w:r w:rsidRPr="00B47A6C">
        <w:rPr>
          <w:b/>
          <w:bCs/>
        </w:rPr>
        <w:t>Inkrementeller Umsatz:</w:t>
      </w:r>
      <w:r w:rsidRPr="00B47A6C">
        <w:t> Die Summe dieser Mechanismen fügte dem jährlichen Umsatz </w:t>
      </w:r>
      <w:r w:rsidRPr="00B47A6C">
        <w:rPr>
          <w:b/>
          <w:bCs/>
        </w:rPr>
        <w:t>mehrere Milliarden Dollar</w:t>
      </w:r>
      <w:r w:rsidRPr="00B47A6C">
        <w:t> hinzu.</w:t>
      </w:r>
    </w:p>
    <w:p w14:paraId="50E77329" w14:textId="77777777" w:rsidR="00B47A6C" w:rsidRPr="00B47A6C" w:rsidRDefault="00B47A6C" w:rsidP="00B47A6C">
      <w:pPr>
        <w:numPr>
          <w:ilvl w:val="0"/>
          <w:numId w:val="6"/>
        </w:numPr>
      </w:pPr>
      <w:r w:rsidRPr="00B47A6C">
        <w:rPr>
          <w:b/>
          <w:bCs/>
        </w:rPr>
        <w:t>„</w:t>
      </w:r>
      <w:proofErr w:type="spellStart"/>
      <w:r w:rsidRPr="00B47A6C">
        <w:rPr>
          <w:b/>
          <w:bCs/>
        </w:rPr>
        <w:t>Stickage</w:t>
      </w:r>
      <w:proofErr w:type="spellEnd"/>
      <w:r w:rsidRPr="00B47A6C">
        <w:rPr>
          <w:b/>
          <w:bCs/>
        </w:rPr>
        <w:t>“ (Beständigkeit):</w:t>
      </w:r>
      <w:r w:rsidRPr="00B47A6C">
        <w:t> Google erzielte bei Preisexperimenten konsequent eine Beständigkeitsrate von </w:t>
      </w:r>
      <w:r w:rsidRPr="00B47A6C">
        <w:rPr>
          <w:b/>
          <w:bCs/>
        </w:rPr>
        <w:t>50 %</w:t>
      </w:r>
      <w:r w:rsidRPr="00B47A6C">
        <w:t>, was bedeutet, dass die Hälfte der anfänglichen Umsatzgewinne langfristig erhalten blieb.</w:t>
      </w:r>
    </w:p>
    <w:p w14:paraId="5A39D58B" w14:textId="77777777" w:rsidR="00B47A6C" w:rsidRPr="00B47A6C" w:rsidRDefault="00B47A6C" w:rsidP="00B47A6C">
      <w:pPr>
        <w:numPr>
          <w:ilvl w:val="0"/>
          <w:numId w:val="6"/>
        </w:numPr>
      </w:pPr>
      <w:r w:rsidRPr="00B47A6C">
        <w:rPr>
          <w:b/>
          <w:bCs/>
        </w:rPr>
        <w:t>Umsatzwachstum:</w:t>
      </w:r>
      <w:r w:rsidRPr="00B47A6C">
        <w:t> Diese Praktiken trugen dazu bei, dass Googles Werbeumsatz über Jahre hinweg stabil bei etwa </w:t>
      </w:r>
      <w:r w:rsidRPr="00B47A6C">
        <w:rPr>
          <w:b/>
          <w:bCs/>
        </w:rPr>
        <w:t>20 % oder mehr pro Jahr</w:t>
      </w:r>
      <w:r w:rsidRPr="00B47A6C">
        <w:t> wuchs.</w:t>
      </w:r>
    </w:p>
    <w:p w14:paraId="77C213AE" w14:textId="77777777" w:rsidR="00B47A6C" w:rsidRPr="00B47A6C" w:rsidRDefault="00B47A6C" w:rsidP="00B47A6C">
      <w:r w:rsidRPr="00B47A6C">
        <w:rPr>
          <w:b/>
          <w:bCs/>
        </w:rPr>
        <w:t xml:space="preserve">Format Pricing &amp; Project </w:t>
      </w:r>
      <w:proofErr w:type="spellStart"/>
      <w:r w:rsidRPr="00B47A6C">
        <w:rPr>
          <w:b/>
          <w:bCs/>
        </w:rPr>
        <w:t>Momiji</w:t>
      </w:r>
      <w:proofErr w:type="spellEnd"/>
    </w:p>
    <w:p w14:paraId="6B79E069" w14:textId="77777777" w:rsidR="00B47A6C" w:rsidRPr="00B47A6C" w:rsidRDefault="00B47A6C" w:rsidP="00B47A6C">
      <w:pPr>
        <w:numPr>
          <w:ilvl w:val="0"/>
          <w:numId w:val="7"/>
        </w:numPr>
      </w:pPr>
      <w:r w:rsidRPr="00B47A6C">
        <w:rPr>
          <w:b/>
          <w:bCs/>
        </w:rPr>
        <w:t xml:space="preserve">Project </w:t>
      </w:r>
      <w:proofErr w:type="spellStart"/>
      <w:r w:rsidRPr="00B47A6C">
        <w:rPr>
          <w:b/>
          <w:bCs/>
        </w:rPr>
        <w:t>Momiji</w:t>
      </w:r>
      <w:proofErr w:type="spellEnd"/>
      <w:r w:rsidRPr="00B47A6C">
        <w:rPr>
          <w:b/>
          <w:bCs/>
        </w:rPr>
        <w:t xml:space="preserve"> (2017):</w:t>
      </w:r>
      <w:r w:rsidRPr="00B47A6C">
        <w:t> Google testete Preiserhöhungen bei Anzeigenformaten von </w:t>
      </w:r>
      <w:r w:rsidRPr="00B47A6C">
        <w:rPr>
          <w:b/>
          <w:bCs/>
        </w:rPr>
        <w:t>15 %</w:t>
      </w:r>
      <w:r w:rsidRPr="00B47A6C">
        <w:t> und stellte fest, dass Werbetreibende darauf kaum reagierten („</w:t>
      </w:r>
      <w:proofErr w:type="spellStart"/>
      <w:r w:rsidRPr="00B47A6C">
        <w:t>heard</w:t>
      </w:r>
      <w:proofErr w:type="spellEnd"/>
      <w:r w:rsidRPr="00B47A6C">
        <w:t xml:space="preserve"> </w:t>
      </w:r>
      <w:proofErr w:type="spellStart"/>
      <w:r w:rsidRPr="00B47A6C">
        <w:t>nothing</w:t>
      </w:r>
      <w:proofErr w:type="spellEnd"/>
      <w:r w:rsidRPr="00B47A6C">
        <w:t>“).</w:t>
      </w:r>
    </w:p>
    <w:p w14:paraId="3DA3130E" w14:textId="77777777" w:rsidR="00B47A6C" w:rsidRPr="00B47A6C" w:rsidRDefault="00B47A6C" w:rsidP="00B47A6C">
      <w:pPr>
        <w:numPr>
          <w:ilvl w:val="0"/>
          <w:numId w:val="7"/>
        </w:numPr>
      </w:pPr>
      <w:r w:rsidRPr="00B47A6C">
        <w:rPr>
          <w:b/>
          <w:bCs/>
        </w:rPr>
        <w:t>Tail Impacts (</w:t>
      </w:r>
      <w:proofErr w:type="spellStart"/>
      <w:r w:rsidRPr="00B47A6C">
        <w:rPr>
          <w:b/>
          <w:bCs/>
        </w:rPr>
        <w:t>Momiji</w:t>
      </w:r>
      <w:proofErr w:type="spellEnd"/>
      <w:r w:rsidRPr="00B47A6C">
        <w:rPr>
          <w:b/>
          <w:bCs/>
        </w:rPr>
        <w:t>):</w:t>
      </w:r>
      <w:r w:rsidRPr="00B47A6C">
        <w:t xml:space="preserve"> Bei </w:t>
      </w:r>
      <w:proofErr w:type="spellStart"/>
      <w:r w:rsidRPr="00B47A6C">
        <w:t>Momiji</w:t>
      </w:r>
      <w:proofErr w:type="spellEnd"/>
      <w:r w:rsidRPr="00B47A6C">
        <w:t xml:space="preserve"> verzeichneten </w:t>
      </w:r>
      <w:r w:rsidRPr="00B47A6C">
        <w:rPr>
          <w:b/>
          <w:bCs/>
        </w:rPr>
        <w:t>13,4 %</w:t>
      </w:r>
      <w:r w:rsidRPr="00B47A6C">
        <w:t> der Anzeigengruppen eine CPC-Änderung, die über dem Schwellenwert von 12,5 % lag. Die langfristige Beständigkeit in diesen Gruppen lag bei </w:t>
      </w:r>
      <w:r w:rsidRPr="00B47A6C">
        <w:rPr>
          <w:b/>
          <w:bCs/>
        </w:rPr>
        <w:t>21 %</w:t>
      </w:r>
      <w:r w:rsidRPr="00B47A6C">
        <w:t>.</w:t>
      </w:r>
    </w:p>
    <w:p w14:paraId="341EE41E" w14:textId="77777777" w:rsidR="00B47A6C" w:rsidRPr="00B47A6C" w:rsidRDefault="00B47A6C" w:rsidP="00B47A6C">
      <w:pPr>
        <w:numPr>
          <w:ilvl w:val="0"/>
          <w:numId w:val="7"/>
        </w:numPr>
      </w:pPr>
      <w:r w:rsidRPr="00B47A6C">
        <w:rPr>
          <w:b/>
          <w:bCs/>
        </w:rPr>
        <w:t>Umsatzanteil:</w:t>
      </w:r>
      <w:r w:rsidRPr="00B47A6C">
        <w:t xml:space="preserve"> Bevor es durch </w:t>
      </w:r>
      <w:proofErr w:type="spellStart"/>
      <w:r w:rsidRPr="00B47A6C">
        <w:t>rGSP</w:t>
      </w:r>
      <w:proofErr w:type="spellEnd"/>
      <w:r w:rsidRPr="00B47A6C">
        <w:t xml:space="preserve"> ersetzt wurde, machte Format Pricing etwa </w:t>
      </w:r>
      <w:r w:rsidRPr="00B47A6C">
        <w:rPr>
          <w:b/>
          <w:bCs/>
        </w:rPr>
        <w:t>20 % des RPM</w:t>
      </w:r>
      <w:r w:rsidRPr="00B47A6C">
        <w:t> (Umsatz pro tausend Suchanfragen) bei Google-Textanzeigen aus.</w:t>
      </w:r>
    </w:p>
    <w:p w14:paraId="2022192F" w14:textId="77777777" w:rsidR="00B47A6C" w:rsidRPr="00B47A6C" w:rsidRDefault="00B47A6C" w:rsidP="00B47A6C">
      <w:pPr>
        <w:numPr>
          <w:ilvl w:val="0"/>
          <w:numId w:val="7"/>
        </w:numPr>
      </w:pPr>
      <w:r w:rsidRPr="00B47A6C">
        <w:rPr>
          <w:b/>
          <w:bCs/>
        </w:rPr>
        <w:t>Gamma Yellow (2017):</w:t>
      </w:r>
      <w:r w:rsidRPr="00B47A6C">
        <w:t> In diesem Experiment wurden </w:t>
      </w:r>
      <w:r w:rsidRPr="00B47A6C">
        <w:rPr>
          <w:b/>
          <w:bCs/>
        </w:rPr>
        <w:t>15 % der Werbetreibenden</w:t>
      </w:r>
      <w:r w:rsidRPr="00B47A6C">
        <w:t> stark erhöhten Formatpreisen ausgesetzt. Google stellte fest, dass </w:t>
      </w:r>
      <w:r w:rsidRPr="00B47A6C">
        <w:rPr>
          <w:b/>
          <w:bCs/>
        </w:rPr>
        <w:t>50 % der Gewinne</w:t>
      </w:r>
      <w:r w:rsidRPr="00B47A6C">
        <w:t> dauerhaft blieben.</w:t>
      </w:r>
    </w:p>
    <w:p w14:paraId="572CE216" w14:textId="77777777" w:rsidR="00B47A6C" w:rsidRPr="00B47A6C" w:rsidRDefault="00B47A6C" w:rsidP="00B47A6C">
      <w:pPr>
        <w:numPr>
          <w:ilvl w:val="0"/>
          <w:numId w:val="7"/>
        </w:numPr>
      </w:pPr>
      <w:r w:rsidRPr="00B47A6C">
        <w:rPr>
          <w:b/>
          <w:bCs/>
        </w:rPr>
        <w:t>AION (2018):</w:t>
      </w:r>
      <w:r w:rsidRPr="00B47A6C">
        <w:t> Ein sechsmonatiges Experiment mit einer Preisänderung von </w:t>
      </w:r>
      <w:r w:rsidRPr="00B47A6C">
        <w:rPr>
          <w:b/>
          <w:bCs/>
        </w:rPr>
        <w:t>15 %</w:t>
      </w:r>
      <w:r w:rsidRPr="00B47A6C">
        <w:t>, bei dem sich die Gewinne ebenfalls bei etwa der </w:t>
      </w:r>
      <w:r w:rsidRPr="00B47A6C">
        <w:rPr>
          <w:b/>
          <w:bCs/>
        </w:rPr>
        <w:t>Hälfte der ursprünglichen Steigerung</w:t>
      </w:r>
      <w:r w:rsidRPr="00B47A6C">
        <w:t> stabilisierten.</w:t>
      </w:r>
    </w:p>
    <w:p w14:paraId="6FEA40CD" w14:textId="77777777" w:rsidR="00B47A6C" w:rsidRPr="00B47A6C" w:rsidRDefault="00B47A6C" w:rsidP="00B47A6C">
      <w:proofErr w:type="spellStart"/>
      <w:r w:rsidRPr="00B47A6C">
        <w:rPr>
          <w:b/>
          <w:bCs/>
        </w:rPr>
        <w:lastRenderedPageBreak/>
        <w:t>Squashing</w:t>
      </w:r>
      <w:proofErr w:type="spellEnd"/>
      <w:r w:rsidRPr="00B47A6C">
        <w:rPr>
          <w:b/>
          <w:bCs/>
        </w:rPr>
        <w:t xml:space="preserve"> (</w:t>
      </w:r>
      <w:proofErr w:type="spellStart"/>
      <w:r w:rsidRPr="00B47A6C">
        <w:rPr>
          <w:b/>
          <w:bCs/>
        </w:rPr>
        <w:t>Potiron</w:t>
      </w:r>
      <w:proofErr w:type="spellEnd"/>
      <w:r w:rsidRPr="00B47A6C">
        <w:rPr>
          <w:b/>
          <w:bCs/>
        </w:rPr>
        <w:t xml:space="preserve"> &amp; </w:t>
      </w:r>
      <w:proofErr w:type="spellStart"/>
      <w:r w:rsidRPr="00B47A6C">
        <w:rPr>
          <w:b/>
          <w:bCs/>
        </w:rPr>
        <w:t>Kabocha</w:t>
      </w:r>
      <w:proofErr w:type="spellEnd"/>
      <w:r w:rsidRPr="00B47A6C">
        <w:rPr>
          <w:b/>
          <w:bCs/>
        </w:rPr>
        <w:t>)</w:t>
      </w:r>
    </w:p>
    <w:p w14:paraId="08C4FE60" w14:textId="77777777" w:rsidR="00B47A6C" w:rsidRPr="00B47A6C" w:rsidRDefault="00B47A6C" w:rsidP="00B47A6C">
      <w:pPr>
        <w:numPr>
          <w:ilvl w:val="0"/>
          <w:numId w:val="8"/>
        </w:numPr>
      </w:pPr>
      <w:r w:rsidRPr="00B47A6C">
        <w:rPr>
          <w:b/>
          <w:bCs/>
        </w:rPr>
        <w:t xml:space="preserve">Project </w:t>
      </w:r>
      <w:proofErr w:type="spellStart"/>
      <w:r w:rsidRPr="00B47A6C">
        <w:rPr>
          <w:b/>
          <w:bCs/>
        </w:rPr>
        <w:t>Kabocha</w:t>
      </w:r>
      <w:proofErr w:type="spellEnd"/>
      <w:r w:rsidRPr="00B47A6C">
        <w:rPr>
          <w:b/>
          <w:bCs/>
        </w:rPr>
        <w:t xml:space="preserve"> (2017):</w:t>
      </w:r>
      <w:r w:rsidRPr="00B47A6C">
        <w:t> Google erwartete, dass </w:t>
      </w:r>
      <w:r w:rsidRPr="00B47A6C">
        <w:rPr>
          <w:b/>
          <w:bCs/>
        </w:rPr>
        <w:t>50 % der Gewinne</w:t>
      </w:r>
      <w:r w:rsidRPr="00B47A6C">
        <w:t> nach der Reaktion der Werbetreibenden bestehen bleiben würden. Hier verzeichneten </w:t>
      </w:r>
      <w:r w:rsidRPr="00B47A6C">
        <w:rPr>
          <w:b/>
          <w:bCs/>
        </w:rPr>
        <w:t>3,5 %</w:t>
      </w:r>
      <w:r w:rsidRPr="00B47A6C">
        <w:t> der Gruppen signifikante CPC-Sprünge (&gt; 12,5 %) mit einer Beständigkeit von </w:t>
      </w:r>
      <w:r w:rsidRPr="00B47A6C">
        <w:rPr>
          <w:b/>
          <w:bCs/>
        </w:rPr>
        <w:t>20 %</w:t>
      </w:r>
      <w:r w:rsidRPr="00B47A6C">
        <w:t>.</w:t>
      </w:r>
    </w:p>
    <w:p w14:paraId="085F4CC5" w14:textId="77777777" w:rsidR="00B47A6C" w:rsidRPr="00B47A6C" w:rsidRDefault="00B47A6C" w:rsidP="00B47A6C">
      <w:pPr>
        <w:numPr>
          <w:ilvl w:val="0"/>
          <w:numId w:val="8"/>
        </w:numPr>
      </w:pPr>
      <w:r w:rsidRPr="00B47A6C">
        <w:rPr>
          <w:b/>
          <w:bCs/>
        </w:rPr>
        <w:t xml:space="preserve">Project </w:t>
      </w:r>
      <w:proofErr w:type="spellStart"/>
      <w:r w:rsidRPr="00B47A6C">
        <w:rPr>
          <w:b/>
          <w:bCs/>
        </w:rPr>
        <w:t>Potiron</w:t>
      </w:r>
      <w:proofErr w:type="spellEnd"/>
      <w:r w:rsidRPr="00B47A6C">
        <w:rPr>
          <w:b/>
          <w:bCs/>
        </w:rPr>
        <w:t xml:space="preserve"> (2018):</w:t>
      </w:r>
      <w:r w:rsidRPr="00B47A6C">
        <w:t> Zeigte ebenfalls eine langfristige Beständigkeit (</w:t>
      </w:r>
      <w:r w:rsidRPr="00B47A6C">
        <w:rPr>
          <w:b/>
          <w:bCs/>
        </w:rPr>
        <w:t>„</w:t>
      </w:r>
      <w:proofErr w:type="spellStart"/>
      <w:r w:rsidRPr="00B47A6C">
        <w:rPr>
          <w:b/>
          <w:bCs/>
        </w:rPr>
        <w:t>stickage</w:t>
      </w:r>
      <w:proofErr w:type="spellEnd"/>
      <w:r w:rsidRPr="00B47A6C">
        <w:rPr>
          <w:b/>
          <w:bCs/>
        </w:rPr>
        <w:t>“</w:t>
      </w:r>
      <w:r w:rsidRPr="00B47A6C">
        <w:t>) von </w:t>
      </w:r>
      <w:r w:rsidRPr="00B47A6C">
        <w:rPr>
          <w:b/>
          <w:bCs/>
        </w:rPr>
        <w:t>50 %</w:t>
      </w:r>
      <w:r w:rsidRPr="00B47A6C">
        <w:t>. </w:t>
      </w:r>
      <w:r w:rsidRPr="00B47A6C">
        <w:rPr>
          <w:b/>
          <w:bCs/>
        </w:rPr>
        <w:t>4 %</w:t>
      </w:r>
      <w:r w:rsidRPr="00B47A6C">
        <w:t> der Anzeigengruppen sahen CPC-Steigerungen über 12,5 %, bei einer Beständigkeit von </w:t>
      </w:r>
      <w:r w:rsidRPr="00B47A6C">
        <w:rPr>
          <w:b/>
          <w:bCs/>
        </w:rPr>
        <w:t>31 %</w:t>
      </w:r>
      <w:r w:rsidRPr="00B47A6C">
        <w:t>.</w:t>
      </w:r>
    </w:p>
    <w:p w14:paraId="4B10D544" w14:textId="77777777" w:rsidR="00B47A6C" w:rsidRPr="00B47A6C" w:rsidRDefault="00B47A6C" w:rsidP="00B47A6C">
      <w:pPr>
        <w:numPr>
          <w:ilvl w:val="0"/>
          <w:numId w:val="8"/>
        </w:numPr>
      </w:pPr>
      <w:r w:rsidRPr="00B47A6C">
        <w:rPr>
          <w:b/>
          <w:bCs/>
        </w:rPr>
        <w:t>Erfolgsrate:</w:t>
      </w:r>
      <w:r w:rsidRPr="00B47A6C">
        <w:t> </w:t>
      </w:r>
      <w:proofErr w:type="spellStart"/>
      <w:r w:rsidRPr="00B47A6C">
        <w:t>Squashing</w:t>
      </w:r>
      <w:proofErr w:type="spellEnd"/>
      <w:r w:rsidRPr="00B47A6C">
        <w:t xml:space="preserve"> lieferte in </w:t>
      </w:r>
      <w:r w:rsidRPr="00B47A6C">
        <w:rPr>
          <w:b/>
          <w:bCs/>
        </w:rPr>
        <w:t>60 % der Fälle</w:t>
      </w:r>
      <w:r w:rsidRPr="00B47A6C">
        <w:t> das gewünschte Ergebnis (höhere CPCs).</w:t>
      </w:r>
    </w:p>
    <w:p w14:paraId="5FD27847" w14:textId="77777777" w:rsidR="00B47A6C" w:rsidRPr="00B47A6C" w:rsidRDefault="00B47A6C" w:rsidP="00B47A6C">
      <w:pPr>
        <w:numPr>
          <w:ilvl w:val="0"/>
          <w:numId w:val="8"/>
        </w:numPr>
      </w:pPr>
      <w:r w:rsidRPr="00B47A6C">
        <w:rPr>
          <w:b/>
          <w:bCs/>
        </w:rPr>
        <w:t>Auswirkungen auf Platzierungen:</w:t>
      </w:r>
      <w:r w:rsidRPr="00B47A6C">
        <w:t xml:space="preserve"> Trotz </w:t>
      </w:r>
      <w:proofErr w:type="spellStart"/>
      <w:r w:rsidRPr="00B47A6C">
        <w:t>Squashing</w:t>
      </w:r>
      <w:proofErr w:type="spellEnd"/>
      <w:r w:rsidRPr="00B47A6C">
        <w:t xml:space="preserve"> blieben bei </w:t>
      </w:r>
      <w:r w:rsidRPr="00B47A6C">
        <w:rPr>
          <w:b/>
          <w:bCs/>
        </w:rPr>
        <w:t>95 % der Anfragen</w:t>
      </w:r>
      <w:r w:rsidRPr="00B47A6C">
        <w:t xml:space="preserve"> (gemessen an Klicks und </w:t>
      </w:r>
      <w:proofErr w:type="spellStart"/>
      <w:r w:rsidRPr="00B47A6C">
        <w:t>Impressions</w:t>
      </w:r>
      <w:proofErr w:type="spellEnd"/>
      <w:r w:rsidRPr="00B47A6C">
        <w:t>) die gleichen Anzeigen an der Spitze; diese machten </w:t>
      </w:r>
      <w:r w:rsidRPr="00B47A6C">
        <w:rPr>
          <w:b/>
          <w:bCs/>
        </w:rPr>
        <w:t>88 % des Umsatzes</w:t>
      </w:r>
      <w:r w:rsidRPr="00B47A6C">
        <w:t> aus.</w:t>
      </w:r>
    </w:p>
    <w:p w14:paraId="285D2F2F" w14:textId="77777777" w:rsidR="00B47A6C" w:rsidRPr="00B47A6C" w:rsidRDefault="00B47A6C" w:rsidP="00B47A6C">
      <w:proofErr w:type="spellStart"/>
      <w:r w:rsidRPr="00B47A6C">
        <w:rPr>
          <w:b/>
          <w:bCs/>
        </w:rPr>
        <w:t>rGSP</w:t>
      </w:r>
      <w:proofErr w:type="spellEnd"/>
      <w:r w:rsidRPr="00B47A6C">
        <w:rPr>
          <w:b/>
          <w:bCs/>
        </w:rPr>
        <w:t xml:space="preserve"> (</w:t>
      </w:r>
      <w:proofErr w:type="spellStart"/>
      <w:r w:rsidRPr="00B47A6C">
        <w:rPr>
          <w:b/>
          <w:bCs/>
        </w:rPr>
        <w:t>Randomized</w:t>
      </w:r>
      <w:proofErr w:type="spellEnd"/>
      <w:r w:rsidRPr="00B47A6C">
        <w:rPr>
          <w:b/>
          <w:bCs/>
        </w:rPr>
        <w:t xml:space="preserve"> GSP / Polyjuice)</w:t>
      </w:r>
    </w:p>
    <w:p w14:paraId="19E7ED6D" w14:textId="77777777" w:rsidR="00B47A6C" w:rsidRPr="00B47A6C" w:rsidRDefault="00B47A6C" w:rsidP="00B47A6C">
      <w:pPr>
        <w:numPr>
          <w:ilvl w:val="0"/>
          <w:numId w:val="9"/>
        </w:numPr>
      </w:pPr>
      <w:r w:rsidRPr="00B47A6C">
        <w:rPr>
          <w:b/>
          <w:bCs/>
        </w:rPr>
        <w:t>CPC-Steigerungen:</w:t>
      </w:r>
      <w:r w:rsidRPr="00B47A6C">
        <w:t> Vorab-Experimente zeigten CPC-Erhöhungen für Top-Anzeigen von </w:t>
      </w:r>
      <w:r w:rsidRPr="00B47A6C">
        <w:rPr>
          <w:b/>
          <w:bCs/>
        </w:rPr>
        <w:t>5,91 % auf PCs/Tablets</w:t>
      </w:r>
      <w:r w:rsidRPr="00B47A6C">
        <w:t> und </w:t>
      </w:r>
      <w:r w:rsidRPr="00B47A6C">
        <w:rPr>
          <w:b/>
          <w:bCs/>
        </w:rPr>
        <w:t>4,85 % auf Mobiltelefonen</w:t>
      </w:r>
      <w:r w:rsidRPr="00B47A6C">
        <w:t>.</w:t>
      </w:r>
    </w:p>
    <w:p w14:paraId="718C2FC8" w14:textId="77777777" w:rsidR="00B47A6C" w:rsidRPr="00B47A6C" w:rsidRDefault="00B47A6C" w:rsidP="00B47A6C">
      <w:pPr>
        <w:numPr>
          <w:ilvl w:val="0"/>
          <w:numId w:val="9"/>
        </w:numPr>
      </w:pPr>
      <w:r w:rsidRPr="00B47A6C">
        <w:rPr>
          <w:b/>
          <w:bCs/>
        </w:rPr>
        <w:t>Umsatzeffekt:</w:t>
      </w:r>
      <w:r w:rsidRPr="00B47A6C">
        <w:t> Ein Umsatzgewinn von </w:t>
      </w:r>
      <w:r w:rsidRPr="00B47A6C">
        <w:rPr>
          <w:b/>
          <w:bCs/>
        </w:rPr>
        <w:t>5,74 %</w:t>
      </w:r>
      <w:r w:rsidRPr="00B47A6C">
        <w:t> blieb noch zwei Monate nach dem Start des Mechanismus bestehen.</w:t>
      </w:r>
    </w:p>
    <w:p w14:paraId="2A120CE9" w14:textId="77777777" w:rsidR="00B47A6C" w:rsidRPr="00B47A6C" w:rsidRDefault="00B47A6C" w:rsidP="00B47A6C">
      <w:pPr>
        <w:numPr>
          <w:ilvl w:val="0"/>
          <w:numId w:val="9"/>
        </w:numPr>
      </w:pPr>
      <w:r w:rsidRPr="00B47A6C">
        <w:rPr>
          <w:b/>
          <w:bCs/>
        </w:rPr>
        <w:t>Tuning Point:</w:t>
      </w:r>
      <w:r w:rsidRPr="00B47A6C">
        <w:t xml:space="preserve"> Der </w:t>
      </w:r>
      <w:proofErr w:type="spellStart"/>
      <w:r w:rsidRPr="00B47A6C">
        <w:t>rGSP</w:t>
      </w:r>
      <w:proofErr w:type="spellEnd"/>
      <w:r w:rsidRPr="00B47A6C">
        <w:t>-Tuning-Punkt lag bei etwa </w:t>
      </w:r>
      <w:r w:rsidRPr="00B47A6C">
        <w:rPr>
          <w:b/>
          <w:bCs/>
        </w:rPr>
        <w:t>3,7</w:t>
      </w:r>
      <w:r w:rsidRPr="00B47A6C">
        <w:t>. Das bedeutet, ein Top-Bieter musste sein Gebot um </w:t>
      </w:r>
      <w:r w:rsidRPr="00B47A6C">
        <w:rPr>
          <w:b/>
          <w:bCs/>
        </w:rPr>
        <w:t>370 %</w:t>
      </w:r>
      <w:r w:rsidRPr="00B47A6C">
        <w:t> über das des Zweitplatzierten erhöhen, um seine Position trotz der künstlichen Vertauschungschance (</w:t>
      </w:r>
      <w:proofErr w:type="spellStart"/>
      <w:r w:rsidRPr="00B47A6C">
        <w:t>Swapping</w:t>
      </w:r>
      <w:proofErr w:type="spellEnd"/>
      <w:r w:rsidRPr="00B47A6C">
        <w:t>) sicher zu verteidigen.</w:t>
      </w:r>
    </w:p>
    <w:p w14:paraId="118606DC" w14:textId="77777777" w:rsidR="00B47A6C" w:rsidRPr="00B47A6C" w:rsidRDefault="00B47A6C" w:rsidP="00B47A6C">
      <w:r w:rsidRPr="00B47A6C">
        <w:rPr>
          <w:b/>
          <w:bCs/>
        </w:rPr>
        <w:t>Weitere spezifische Projekte</w:t>
      </w:r>
    </w:p>
    <w:p w14:paraId="5DC1F2F2" w14:textId="77777777" w:rsidR="00B47A6C" w:rsidRPr="00B47A6C" w:rsidRDefault="00B47A6C" w:rsidP="00B47A6C">
      <w:pPr>
        <w:numPr>
          <w:ilvl w:val="0"/>
          <w:numId w:val="10"/>
        </w:numPr>
      </w:pPr>
      <w:proofErr w:type="spellStart"/>
      <w:r w:rsidRPr="00B47A6C">
        <w:rPr>
          <w:b/>
          <w:bCs/>
        </w:rPr>
        <w:t>Stateful</w:t>
      </w:r>
      <w:proofErr w:type="spellEnd"/>
      <w:r w:rsidRPr="00B47A6C">
        <w:rPr>
          <w:b/>
          <w:bCs/>
        </w:rPr>
        <w:t xml:space="preserve"> Pricing:</w:t>
      </w:r>
      <w:r w:rsidRPr="00B47A6C">
        <w:t> Dieses Projekt demonstrierte ein Potenzial von über </w:t>
      </w:r>
      <w:r w:rsidRPr="00B47A6C">
        <w:rPr>
          <w:b/>
          <w:bCs/>
        </w:rPr>
        <w:t>6 Milliarden Dollar</w:t>
      </w:r>
      <w:r w:rsidRPr="00B47A6C">
        <w:t> an kurzfristigem, inkrementellem jährlichem Umsatz.</w:t>
      </w:r>
    </w:p>
    <w:p w14:paraId="749223A0" w14:textId="77777777" w:rsidR="00B47A6C" w:rsidRPr="00B47A6C" w:rsidRDefault="00B47A6C" w:rsidP="00B47A6C">
      <w:pPr>
        <w:numPr>
          <w:ilvl w:val="0"/>
          <w:numId w:val="10"/>
        </w:numPr>
      </w:pPr>
      <w:proofErr w:type="spellStart"/>
      <w:r w:rsidRPr="00B47A6C">
        <w:rPr>
          <w:b/>
          <w:bCs/>
        </w:rPr>
        <w:t>Melting</w:t>
      </w:r>
      <w:proofErr w:type="spellEnd"/>
      <w:r w:rsidRPr="00B47A6C">
        <w:rPr>
          <w:b/>
          <w:bCs/>
        </w:rPr>
        <w:t xml:space="preserve"> Pot (Reserve Prices):</w:t>
      </w:r>
      <w:r w:rsidRPr="00B47A6C">
        <w:t> Eine Sammlung von Qualitätsänderungen, die laut neuesten Ergebnissen zu etwa </w:t>
      </w:r>
      <w:r w:rsidRPr="00B47A6C">
        <w:rPr>
          <w:b/>
          <w:bCs/>
        </w:rPr>
        <w:t>+0,4 % „Query Learning“</w:t>
      </w:r>
      <w:r w:rsidRPr="00B47A6C">
        <w:t> führten.</w:t>
      </w:r>
    </w:p>
    <w:p w14:paraId="0C530AF0" w14:textId="77777777" w:rsidR="00B47A6C" w:rsidRDefault="00B47A6C"/>
    <w:p w14:paraId="26463AD8" w14:textId="639C0647" w:rsidR="00B47A6C" w:rsidRDefault="00B47A6C" w:rsidP="00B47A6C">
      <w:pPr>
        <w:pBdr>
          <w:bottom w:val="single" w:sz="4" w:space="1" w:color="auto"/>
        </w:pBdr>
        <w:rPr>
          <w:b/>
          <w:bCs/>
        </w:rPr>
      </w:pPr>
      <w:r w:rsidRPr="00B47A6C">
        <w:rPr>
          <w:b/>
          <w:bCs/>
        </w:rPr>
        <w:t>Kapitel 3.4</w:t>
      </w:r>
    </w:p>
    <w:p w14:paraId="465A87E9" w14:textId="77777777" w:rsidR="00B47A6C" w:rsidRPr="00B47A6C" w:rsidRDefault="00B47A6C" w:rsidP="00B47A6C">
      <w:r w:rsidRPr="00B47A6C">
        <w:t>Die vorliegenden Quellen, insbesondere das Mehta-Haftungsurteil von 2024 und die Klageschriften des US-Justizministeriums (DOJ), belegen eine tiefgreifende Marktdominanz von Google Search sowie außergewöhnlich hohe, monopolartige Gewinne.</w:t>
      </w:r>
    </w:p>
    <w:p w14:paraId="1A1CCD50" w14:textId="77777777" w:rsidR="00B47A6C" w:rsidRPr="00B47A6C" w:rsidRDefault="00B47A6C" w:rsidP="00B47A6C">
      <w:r w:rsidRPr="00B47A6C">
        <w:t>Marktanteile und Marktdominanz</w:t>
      </w:r>
    </w:p>
    <w:p w14:paraId="5DFD3D78" w14:textId="77777777" w:rsidR="00B47A6C" w:rsidRPr="00B47A6C" w:rsidRDefault="00B47A6C" w:rsidP="00B47A6C">
      <w:r w:rsidRPr="00B47A6C">
        <w:t>Google wird in den Dokumenten als „Monopol-Gatekeeper für das Internet“ beschrieben. Die Zahlen zu den Marktanteilen verdeutlichen diese Stellung:</w:t>
      </w:r>
    </w:p>
    <w:p w14:paraId="572C0267" w14:textId="77777777" w:rsidR="00B47A6C" w:rsidRPr="00B47A6C" w:rsidRDefault="00B47A6C" w:rsidP="00B47A6C">
      <w:pPr>
        <w:numPr>
          <w:ilvl w:val="0"/>
          <w:numId w:val="11"/>
        </w:numPr>
      </w:pPr>
      <w:r w:rsidRPr="00B47A6C">
        <w:rPr>
          <w:b/>
          <w:bCs/>
        </w:rPr>
        <w:t>Gesamtmarkt:</w:t>
      </w:r>
      <w:r w:rsidRPr="00B47A6C">
        <w:t> Im Jahr 2020 hielt Google einen Anteil von fast </w:t>
      </w:r>
      <w:r w:rsidRPr="00B47A6C">
        <w:rPr>
          <w:b/>
          <w:bCs/>
        </w:rPr>
        <w:t>89,2 %</w:t>
      </w:r>
      <w:r w:rsidRPr="00B47A6C">
        <w:t> am US-Markt für allgemeine Suchdienste. Bereits 2009 lag dieser Wert bei 80 %.</w:t>
      </w:r>
    </w:p>
    <w:p w14:paraId="4E651324" w14:textId="77777777" w:rsidR="00B47A6C" w:rsidRPr="00B47A6C" w:rsidRDefault="00B47A6C" w:rsidP="00B47A6C">
      <w:pPr>
        <w:numPr>
          <w:ilvl w:val="0"/>
          <w:numId w:val="11"/>
        </w:numPr>
      </w:pPr>
      <w:r w:rsidRPr="00B47A6C">
        <w:rPr>
          <w:b/>
          <w:bCs/>
        </w:rPr>
        <w:t>Mobilgeräte:</w:t>
      </w:r>
      <w:r w:rsidRPr="00B47A6C">
        <w:t> Auf Mobilgeräten ist die Dominanz mit fast </w:t>
      </w:r>
      <w:r w:rsidRPr="00B47A6C">
        <w:rPr>
          <w:b/>
          <w:bCs/>
        </w:rPr>
        <w:t>95 %</w:t>
      </w:r>
      <w:r w:rsidRPr="00B47A6C">
        <w:t> (Stand 2020) noch ausgeprägter.</w:t>
      </w:r>
    </w:p>
    <w:p w14:paraId="169C313C" w14:textId="77777777" w:rsidR="00B47A6C" w:rsidRPr="00B47A6C" w:rsidRDefault="00B47A6C" w:rsidP="00B47A6C">
      <w:pPr>
        <w:numPr>
          <w:ilvl w:val="0"/>
          <w:numId w:val="11"/>
        </w:numPr>
      </w:pPr>
      <w:r w:rsidRPr="00B47A6C">
        <w:rPr>
          <w:b/>
          <w:bCs/>
        </w:rPr>
        <w:lastRenderedPageBreak/>
        <w:t>Abfragevolumen:</w:t>
      </w:r>
      <w:r w:rsidRPr="00B47A6C">
        <w:t> Google erhält täglich </w:t>
      </w:r>
      <w:r w:rsidRPr="00B47A6C">
        <w:rPr>
          <w:b/>
          <w:bCs/>
        </w:rPr>
        <w:t>neunmal mehr Suchanfragen</w:t>
      </w:r>
      <w:r w:rsidRPr="00B47A6C">
        <w:t> als alle Wettbewerber zusammen; auf Mobilgeräten ist das Volumen sogar </w:t>
      </w:r>
      <w:r w:rsidRPr="00B47A6C">
        <w:rPr>
          <w:b/>
          <w:bCs/>
        </w:rPr>
        <w:t>19-mal höher</w:t>
      </w:r>
      <w:r w:rsidRPr="00B47A6C">
        <w:t>.</w:t>
      </w:r>
    </w:p>
    <w:p w14:paraId="01198685" w14:textId="77777777" w:rsidR="00B47A6C" w:rsidRPr="00B47A6C" w:rsidRDefault="00B47A6C" w:rsidP="00B47A6C">
      <w:pPr>
        <w:numPr>
          <w:ilvl w:val="0"/>
          <w:numId w:val="11"/>
        </w:numPr>
      </w:pPr>
      <w:r w:rsidRPr="00B47A6C">
        <w:rPr>
          <w:b/>
          <w:bCs/>
        </w:rPr>
        <w:t>Standard-Distribution:</w:t>
      </w:r>
      <w:r w:rsidRPr="00B47A6C">
        <w:t> Google kontrolliert durch Verträge und eigene Produkte (wie Chrome) etwa </w:t>
      </w:r>
      <w:r w:rsidRPr="00B47A6C">
        <w:rPr>
          <w:b/>
          <w:bCs/>
        </w:rPr>
        <w:t>80 % der Suchverteilungskanäle</w:t>
      </w:r>
      <w:r w:rsidRPr="00B47A6C">
        <w:t> in den USA.</w:t>
      </w:r>
    </w:p>
    <w:p w14:paraId="4B4A46E0" w14:textId="77777777" w:rsidR="00B47A6C" w:rsidRPr="00B47A6C" w:rsidRDefault="00B47A6C" w:rsidP="00B47A6C">
      <w:r w:rsidRPr="00B47A6C">
        <w:t>Monopolartige Gewinne und Überrenditen</w:t>
      </w:r>
    </w:p>
    <w:p w14:paraId="7B8DDFCE" w14:textId="77777777" w:rsidR="00B47A6C" w:rsidRPr="00B47A6C" w:rsidRDefault="00B47A6C" w:rsidP="00B47A6C">
      <w:r w:rsidRPr="00B47A6C">
        <w:t>Die Quellen belegen, dass Google aus dieser Dominanz enorme finanzielle Erträge zieht:</w:t>
      </w:r>
    </w:p>
    <w:p w14:paraId="0CCFE4BD" w14:textId="77777777" w:rsidR="00B47A6C" w:rsidRPr="00B47A6C" w:rsidRDefault="00B47A6C" w:rsidP="00B47A6C">
      <w:pPr>
        <w:numPr>
          <w:ilvl w:val="0"/>
          <w:numId w:val="12"/>
        </w:numPr>
      </w:pPr>
      <w:r w:rsidRPr="00B47A6C">
        <w:rPr>
          <w:b/>
          <w:bCs/>
        </w:rPr>
        <w:t>Umsatz:</w:t>
      </w:r>
      <w:r w:rsidRPr="00B47A6C">
        <w:t> Die „Search+“-Umsätze stiegen von fast 47 Mrd. USD (2014) auf über </w:t>
      </w:r>
      <w:r w:rsidRPr="00B47A6C">
        <w:rPr>
          <w:b/>
          <w:bCs/>
        </w:rPr>
        <w:t>146 Mrd. USD (2021)</w:t>
      </w:r>
      <w:r w:rsidRPr="00B47A6C">
        <w:t>. Im Jahr 2022 meldete Google Search+ Umsätze von über </w:t>
      </w:r>
      <w:r w:rsidRPr="00B47A6C">
        <w:rPr>
          <w:b/>
          <w:bCs/>
        </w:rPr>
        <w:t>162 Mrd. USD</w:t>
      </w:r>
      <w:r w:rsidRPr="00B47A6C">
        <w:t>.</w:t>
      </w:r>
    </w:p>
    <w:p w14:paraId="1E86E6BA" w14:textId="77777777" w:rsidR="00B47A6C" w:rsidRPr="00B47A6C" w:rsidRDefault="00B47A6C" w:rsidP="00B47A6C">
      <w:pPr>
        <w:numPr>
          <w:ilvl w:val="0"/>
          <w:numId w:val="12"/>
        </w:numPr>
      </w:pPr>
      <w:r w:rsidRPr="00B47A6C">
        <w:rPr>
          <w:b/>
          <w:bCs/>
        </w:rPr>
        <w:t>Margen:</w:t>
      </w:r>
      <w:r w:rsidRPr="00B47A6C">
        <w:t> Zwischen 2014 und 2021 lagen die Bruttomargen für den Bereich Search+ konstant zwischen </w:t>
      </w:r>
      <w:r w:rsidRPr="00B47A6C">
        <w:rPr>
          <w:b/>
          <w:bCs/>
        </w:rPr>
        <w:t>76 % und 82 %</w:t>
      </w:r>
      <w:r w:rsidRPr="00B47A6C">
        <w:t>.</w:t>
      </w:r>
    </w:p>
    <w:p w14:paraId="384E2CA9" w14:textId="77777777" w:rsidR="00B47A6C" w:rsidRPr="00B47A6C" w:rsidRDefault="00B47A6C" w:rsidP="00B47A6C">
      <w:pPr>
        <w:numPr>
          <w:ilvl w:val="0"/>
          <w:numId w:val="12"/>
        </w:numPr>
      </w:pPr>
      <w:r w:rsidRPr="00B47A6C">
        <w:rPr>
          <w:b/>
          <w:bCs/>
        </w:rPr>
        <w:t>Marktwert:</w:t>
      </w:r>
      <w:r w:rsidRPr="00B47A6C">
        <w:t> Der Marktwert der Muttergesellschaft Alphabet überschritt </w:t>
      </w:r>
      <w:r w:rsidRPr="00B47A6C">
        <w:rPr>
          <w:b/>
          <w:bCs/>
        </w:rPr>
        <w:t>2 Billionen USD</w:t>
      </w:r>
      <w:r w:rsidRPr="00B47A6C">
        <w:t>, was maßgeblich auf das extrem profitable Werbegeschäft zurückgeführt wird.</w:t>
      </w:r>
    </w:p>
    <w:p w14:paraId="2A1426FD" w14:textId="77777777" w:rsidR="00B47A6C" w:rsidRPr="00B47A6C" w:rsidRDefault="00B47A6C" w:rsidP="00B47A6C">
      <w:pPr>
        <w:numPr>
          <w:ilvl w:val="0"/>
          <w:numId w:val="12"/>
        </w:numPr>
      </w:pPr>
      <w:r w:rsidRPr="00B47A6C">
        <w:rPr>
          <w:b/>
          <w:bCs/>
        </w:rPr>
        <w:t>Preismacht:</w:t>
      </w:r>
      <w:r w:rsidRPr="00B47A6C">
        <w:t> Das Gericht stellte fest, dass Google seine Monopolmacht ausübte, indem es </w:t>
      </w:r>
      <w:r w:rsidRPr="00B47A6C">
        <w:rPr>
          <w:b/>
          <w:bCs/>
        </w:rPr>
        <w:t>„</w:t>
      </w:r>
      <w:proofErr w:type="spellStart"/>
      <w:r w:rsidRPr="00B47A6C">
        <w:rPr>
          <w:b/>
          <w:bCs/>
        </w:rPr>
        <w:t>supracompetitive</w:t>
      </w:r>
      <w:proofErr w:type="spellEnd"/>
      <w:r w:rsidRPr="00B47A6C">
        <w:rPr>
          <w:b/>
          <w:bCs/>
        </w:rPr>
        <w:t xml:space="preserve"> Preise“</w:t>
      </w:r>
      <w:r w:rsidRPr="00B47A6C">
        <w:t> (Preise über dem Wettbewerbsniveau) für Textanzeigen verlangte, was zu Monopolgewinnen führte.</w:t>
      </w:r>
    </w:p>
    <w:p w14:paraId="62287859" w14:textId="77777777" w:rsidR="00B47A6C" w:rsidRPr="00B47A6C" w:rsidRDefault="00B47A6C" w:rsidP="00B47A6C">
      <w:r w:rsidRPr="00B47A6C">
        <w:t>Vergleich mit Wettbewerbern (insb. Bing)</w:t>
      </w:r>
    </w:p>
    <w:p w14:paraId="459DD043" w14:textId="77777777" w:rsidR="00B47A6C" w:rsidRPr="00B47A6C" w:rsidRDefault="00B47A6C" w:rsidP="00B47A6C">
      <w:r w:rsidRPr="00B47A6C">
        <w:t>Der Abstand zu Wettbewerbern wie Microsofts Bing ist laut den Quellen gewaltig:</w:t>
      </w:r>
    </w:p>
    <w:p w14:paraId="524B83B0" w14:textId="77777777" w:rsidR="00B47A6C" w:rsidRPr="00B47A6C" w:rsidRDefault="00B47A6C" w:rsidP="00B47A6C">
      <w:pPr>
        <w:numPr>
          <w:ilvl w:val="0"/>
          <w:numId w:val="13"/>
        </w:numPr>
      </w:pPr>
      <w:r w:rsidRPr="00B47A6C">
        <w:rPr>
          <w:b/>
          <w:bCs/>
        </w:rPr>
        <w:t>Marktanteil:</w:t>
      </w:r>
      <w:r w:rsidRPr="00B47A6C">
        <w:t> Bing kommt lediglich auf etwa </w:t>
      </w:r>
      <w:r w:rsidRPr="00B47A6C">
        <w:rPr>
          <w:b/>
          <w:bCs/>
        </w:rPr>
        <w:t>5,5 % bis 6 %</w:t>
      </w:r>
      <w:r w:rsidRPr="00B47A6C">
        <w:t> des Marktes. Andere Konkurrenten wie Yahoo oder DuckDuckGo liegen jeweils unter 3 %.</w:t>
      </w:r>
    </w:p>
    <w:p w14:paraId="3607DF9D" w14:textId="77777777" w:rsidR="00B47A6C" w:rsidRPr="00B47A6C" w:rsidRDefault="00B47A6C" w:rsidP="00B47A6C">
      <w:pPr>
        <w:numPr>
          <w:ilvl w:val="0"/>
          <w:numId w:val="13"/>
        </w:numPr>
      </w:pPr>
      <w:r w:rsidRPr="00B47A6C">
        <w:rPr>
          <w:b/>
          <w:bCs/>
        </w:rPr>
        <w:t>Werbeumsätze:</w:t>
      </w:r>
      <w:r w:rsidRPr="00B47A6C">
        <w:t> Während Google 2021 über 146 Mrd. USD mit Suchanzeigen verdiente, generierte Bing im selben Zeitraum weniger als </w:t>
      </w:r>
      <w:r w:rsidRPr="00B47A6C">
        <w:rPr>
          <w:b/>
          <w:bCs/>
        </w:rPr>
        <w:t>12 Mrd. USD</w:t>
      </w:r>
      <w:r w:rsidRPr="00B47A6C">
        <w:t>.</w:t>
      </w:r>
    </w:p>
    <w:p w14:paraId="671A5A5B" w14:textId="77777777" w:rsidR="00B47A6C" w:rsidRPr="00B47A6C" w:rsidRDefault="00B47A6C" w:rsidP="00B47A6C">
      <w:pPr>
        <w:numPr>
          <w:ilvl w:val="0"/>
          <w:numId w:val="13"/>
        </w:numPr>
      </w:pPr>
      <w:r w:rsidRPr="00B47A6C">
        <w:rPr>
          <w:b/>
          <w:bCs/>
        </w:rPr>
        <w:t>Datenskala:</w:t>
      </w:r>
      <w:r w:rsidRPr="00B47A6C">
        <w:t> Ein Experte rechnete vor, dass 13 Monate an Nutzerdaten bei Google mehr wert sind als </w:t>
      </w:r>
      <w:r w:rsidRPr="00B47A6C">
        <w:rPr>
          <w:b/>
          <w:bCs/>
        </w:rPr>
        <w:t>17 Jahre an Daten bei Bing</w:t>
      </w:r>
      <w:r w:rsidRPr="00B47A6C">
        <w:t>.</w:t>
      </w:r>
    </w:p>
    <w:p w14:paraId="79094A78" w14:textId="77777777" w:rsidR="00B47A6C" w:rsidRPr="00B47A6C" w:rsidRDefault="00B47A6C" w:rsidP="00B47A6C">
      <w:r w:rsidRPr="00B47A6C">
        <w:t>Argumente der Kläger und Experten</w:t>
      </w:r>
    </w:p>
    <w:p w14:paraId="747ACFA2" w14:textId="77777777" w:rsidR="00B47A6C" w:rsidRPr="00B47A6C" w:rsidRDefault="00B47A6C" w:rsidP="00B47A6C">
      <w:r w:rsidRPr="00B47A6C">
        <w:t>Kläger und Experten führen mehrere Kernargumente für das Vorliegen eines illegalen Monopols an:</w:t>
      </w:r>
    </w:p>
    <w:p w14:paraId="267C6560" w14:textId="77777777" w:rsidR="00B47A6C" w:rsidRPr="00B47A6C" w:rsidRDefault="00B47A6C" w:rsidP="00B47A6C">
      <w:pPr>
        <w:numPr>
          <w:ilvl w:val="0"/>
          <w:numId w:val="14"/>
        </w:numPr>
      </w:pPr>
      <w:r w:rsidRPr="00B47A6C">
        <w:rPr>
          <w:b/>
          <w:bCs/>
        </w:rPr>
        <w:t>Erschwerte Markteintrittsbarrieren durch „Defaults“:</w:t>
      </w:r>
      <w:r w:rsidRPr="00B47A6C">
        <w:t> Google zahlt Milliarden (allein 2021 etwa </w:t>
      </w:r>
      <w:r w:rsidRPr="00B47A6C">
        <w:rPr>
          <w:b/>
          <w:bCs/>
        </w:rPr>
        <w:t>26,3 Mrd. USD</w:t>
      </w:r>
      <w:r w:rsidRPr="00B47A6C">
        <w:t>) an Partner wie Apple und Samsung, um als exklusiver Standard-Suchdienst voreingestellt zu sein. Diese Voreinstellungen sind laut Experten extrem „</w:t>
      </w:r>
      <w:proofErr w:type="spellStart"/>
      <w:r w:rsidRPr="00B47A6C">
        <w:t>sticky</w:t>
      </w:r>
      <w:proofErr w:type="spellEnd"/>
      <w:r w:rsidRPr="00B47A6C">
        <w:t>“ (beständig), da Nutzer sie selten ändern.</w:t>
      </w:r>
    </w:p>
    <w:p w14:paraId="0D49E088" w14:textId="77777777" w:rsidR="00B47A6C" w:rsidRPr="00B47A6C" w:rsidRDefault="00B47A6C" w:rsidP="00B47A6C">
      <w:pPr>
        <w:numPr>
          <w:ilvl w:val="0"/>
          <w:numId w:val="14"/>
        </w:numPr>
      </w:pPr>
      <w:r w:rsidRPr="00B47A6C">
        <w:rPr>
          <w:b/>
          <w:bCs/>
        </w:rPr>
        <w:t>Skaleneffekte als Rohmaterial:</w:t>
      </w:r>
      <w:r w:rsidRPr="00B47A6C">
        <w:t> Daten aus Suchanfragen und Klicks sind das „essenzielle Rohmaterial“ für eine Suchmaschine. Google nutzt seine überlegene Skala in einer Rückkopplungsschleife (Netzwerkeffekt): Mehr Daten führen zu besseren Ergebnissen, was mehr Nutzer anzieht und die Monetarisierung verbessert.</w:t>
      </w:r>
    </w:p>
    <w:p w14:paraId="66376DE9" w14:textId="77777777" w:rsidR="00B47A6C" w:rsidRPr="00B47A6C" w:rsidRDefault="00B47A6C" w:rsidP="00B47A6C">
      <w:pPr>
        <w:numPr>
          <w:ilvl w:val="0"/>
          <w:numId w:val="14"/>
        </w:numPr>
      </w:pPr>
      <w:r w:rsidRPr="00B47A6C">
        <w:rPr>
          <w:b/>
          <w:bCs/>
        </w:rPr>
        <w:t>Mangelnde Qualitätskontrolle durch Wettbewerb:</w:t>
      </w:r>
      <w:r w:rsidRPr="00B47A6C">
        <w:t> Ein Experiment von Google (2020) zeigte, dass das Unternehmen die </w:t>
      </w:r>
      <w:r w:rsidRPr="00B47A6C">
        <w:rPr>
          <w:b/>
          <w:bCs/>
        </w:rPr>
        <w:t>Suchqualität signifikant verschlechtern</w:t>
      </w:r>
      <w:r w:rsidRPr="00B47A6C">
        <w:t> könnte, ohne nennenswerte Umsatzeinbußen zu befürchten, da die Nutzer kaum Ausweichmöglichkeiten haben.</w:t>
      </w:r>
    </w:p>
    <w:p w14:paraId="77807FCC" w14:textId="77777777" w:rsidR="00B47A6C" w:rsidRPr="00B47A6C" w:rsidRDefault="00B47A6C" w:rsidP="00B47A6C">
      <w:pPr>
        <w:numPr>
          <w:ilvl w:val="0"/>
          <w:numId w:val="14"/>
        </w:numPr>
      </w:pPr>
      <w:r w:rsidRPr="00B47A6C">
        <w:rPr>
          <w:b/>
          <w:bCs/>
        </w:rPr>
        <w:lastRenderedPageBreak/>
        <w:t>Unterdrückung von Innovation:</w:t>
      </w:r>
      <w:r w:rsidRPr="00B47A6C">
        <w:t xml:space="preserve"> Durch die Kontrolle der wichtigsten Vertriebskanäle werden neue Marktteilnehmer (wie Branch oder </w:t>
      </w:r>
      <w:proofErr w:type="spellStart"/>
      <w:r w:rsidRPr="00B47A6C">
        <w:t>Neeva</w:t>
      </w:r>
      <w:proofErr w:type="spellEnd"/>
      <w:r w:rsidRPr="00B47A6C">
        <w:t>) blockiert oder an den Rand gedrängt, was die Innovation im gesamten Markt bremst.</w:t>
      </w:r>
    </w:p>
    <w:p w14:paraId="025FF3A9" w14:textId="77777777" w:rsidR="00B47A6C" w:rsidRPr="00B47A6C" w:rsidRDefault="00B47A6C" w:rsidP="00B47A6C">
      <w:r w:rsidRPr="00B47A6C">
        <w:t>Die vorliegenden Quellen enthalten detaillierte Finanzdaten zu Alphabet und dem spezifischen Geschäftsbereich </w:t>
      </w:r>
      <w:r w:rsidRPr="00B47A6C">
        <w:rPr>
          <w:b/>
          <w:bCs/>
        </w:rPr>
        <w:t>Google Search+</w:t>
      </w:r>
      <w:r w:rsidRPr="00B47A6C">
        <w:t> (der neben der Suche auch Gmail, Maps und Google Play umfasst), insbesondere im Kontext des DOJ-Antitrust-Prozesses.</w:t>
      </w:r>
    </w:p>
    <w:p w14:paraId="36134F12" w14:textId="77777777" w:rsidR="00B47A6C" w:rsidRPr="00B47A6C" w:rsidRDefault="00B47A6C" w:rsidP="00B47A6C">
      <w:r w:rsidRPr="00B47A6C">
        <w:t>Hier sind die konkreten Zahlen zu Nettogewinn, operativer Marge und EBIT:</w:t>
      </w:r>
    </w:p>
    <w:p w14:paraId="1DCD339E" w14:textId="77777777" w:rsidR="00B47A6C" w:rsidRPr="00B47A6C" w:rsidRDefault="00B47A6C" w:rsidP="00B47A6C">
      <w:r w:rsidRPr="00B47A6C">
        <w:rPr>
          <w:b/>
          <w:bCs/>
        </w:rPr>
        <w:t>1. Operative Gewinne und Margen von Google Search &amp; Services</w:t>
      </w:r>
    </w:p>
    <w:p w14:paraId="64420937" w14:textId="77777777" w:rsidR="00B47A6C" w:rsidRPr="00B47A6C" w:rsidRDefault="00B47A6C" w:rsidP="00B47A6C">
      <w:r w:rsidRPr="00B47A6C">
        <w:t>Google erzielt im Bereich Search außergewöhnlich hohe Gewinne und Margen, die in den internen Dokumenten oft als Beleg für Monopolmacht angeführt werden:</w:t>
      </w:r>
    </w:p>
    <w:p w14:paraId="5468747F" w14:textId="77777777" w:rsidR="00B47A6C" w:rsidRPr="00B47A6C" w:rsidRDefault="00B47A6C" w:rsidP="00B47A6C">
      <w:pPr>
        <w:numPr>
          <w:ilvl w:val="0"/>
          <w:numId w:val="15"/>
        </w:numPr>
      </w:pPr>
      <w:r w:rsidRPr="00B47A6C">
        <w:rPr>
          <w:b/>
          <w:bCs/>
        </w:rPr>
        <w:t>Google Search+ Margen:</w:t>
      </w:r>
      <w:r w:rsidRPr="00B47A6C">
        <w:t> Zwischen 2014 und 2021 lagen die </w:t>
      </w:r>
      <w:r w:rsidRPr="00B47A6C">
        <w:rPr>
          <w:b/>
          <w:bCs/>
        </w:rPr>
        <w:t>Bruttomargen</w:t>
      </w:r>
      <w:r w:rsidRPr="00B47A6C">
        <w:t> für Search+ konstant in einem Bereich von </w:t>
      </w:r>
      <w:r w:rsidRPr="00B47A6C">
        <w:rPr>
          <w:b/>
          <w:bCs/>
        </w:rPr>
        <w:t>76 % bis 82 %</w:t>
      </w:r>
      <w:r w:rsidRPr="00B47A6C">
        <w:t>.</w:t>
      </w:r>
    </w:p>
    <w:p w14:paraId="464A0D18" w14:textId="77777777" w:rsidR="00B47A6C" w:rsidRPr="00B47A6C" w:rsidRDefault="00B47A6C" w:rsidP="00B47A6C">
      <w:pPr>
        <w:numPr>
          <w:ilvl w:val="0"/>
          <w:numId w:val="15"/>
        </w:numPr>
      </w:pPr>
      <w:r w:rsidRPr="00B47A6C">
        <w:rPr>
          <w:b/>
          <w:bCs/>
        </w:rPr>
        <w:t>Google Services Operating Income (EBIT):</w:t>
      </w:r>
      <w:r w:rsidRPr="00B47A6C">
        <w:t> Der operative Gewinn des Segments Google Services (das Search dominiert) stieg über die Jahre massiv an:</w:t>
      </w:r>
    </w:p>
    <w:p w14:paraId="21E52D35" w14:textId="77777777" w:rsidR="00B47A6C" w:rsidRPr="00B47A6C" w:rsidRDefault="00B47A6C" w:rsidP="00B47A6C">
      <w:pPr>
        <w:numPr>
          <w:ilvl w:val="1"/>
          <w:numId w:val="15"/>
        </w:numPr>
      </w:pPr>
      <w:r w:rsidRPr="00B47A6C">
        <w:rPr>
          <w:b/>
          <w:bCs/>
        </w:rPr>
        <w:t>2018:</w:t>
      </w:r>
      <w:r w:rsidRPr="00B47A6C">
        <w:t> 43,1 Mrd. USD.</w:t>
      </w:r>
    </w:p>
    <w:p w14:paraId="70041BC6" w14:textId="77777777" w:rsidR="00B47A6C" w:rsidRPr="00B47A6C" w:rsidRDefault="00B47A6C" w:rsidP="00B47A6C">
      <w:pPr>
        <w:numPr>
          <w:ilvl w:val="1"/>
          <w:numId w:val="15"/>
        </w:numPr>
      </w:pPr>
      <w:r w:rsidRPr="00B47A6C">
        <w:rPr>
          <w:b/>
          <w:bCs/>
        </w:rPr>
        <w:t>2019:</w:t>
      </w:r>
      <w:r w:rsidRPr="00B47A6C">
        <w:t> 49,0 Mrd. USD.</w:t>
      </w:r>
    </w:p>
    <w:p w14:paraId="68AA6CBE" w14:textId="77777777" w:rsidR="00B47A6C" w:rsidRPr="00B47A6C" w:rsidRDefault="00B47A6C" w:rsidP="00B47A6C">
      <w:pPr>
        <w:numPr>
          <w:ilvl w:val="1"/>
          <w:numId w:val="15"/>
        </w:numPr>
      </w:pPr>
      <w:r w:rsidRPr="00B47A6C">
        <w:rPr>
          <w:b/>
          <w:bCs/>
        </w:rPr>
        <w:t>2020:</w:t>
      </w:r>
      <w:r w:rsidRPr="00B47A6C">
        <w:t> 54,6 Mrd. USD.</w:t>
      </w:r>
    </w:p>
    <w:p w14:paraId="6D1AB1ED" w14:textId="77777777" w:rsidR="00B47A6C" w:rsidRPr="00B47A6C" w:rsidRDefault="00B47A6C" w:rsidP="00B47A6C">
      <w:pPr>
        <w:numPr>
          <w:ilvl w:val="1"/>
          <w:numId w:val="15"/>
        </w:numPr>
      </w:pPr>
      <w:r w:rsidRPr="00B47A6C">
        <w:rPr>
          <w:b/>
          <w:bCs/>
        </w:rPr>
        <w:t>2021:</w:t>
      </w:r>
      <w:r w:rsidRPr="00B47A6C">
        <w:t> </w:t>
      </w:r>
      <w:r w:rsidRPr="00B47A6C">
        <w:rPr>
          <w:b/>
          <w:bCs/>
        </w:rPr>
        <w:t>91,9 Mrd. USD</w:t>
      </w:r>
      <w:r w:rsidRPr="00B47A6C">
        <w:t>.</w:t>
      </w:r>
    </w:p>
    <w:p w14:paraId="3428C96F" w14:textId="77777777" w:rsidR="00B47A6C" w:rsidRPr="00B47A6C" w:rsidRDefault="00B47A6C" w:rsidP="00B47A6C">
      <w:pPr>
        <w:numPr>
          <w:ilvl w:val="1"/>
          <w:numId w:val="15"/>
        </w:numPr>
      </w:pPr>
      <w:r w:rsidRPr="00B47A6C">
        <w:rPr>
          <w:b/>
          <w:bCs/>
        </w:rPr>
        <w:t>2022:</w:t>
      </w:r>
      <w:r w:rsidRPr="00B47A6C">
        <w:t> 86,6 Mrd. USD.</w:t>
      </w:r>
    </w:p>
    <w:p w14:paraId="1BC47660" w14:textId="77777777" w:rsidR="00B47A6C" w:rsidRPr="00B47A6C" w:rsidRDefault="00B47A6C" w:rsidP="00B47A6C">
      <w:pPr>
        <w:numPr>
          <w:ilvl w:val="1"/>
          <w:numId w:val="15"/>
        </w:numPr>
      </w:pPr>
      <w:r w:rsidRPr="00B47A6C">
        <w:rPr>
          <w:b/>
          <w:bCs/>
        </w:rPr>
        <w:t>2023:</w:t>
      </w:r>
      <w:r w:rsidRPr="00B47A6C">
        <w:t> 95,9 Mrd. USD.</w:t>
      </w:r>
    </w:p>
    <w:p w14:paraId="5AFE0C8D" w14:textId="77777777" w:rsidR="00B47A6C" w:rsidRPr="00B47A6C" w:rsidRDefault="00B47A6C" w:rsidP="00B47A6C">
      <w:pPr>
        <w:numPr>
          <w:ilvl w:val="1"/>
          <w:numId w:val="15"/>
        </w:numPr>
      </w:pPr>
      <w:r w:rsidRPr="00B47A6C">
        <w:rPr>
          <w:b/>
          <w:bCs/>
        </w:rPr>
        <w:t>2024:</w:t>
      </w:r>
      <w:r w:rsidRPr="00B47A6C">
        <w:t> 121,3 Mrd. USD.</w:t>
      </w:r>
    </w:p>
    <w:p w14:paraId="5F346898" w14:textId="77777777" w:rsidR="00B47A6C" w:rsidRPr="00B47A6C" w:rsidRDefault="00B47A6C" w:rsidP="00B47A6C">
      <w:pPr>
        <w:numPr>
          <w:ilvl w:val="1"/>
          <w:numId w:val="15"/>
        </w:numPr>
      </w:pPr>
      <w:r w:rsidRPr="00B47A6C">
        <w:rPr>
          <w:b/>
          <w:bCs/>
        </w:rPr>
        <w:t>2025:</w:t>
      </w:r>
      <w:r w:rsidRPr="00B47A6C">
        <w:t> </w:t>
      </w:r>
      <w:r w:rsidRPr="00B47A6C">
        <w:rPr>
          <w:b/>
          <w:bCs/>
        </w:rPr>
        <w:t>139,4 Mrd. USD</w:t>
      </w:r>
      <w:r w:rsidRPr="00B47A6C">
        <w:t>.</w:t>
      </w:r>
    </w:p>
    <w:p w14:paraId="789D7438" w14:textId="77777777" w:rsidR="00B47A6C" w:rsidRPr="00B47A6C" w:rsidRDefault="00B47A6C" w:rsidP="00B47A6C">
      <w:pPr>
        <w:numPr>
          <w:ilvl w:val="0"/>
          <w:numId w:val="15"/>
        </w:numPr>
      </w:pPr>
      <w:r w:rsidRPr="00B47A6C">
        <w:rPr>
          <w:b/>
          <w:bCs/>
        </w:rPr>
        <w:t>Umsatzrendite:</w:t>
      </w:r>
      <w:r w:rsidRPr="00B47A6C">
        <w:t> Im Jahr 2021 betrug die operative Marge für den gesamten Alphabet-Konzern </w:t>
      </w:r>
      <w:r w:rsidRPr="00B47A6C">
        <w:rPr>
          <w:b/>
          <w:bCs/>
        </w:rPr>
        <w:t>31 %</w:t>
      </w:r>
      <w:r w:rsidRPr="00B47A6C">
        <w:t>, während sie im krisenbehafteten Jahr 2020 bei </w:t>
      </w:r>
      <w:r w:rsidRPr="00B47A6C">
        <w:rPr>
          <w:b/>
          <w:bCs/>
        </w:rPr>
        <w:t>23 %</w:t>
      </w:r>
      <w:r w:rsidRPr="00B47A6C">
        <w:t xml:space="preserve"> lag. Interne Analysen betonen, dass es kaum ein anderes Geschäft auf dem Planeten gibt, </w:t>
      </w:r>
      <w:proofErr w:type="gramStart"/>
      <w:r w:rsidRPr="00B47A6C">
        <w:t>das</w:t>
      </w:r>
      <w:proofErr w:type="gramEnd"/>
      <w:r w:rsidRPr="00B47A6C">
        <w:t xml:space="preserve"> derart hohe </w:t>
      </w:r>
      <w:r w:rsidRPr="00B47A6C">
        <w:rPr>
          <w:b/>
          <w:bCs/>
        </w:rPr>
        <w:t>Grenzerträge auf zusätzliche Umsätze</w:t>
      </w:r>
      <w:r w:rsidRPr="00B47A6C">
        <w:t> erzielt.</w:t>
      </w:r>
    </w:p>
    <w:p w14:paraId="4B8082DA" w14:textId="77777777" w:rsidR="00B47A6C" w:rsidRPr="00B47A6C" w:rsidRDefault="00B47A6C" w:rsidP="00B47A6C">
      <w:r w:rsidRPr="00B47A6C">
        <w:rPr>
          <w:b/>
          <w:bCs/>
        </w:rPr>
        <w:t>2. Alphabets Nettogewinn (Gesamtkonzern)</w:t>
      </w:r>
    </w:p>
    <w:p w14:paraId="1C28BE70" w14:textId="77777777" w:rsidR="00B47A6C" w:rsidRPr="00B47A6C" w:rsidRDefault="00B47A6C" w:rsidP="00B47A6C">
      <w:r w:rsidRPr="00B47A6C">
        <w:t>Die 10-K-Berichte weisen folgende Nettogewinne für Alphabet Inc. aus:</w:t>
      </w:r>
    </w:p>
    <w:p w14:paraId="621E8EF9" w14:textId="77777777" w:rsidR="00B47A6C" w:rsidRPr="00B47A6C" w:rsidRDefault="00B47A6C" w:rsidP="00B47A6C">
      <w:pPr>
        <w:numPr>
          <w:ilvl w:val="0"/>
          <w:numId w:val="16"/>
        </w:numPr>
      </w:pPr>
      <w:r w:rsidRPr="00B47A6C">
        <w:rPr>
          <w:b/>
          <w:bCs/>
        </w:rPr>
        <w:t>2019:</w:t>
      </w:r>
      <w:r w:rsidRPr="00B47A6C">
        <w:t> 34,3 Mrd. USD.</w:t>
      </w:r>
    </w:p>
    <w:p w14:paraId="495FE0D1" w14:textId="77777777" w:rsidR="00B47A6C" w:rsidRPr="00B47A6C" w:rsidRDefault="00B47A6C" w:rsidP="00B47A6C">
      <w:pPr>
        <w:numPr>
          <w:ilvl w:val="0"/>
          <w:numId w:val="16"/>
        </w:numPr>
      </w:pPr>
      <w:r w:rsidRPr="00B47A6C">
        <w:rPr>
          <w:b/>
          <w:bCs/>
        </w:rPr>
        <w:t>2020:</w:t>
      </w:r>
      <w:r w:rsidRPr="00B47A6C">
        <w:t> 40,3 Mrd. USD.</w:t>
      </w:r>
    </w:p>
    <w:p w14:paraId="7E407D26" w14:textId="77777777" w:rsidR="00B47A6C" w:rsidRPr="00B47A6C" w:rsidRDefault="00B47A6C" w:rsidP="00B47A6C">
      <w:pPr>
        <w:numPr>
          <w:ilvl w:val="0"/>
          <w:numId w:val="16"/>
        </w:numPr>
      </w:pPr>
      <w:r w:rsidRPr="00B47A6C">
        <w:rPr>
          <w:b/>
          <w:bCs/>
        </w:rPr>
        <w:t>2021:</w:t>
      </w:r>
      <w:r w:rsidRPr="00B47A6C">
        <w:t> </w:t>
      </w:r>
      <w:r w:rsidRPr="00B47A6C">
        <w:rPr>
          <w:b/>
          <w:bCs/>
        </w:rPr>
        <w:t>76,0 Mrd. USD</w:t>
      </w:r>
      <w:r w:rsidRPr="00B47A6C">
        <w:t>.</w:t>
      </w:r>
    </w:p>
    <w:p w14:paraId="0B0E2919" w14:textId="77777777" w:rsidR="00B47A6C" w:rsidRPr="00B47A6C" w:rsidRDefault="00B47A6C" w:rsidP="00B47A6C">
      <w:pPr>
        <w:numPr>
          <w:ilvl w:val="0"/>
          <w:numId w:val="16"/>
        </w:numPr>
      </w:pPr>
      <w:r w:rsidRPr="00B47A6C">
        <w:rPr>
          <w:b/>
          <w:bCs/>
        </w:rPr>
        <w:t>2022:</w:t>
      </w:r>
      <w:r w:rsidRPr="00B47A6C">
        <w:t> 60,0 Mrd. USD.</w:t>
      </w:r>
    </w:p>
    <w:p w14:paraId="394B5529" w14:textId="77777777" w:rsidR="00B47A6C" w:rsidRPr="00B47A6C" w:rsidRDefault="00B47A6C" w:rsidP="00B47A6C">
      <w:pPr>
        <w:numPr>
          <w:ilvl w:val="0"/>
          <w:numId w:val="16"/>
        </w:numPr>
      </w:pPr>
      <w:r w:rsidRPr="00B47A6C">
        <w:rPr>
          <w:b/>
          <w:bCs/>
        </w:rPr>
        <w:t>2023:</w:t>
      </w:r>
      <w:r w:rsidRPr="00B47A6C">
        <w:t> 73,8 Mrd. USD.</w:t>
      </w:r>
    </w:p>
    <w:p w14:paraId="1A0EDEC3" w14:textId="77777777" w:rsidR="00B47A6C" w:rsidRPr="00B47A6C" w:rsidRDefault="00B47A6C" w:rsidP="00B47A6C">
      <w:pPr>
        <w:numPr>
          <w:ilvl w:val="0"/>
          <w:numId w:val="16"/>
        </w:numPr>
      </w:pPr>
      <w:r w:rsidRPr="00B47A6C">
        <w:rPr>
          <w:b/>
          <w:bCs/>
        </w:rPr>
        <w:t>2024:</w:t>
      </w:r>
      <w:r w:rsidRPr="00B47A6C">
        <w:t> 100,1 Mrd. USD.</w:t>
      </w:r>
    </w:p>
    <w:p w14:paraId="4784A2A6" w14:textId="77777777" w:rsidR="00B47A6C" w:rsidRPr="00B47A6C" w:rsidRDefault="00B47A6C" w:rsidP="00B47A6C">
      <w:pPr>
        <w:numPr>
          <w:ilvl w:val="0"/>
          <w:numId w:val="16"/>
        </w:numPr>
      </w:pPr>
      <w:r w:rsidRPr="00B47A6C">
        <w:rPr>
          <w:b/>
          <w:bCs/>
        </w:rPr>
        <w:t>2025:</w:t>
      </w:r>
      <w:r w:rsidRPr="00B47A6C">
        <w:t> </w:t>
      </w:r>
      <w:r w:rsidRPr="00B47A6C">
        <w:rPr>
          <w:b/>
          <w:bCs/>
        </w:rPr>
        <w:t>132,2 Mrd. USD</w:t>
      </w:r>
      <w:r w:rsidRPr="00B47A6C">
        <w:t>.</w:t>
      </w:r>
    </w:p>
    <w:p w14:paraId="4660A2E8" w14:textId="77777777" w:rsidR="00B47A6C" w:rsidRPr="00B47A6C" w:rsidRDefault="00B47A6C" w:rsidP="00B47A6C">
      <w:r w:rsidRPr="00B47A6C">
        <w:rPr>
          <w:b/>
          <w:bCs/>
        </w:rPr>
        <w:lastRenderedPageBreak/>
        <w:t>3. Vergleich mit Wettbewerbern (insb. Microsoft/Bing)</w:t>
      </w:r>
    </w:p>
    <w:p w14:paraId="045667A4" w14:textId="77777777" w:rsidR="00B47A6C" w:rsidRPr="00B47A6C" w:rsidRDefault="00B47A6C" w:rsidP="00B47A6C">
      <w:r w:rsidRPr="00B47A6C">
        <w:t>Die Quellen verdeutlichen die finanzielle Kluft zwischen Google und seinen Konkurrenten:</w:t>
      </w:r>
    </w:p>
    <w:p w14:paraId="01D2AB64" w14:textId="77777777" w:rsidR="00B47A6C" w:rsidRPr="00B47A6C" w:rsidRDefault="00B47A6C" w:rsidP="00B47A6C">
      <w:pPr>
        <w:numPr>
          <w:ilvl w:val="0"/>
          <w:numId w:val="17"/>
        </w:numPr>
      </w:pPr>
      <w:r w:rsidRPr="00B47A6C">
        <w:rPr>
          <w:b/>
          <w:bCs/>
        </w:rPr>
        <w:t>Bing (Microsoft):</w:t>
      </w:r>
      <w:r w:rsidRPr="00B47A6C">
        <w:t> Während Google Search+ im Jahr 2021 über </w:t>
      </w:r>
      <w:r w:rsidRPr="00B47A6C">
        <w:rPr>
          <w:b/>
          <w:bCs/>
        </w:rPr>
        <w:t>146 Mrd. USD</w:t>
      </w:r>
      <w:r w:rsidRPr="00B47A6C">
        <w:t> Werbeumsatz generierte, kam Bing im selben Zeitraum auf weniger als </w:t>
      </w:r>
      <w:r w:rsidRPr="00B47A6C">
        <w:rPr>
          <w:b/>
          <w:bCs/>
        </w:rPr>
        <w:t>12 Mrd. USD</w:t>
      </w:r>
      <w:r w:rsidRPr="00B47A6C">
        <w:t>. Im Jahr 2022 betrugen Bings Such- und Nachrichten-Werbeumsätze etwa </w:t>
      </w:r>
      <w:r w:rsidRPr="00B47A6C">
        <w:rPr>
          <w:b/>
          <w:bCs/>
        </w:rPr>
        <w:t>11,6 Mrd. USD</w:t>
      </w:r>
      <w:r w:rsidRPr="00B47A6C">
        <w:t>, während Microsofts Gesamtumsatz bei über 198 Mrd. USD lag.</w:t>
      </w:r>
    </w:p>
    <w:p w14:paraId="0A05C045" w14:textId="77777777" w:rsidR="00B47A6C" w:rsidRPr="00B47A6C" w:rsidRDefault="00B47A6C" w:rsidP="00B47A6C">
      <w:pPr>
        <w:numPr>
          <w:ilvl w:val="0"/>
          <w:numId w:val="17"/>
        </w:numPr>
      </w:pPr>
      <w:r w:rsidRPr="00B47A6C">
        <w:rPr>
          <w:b/>
          <w:bCs/>
        </w:rPr>
        <w:t>Profitabilität des Wettbewerbs:</w:t>
      </w:r>
      <w:r w:rsidRPr="00B47A6C">
        <w:t> Im Jahr 2020 gab Google allein </w:t>
      </w:r>
      <w:r w:rsidRPr="00B47A6C">
        <w:rPr>
          <w:b/>
          <w:bCs/>
        </w:rPr>
        <w:t>11,1 Mrd. USD</w:t>
      </w:r>
      <w:r w:rsidRPr="00B47A6C">
        <w:t> für den Betrieb seines Suchanzeigengeschäfts aus – ein Betrag, der den gesamten Search-Jahresumsatz von Bing (7,7 Mrd. USD) deutlich überstieg.</w:t>
      </w:r>
    </w:p>
    <w:p w14:paraId="19ADDF9A" w14:textId="77777777" w:rsidR="00B47A6C" w:rsidRPr="00B47A6C" w:rsidRDefault="00B47A6C" w:rsidP="00B47A6C">
      <w:pPr>
        <w:numPr>
          <w:ilvl w:val="0"/>
          <w:numId w:val="17"/>
        </w:numPr>
      </w:pPr>
      <w:r w:rsidRPr="00B47A6C">
        <w:rPr>
          <w:b/>
          <w:bCs/>
        </w:rPr>
        <w:t>Mozilla:</w:t>
      </w:r>
      <w:r w:rsidRPr="00B47A6C">
        <w:t> Der Browser-Entwickler Mozilla erzielte 2018 einen Gesamtumsatz von lediglich </w:t>
      </w:r>
      <w:r w:rsidRPr="00B47A6C">
        <w:rPr>
          <w:b/>
          <w:bCs/>
        </w:rPr>
        <w:t>435 Mio. USD</w:t>
      </w:r>
      <w:r w:rsidRPr="00B47A6C">
        <w:t>, was die enorme Abhängigkeit von Googles Zahlungen verdeutlicht.</w:t>
      </w:r>
    </w:p>
    <w:p w14:paraId="3E67DAD2" w14:textId="77777777" w:rsidR="00B47A6C" w:rsidRPr="00B47A6C" w:rsidRDefault="00B47A6C" w:rsidP="00B47A6C">
      <w:pPr>
        <w:numPr>
          <w:ilvl w:val="0"/>
          <w:numId w:val="17"/>
        </w:numPr>
      </w:pPr>
      <w:r w:rsidRPr="00B47A6C">
        <w:rPr>
          <w:b/>
          <w:bCs/>
        </w:rPr>
        <w:t>Bedeutung für Apple:</w:t>
      </w:r>
      <w:r w:rsidRPr="00B47A6C">
        <w:t> Googles Zahlungen für den Standard-Status (Default) sind so hoch, dass sie schätzungsweise </w:t>
      </w:r>
      <w:r w:rsidRPr="00B47A6C">
        <w:rPr>
          <w:b/>
          <w:bCs/>
        </w:rPr>
        <w:t>15 % bis 20 % von Apples weltweitem Nettogewinn</w:t>
      </w:r>
      <w:r w:rsidRPr="00B47A6C">
        <w:t> ausmachen. Im Jahr 2020 entsprachen diese Zahlungen etwa </w:t>
      </w:r>
      <w:r w:rsidRPr="00B47A6C">
        <w:rPr>
          <w:b/>
          <w:bCs/>
        </w:rPr>
        <w:t>17,5 % von Apples operativem Gewinn</w:t>
      </w:r>
      <w:r w:rsidRPr="00B47A6C">
        <w:t>.</w:t>
      </w:r>
    </w:p>
    <w:p w14:paraId="31428A9C" w14:textId="77777777" w:rsidR="00B47A6C" w:rsidRPr="00B47A6C" w:rsidRDefault="00B47A6C" w:rsidP="00B47A6C">
      <w:r w:rsidRPr="00B47A6C">
        <w:rPr>
          <w:b/>
          <w:bCs/>
        </w:rPr>
        <w:t>4. Argumente der Kläger zu den Gewinnen</w:t>
      </w:r>
    </w:p>
    <w:p w14:paraId="60CC5C6F" w14:textId="77777777" w:rsidR="00B47A6C" w:rsidRPr="00B47A6C" w:rsidRDefault="00B47A6C" w:rsidP="00B47A6C">
      <w:r w:rsidRPr="00B47A6C">
        <w:t>Das DOJ und Experten argumentieren, dass diese </w:t>
      </w:r>
      <w:r w:rsidRPr="00B47A6C">
        <w:rPr>
          <w:b/>
          <w:bCs/>
        </w:rPr>
        <w:t>"</w:t>
      </w:r>
      <w:proofErr w:type="spellStart"/>
      <w:r w:rsidRPr="00B47A6C">
        <w:rPr>
          <w:b/>
          <w:bCs/>
        </w:rPr>
        <w:t>supracompetitive</w:t>
      </w:r>
      <w:proofErr w:type="spellEnd"/>
      <w:r w:rsidRPr="00B47A6C">
        <w:rPr>
          <w:b/>
          <w:bCs/>
        </w:rPr>
        <w:t>" Gewinne</w:t>
      </w:r>
      <w:r w:rsidRPr="00B47A6C">
        <w:t xml:space="preserve"> nur durch Googles Monopolmacht möglich sind. Google sei in der Lage, Preise durch interne Mechanismen (Pricing </w:t>
      </w:r>
      <w:proofErr w:type="spellStart"/>
      <w:r w:rsidRPr="00B47A6C">
        <w:t>Knobs</w:t>
      </w:r>
      <w:proofErr w:type="spellEnd"/>
      <w:r w:rsidRPr="00B47A6C">
        <w:t>) einseitig zu erhöhen und die Qualität zu senken, ohne Werbetreibende an Bing zu verlieren, da Bing nicht über die notwendige </w:t>
      </w:r>
      <w:r w:rsidRPr="00B47A6C">
        <w:rPr>
          <w:b/>
          <w:bCs/>
        </w:rPr>
        <w:t>Skalierung</w:t>
      </w:r>
      <w:r w:rsidRPr="00B47A6C">
        <w:t> verfügt, um effizient zu monetarisieren.</w:t>
      </w:r>
    </w:p>
    <w:p w14:paraId="521595E6" w14:textId="77777777" w:rsidR="00B47A6C" w:rsidRDefault="00B47A6C" w:rsidP="00B47A6C"/>
    <w:p w14:paraId="71253E7F" w14:textId="21C4D29B" w:rsidR="00B47A6C" w:rsidRPr="00B47A6C" w:rsidRDefault="00B47A6C" w:rsidP="00B47A6C">
      <w:pPr>
        <w:pBdr>
          <w:bottom w:val="single" w:sz="4" w:space="1" w:color="auto"/>
        </w:pBdr>
        <w:rPr>
          <w:b/>
          <w:bCs/>
        </w:rPr>
      </w:pPr>
      <w:r w:rsidRPr="00B47A6C">
        <w:rPr>
          <w:b/>
          <w:bCs/>
        </w:rPr>
        <w:t xml:space="preserve">Kapitel 4: </w:t>
      </w:r>
    </w:p>
    <w:p w14:paraId="601C61AB" w14:textId="77777777" w:rsidR="00B47A6C" w:rsidRPr="00B47A6C" w:rsidRDefault="00B47A6C" w:rsidP="00B47A6C">
      <w:r w:rsidRPr="00B47A6C">
        <w:t xml:space="preserve">Ja, die Quellen belegen eine systematische Diskrepanz </w:t>
      </w:r>
      <w:proofErr w:type="gramStart"/>
      <w:r w:rsidRPr="00B47A6C">
        <w:t>zwischen Googles</w:t>
      </w:r>
      <w:proofErr w:type="gramEnd"/>
      <w:r w:rsidRPr="00B47A6C">
        <w:t xml:space="preserve"> öffentlicher Berichterstattung und der internen Steuerung der Anzeigenpreise (</w:t>
      </w:r>
      <w:proofErr w:type="spellStart"/>
      <w:r w:rsidRPr="00B47A6C">
        <w:t>Cost</w:t>
      </w:r>
      <w:proofErr w:type="spellEnd"/>
      <w:r w:rsidRPr="00B47A6C">
        <w:t>-per-Click, CPC). Während Google nach außen Faktoren wie den </w:t>
      </w:r>
      <w:r w:rsidRPr="00B47A6C">
        <w:rPr>
          <w:b/>
          <w:bCs/>
        </w:rPr>
        <w:t>„Device Mix“</w:t>
      </w:r>
      <w:r w:rsidRPr="00B47A6C">
        <w:t> oder den </w:t>
      </w:r>
      <w:r w:rsidRPr="00B47A6C">
        <w:rPr>
          <w:b/>
          <w:bCs/>
        </w:rPr>
        <w:t>„Geographic Mix“</w:t>
      </w:r>
      <w:r w:rsidRPr="00B47A6C">
        <w:t> als Hauptgründe für Preisschwankungen anführte, nutzte das Unternehmen intern gezielt </w:t>
      </w:r>
      <w:r w:rsidRPr="00B47A6C">
        <w:rPr>
          <w:b/>
          <w:bCs/>
        </w:rPr>
        <w:t xml:space="preserve">„Pricing </w:t>
      </w:r>
      <w:proofErr w:type="spellStart"/>
      <w:r w:rsidRPr="00B47A6C">
        <w:rPr>
          <w:b/>
          <w:bCs/>
        </w:rPr>
        <w:t>Knobs</w:t>
      </w:r>
      <w:proofErr w:type="spellEnd"/>
      <w:r w:rsidRPr="00B47A6C">
        <w:rPr>
          <w:b/>
          <w:bCs/>
        </w:rPr>
        <w:t>“</w:t>
      </w:r>
      <w:r w:rsidRPr="00B47A6C">
        <w:t>, um Milliarden an zusätzlichem Umsatz zu generieren und Wachstumsziele zu erreichen.</w:t>
      </w:r>
    </w:p>
    <w:p w14:paraId="3BDBC951" w14:textId="77777777" w:rsidR="00B47A6C" w:rsidRPr="00B47A6C" w:rsidRDefault="00B47A6C" w:rsidP="00B47A6C">
      <w:r w:rsidRPr="00B47A6C">
        <w:t>Hier sind konkrete Beispiele und Zahlen für diese Abweichungen:</w:t>
      </w:r>
    </w:p>
    <w:p w14:paraId="79C70D5A" w14:textId="77777777" w:rsidR="00B47A6C" w:rsidRPr="00B47A6C" w:rsidRDefault="00B47A6C" w:rsidP="00B47A6C">
      <w:r w:rsidRPr="00B47A6C">
        <w:t>1. Wahrnehmung vs. Realität: Der 85-%-Faktor</w:t>
      </w:r>
    </w:p>
    <w:p w14:paraId="6458293C" w14:textId="77777777" w:rsidR="00B47A6C" w:rsidRPr="00B47A6C" w:rsidRDefault="00B47A6C" w:rsidP="00B47A6C">
      <w:r w:rsidRPr="00B47A6C">
        <w:t>Interne Google-Studien ergaben, dass Werbetreibende, die mit CPC-Änderungen konfrontiert wurden, diese Preisverschiebungen zu </w:t>
      </w:r>
      <w:r w:rsidRPr="00B47A6C">
        <w:rPr>
          <w:b/>
          <w:bCs/>
        </w:rPr>
        <w:t>85 %</w:t>
      </w:r>
      <w:r w:rsidRPr="00B47A6C">
        <w:t> auf externe Faktoren wie </w:t>
      </w:r>
      <w:r w:rsidRPr="00B47A6C">
        <w:rPr>
          <w:b/>
          <w:bCs/>
        </w:rPr>
        <w:t>Wettbewerb oder Saisonalität</w:t>
      </w:r>
      <w:r w:rsidRPr="00B47A6C">
        <w:t> zurückführten – und nicht auf Google.</w:t>
      </w:r>
    </w:p>
    <w:p w14:paraId="2532C03C" w14:textId="77777777" w:rsidR="00B47A6C" w:rsidRPr="00B47A6C" w:rsidRDefault="00B47A6C" w:rsidP="00B47A6C">
      <w:pPr>
        <w:numPr>
          <w:ilvl w:val="0"/>
          <w:numId w:val="18"/>
        </w:numPr>
      </w:pPr>
      <w:r w:rsidRPr="00B47A6C">
        <w:rPr>
          <w:b/>
          <w:bCs/>
        </w:rPr>
        <w:t>Interne Realität:</w:t>
      </w:r>
      <w:r w:rsidRPr="00B47A6C">
        <w:t> Google nutzte diese Fehlwahrnehmung bewusst aus, indem es Preiserhöhungen </w:t>
      </w:r>
      <w:r w:rsidRPr="00B47A6C">
        <w:rPr>
          <w:b/>
          <w:bCs/>
        </w:rPr>
        <w:t>inkrementell</w:t>
      </w:r>
      <w:r w:rsidRPr="00B47A6C">
        <w:t> (schrittweise) durchführte, damit sie für Werbetreibende wie gewöhnliches Marktrauschen (</w:t>
      </w:r>
      <w:r w:rsidRPr="00B47A6C">
        <w:rPr>
          <w:b/>
          <w:bCs/>
        </w:rPr>
        <w:t>„Noise“</w:t>
      </w:r>
      <w:r w:rsidRPr="00B47A6C">
        <w:t>) wirkten.</w:t>
      </w:r>
    </w:p>
    <w:p w14:paraId="270584AE" w14:textId="77777777" w:rsidR="00B47A6C" w:rsidRPr="00B47A6C" w:rsidRDefault="00B47A6C" w:rsidP="00B47A6C">
      <w:pPr>
        <w:numPr>
          <w:ilvl w:val="0"/>
          <w:numId w:val="18"/>
        </w:numPr>
      </w:pPr>
      <w:r w:rsidRPr="00B47A6C">
        <w:rPr>
          <w:b/>
          <w:bCs/>
        </w:rPr>
        <w:lastRenderedPageBreak/>
        <w:t>Öffentliche Erklärung:</w:t>
      </w:r>
      <w:r w:rsidRPr="00B47A6C">
        <w:t> In den Jahresberichten (10-K) wurden CPC-Änderungen regelmäßig durch eine Kombination aus „Device Mix“, „Geographic Mix“ und „Produkt-Änderungen“ erklärt.</w:t>
      </w:r>
    </w:p>
    <w:p w14:paraId="19BFDA9C" w14:textId="77777777" w:rsidR="00B47A6C" w:rsidRPr="00B47A6C" w:rsidRDefault="00B47A6C" w:rsidP="00B47A6C">
      <w:r w:rsidRPr="00B47A6C">
        <w:t xml:space="preserve">2. Project </w:t>
      </w:r>
      <w:proofErr w:type="spellStart"/>
      <w:r w:rsidRPr="00B47A6C">
        <w:t>Momiji</w:t>
      </w:r>
      <w:proofErr w:type="spellEnd"/>
      <w:r w:rsidRPr="00B47A6C">
        <w:t xml:space="preserve"> (2017)</w:t>
      </w:r>
    </w:p>
    <w:p w14:paraId="70324C84" w14:textId="77777777" w:rsidR="00B47A6C" w:rsidRPr="00B47A6C" w:rsidRDefault="00B47A6C" w:rsidP="00B47A6C">
      <w:r w:rsidRPr="00B47A6C">
        <w:t>Bei diesem Projekt testete Google, wie stark es die Preise durch das sogenannte „Format Pricing“ anheben konnte.</w:t>
      </w:r>
    </w:p>
    <w:p w14:paraId="54AE467C" w14:textId="77777777" w:rsidR="00B47A6C" w:rsidRPr="00B47A6C" w:rsidRDefault="00B47A6C" w:rsidP="00B47A6C">
      <w:pPr>
        <w:numPr>
          <w:ilvl w:val="0"/>
          <w:numId w:val="19"/>
        </w:numPr>
      </w:pPr>
      <w:r w:rsidRPr="00B47A6C">
        <w:rPr>
          <w:b/>
          <w:bCs/>
        </w:rPr>
        <w:t>Interne Realität:</w:t>
      </w:r>
      <w:r w:rsidRPr="00B47A6C">
        <w:t> Google gab intern zu, dass es „kein Prinzip gab, um zu sagen, was Formate kosten sollten“, entschied sich aber, dem </w:t>
      </w:r>
      <w:r w:rsidRPr="00B47A6C">
        <w:rPr>
          <w:b/>
          <w:bCs/>
        </w:rPr>
        <w:t>„langfristigen Umsatzfokus“</w:t>
      </w:r>
      <w:r w:rsidRPr="00B47A6C">
        <w:t> zu folgen. Man testete Preiserhöhungen von </w:t>
      </w:r>
      <w:r w:rsidRPr="00B47A6C">
        <w:rPr>
          <w:b/>
          <w:bCs/>
        </w:rPr>
        <w:t>15 %</w:t>
      </w:r>
      <w:r w:rsidRPr="00B47A6C">
        <w:t> und stellte fest, dass die Werbetreibenden darauf kaum reagierten (</w:t>
      </w:r>
      <w:r w:rsidRPr="00B47A6C">
        <w:rPr>
          <w:b/>
          <w:bCs/>
        </w:rPr>
        <w:t>„</w:t>
      </w:r>
      <w:proofErr w:type="spellStart"/>
      <w:r w:rsidRPr="00B47A6C">
        <w:rPr>
          <w:b/>
          <w:bCs/>
        </w:rPr>
        <w:t>heard</w:t>
      </w:r>
      <w:proofErr w:type="spellEnd"/>
      <w:r w:rsidRPr="00B47A6C">
        <w:rPr>
          <w:b/>
          <w:bCs/>
        </w:rPr>
        <w:t xml:space="preserve"> </w:t>
      </w:r>
      <w:proofErr w:type="spellStart"/>
      <w:r w:rsidRPr="00B47A6C">
        <w:rPr>
          <w:b/>
          <w:bCs/>
        </w:rPr>
        <w:t>nothing</w:t>
      </w:r>
      <w:proofErr w:type="spellEnd"/>
      <w:r w:rsidRPr="00B47A6C">
        <w:rPr>
          <w:b/>
          <w:bCs/>
        </w:rPr>
        <w:t>“</w:t>
      </w:r>
      <w:r w:rsidRPr="00B47A6C">
        <w:t>).</w:t>
      </w:r>
    </w:p>
    <w:p w14:paraId="3CD2D77E" w14:textId="77777777" w:rsidR="00B47A6C" w:rsidRPr="00B47A6C" w:rsidRDefault="00B47A6C" w:rsidP="00B47A6C">
      <w:pPr>
        <w:numPr>
          <w:ilvl w:val="0"/>
          <w:numId w:val="19"/>
        </w:numPr>
      </w:pPr>
      <w:r w:rsidRPr="00B47A6C">
        <w:rPr>
          <w:b/>
          <w:bCs/>
        </w:rPr>
        <w:t>Öffentliche Erklärung:</w:t>
      </w:r>
      <w:r w:rsidRPr="00B47A6C">
        <w:t> Solche Erhöhungen wurden nach außen hin als „Verbesserungen der Anzeigenformate und der Bereitstellung“ deklariert, die den Nutzwert für den Werbetreibenden erhöhen würden.</w:t>
      </w:r>
    </w:p>
    <w:p w14:paraId="7FA1CB72" w14:textId="77777777" w:rsidR="00B47A6C" w:rsidRPr="00B47A6C" w:rsidRDefault="00B47A6C" w:rsidP="00B47A6C">
      <w:r w:rsidRPr="00B47A6C">
        <w:t>3. „Code Yellow“ und Umsatzziele</w:t>
      </w:r>
    </w:p>
    <w:p w14:paraId="7D06C9F9" w14:textId="77777777" w:rsidR="00B47A6C" w:rsidRPr="00B47A6C" w:rsidRDefault="00B47A6C" w:rsidP="00B47A6C">
      <w:r w:rsidRPr="00B47A6C">
        <w:t>Wenn Google besorgt war, seine jährlichen Umsatzwachstumsziele von etwa </w:t>
      </w:r>
      <w:r w:rsidRPr="00B47A6C">
        <w:rPr>
          <w:b/>
          <w:bCs/>
        </w:rPr>
        <w:t>20 %</w:t>
      </w:r>
      <w:r w:rsidRPr="00B47A6C">
        <w:t> zu verfehlen, wurde intern ein </w:t>
      </w:r>
      <w:r w:rsidRPr="00B47A6C">
        <w:rPr>
          <w:b/>
          <w:bCs/>
        </w:rPr>
        <w:t>„Code Yellow“</w:t>
      </w:r>
      <w:r w:rsidRPr="00B47A6C">
        <w:t> ausgerufen.</w:t>
      </w:r>
    </w:p>
    <w:p w14:paraId="087F5583" w14:textId="77777777" w:rsidR="00B47A6C" w:rsidRPr="00B47A6C" w:rsidRDefault="00B47A6C" w:rsidP="00B47A6C">
      <w:pPr>
        <w:numPr>
          <w:ilvl w:val="0"/>
          <w:numId w:val="20"/>
        </w:numPr>
      </w:pPr>
      <w:r w:rsidRPr="00B47A6C">
        <w:rPr>
          <w:b/>
          <w:bCs/>
        </w:rPr>
        <w:t>Interne Realität:</w:t>
      </w:r>
      <w:r w:rsidRPr="00B47A6C">
        <w:t> In diesen Phasen hatten „Umsatz-</w:t>
      </w:r>
      <w:proofErr w:type="spellStart"/>
      <w:r w:rsidRPr="00B47A6C">
        <w:t>Launches</w:t>
      </w:r>
      <w:proofErr w:type="spellEnd"/>
      <w:r w:rsidRPr="00B47A6C">
        <w:t>“ durch </w:t>
      </w:r>
      <w:r w:rsidRPr="00B47A6C">
        <w:rPr>
          <w:b/>
          <w:bCs/>
        </w:rPr>
        <w:t>„intentional pricing“</w:t>
      </w:r>
      <w:r w:rsidRPr="00B47A6C">
        <w:t> (gezielte Preissteuerung) oberste Priorität. Projekte wie „</w:t>
      </w:r>
      <w:proofErr w:type="spellStart"/>
      <w:r w:rsidRPr="00B47A6C">
        <w:t>Sugarshack</w:t>
      </w:r>
      <w:proofErr w:type="spellEnd"/>
      <w:r w:rsidRPr="00B47A6C">
        <w:t>“ wurden explizit gestartet, um Umsatzlücken zu füllen.</w:t>
      </w:r>
    </w:p>
    <w:p w14:paraId="18004667" w14:textId="77777777" w:rsidR="00B47A6C" w:rsidRPr="00B47A6C" w:rsidRDefault="00B47A6C" w:rsidP="00B47A6C">
      <w:pPr>
        <w:numPr>
          <w:ilvl w:val="0"/>
          <w:numId w:val="20"/>
        </w:numPr>
      </w:pPr>
      <w:r w:rsidRPr="00B47A6C">
        <w:rPr>
          <w:b/>
          <w:bCs/>
        </w:rPr>
        <w:t>Öffentliche Erklärung:</w:t>
      </w:r>
      <w:r w:rsidRPr="00B47A6C">
        <w:t xml:space="preserve"> In den </w:t>
      </w:r>
      <w:proofErr w:type="spellStart"/>
      <w:r w:rsidRPr="00B47A6C">
        <w:t>Earnings</w:t>
      </w:r>
      <w:proofErr w:type="spellEnd"/>
      <w:r w:rsidRPr="00B47A6C">
        <w:t xml:space="preserve"> Calls und Berichten wurde ein konstantes Wachstum meist mit der allgemeinen Zunahme von Suchanfragen auf Mobilgeräten und der Effizienz des Auktionssystems begründet.</w:t>
      </w:r>
    </w:p>
    <w:p w14:paraId="5D999FA7" w14:textId="77777777" w:rsidR="00B47A6C" w:rsidRPr="00B47A6C" w:rsidRDefault="00B47A6C" w:rsidP="00B47A6C">
      <w:r w:rsidRPr="00B47A6C">
        <w:t xml:space="preserve">4. </w:t>
      </w:r>
      <w:proofErr w:type="spellStart"/>
      <w:r w:rsidRPr="00B47A6C">
        <w:t>rGSP</w:t>
      </w:r>
      <w:proofErr w:type="spellEnd"/>
      <w:r w:rsidRPr="00B47A6C">
        <w:t xml:space="preserve"> (</w:t>
      </w:r>
      <w:proofErr w:type="spellStart"/>
      <w:r w:rsidRPr="00B47A6C">
        <w:t>Randomized</w:t>
      </w:r>
      <w:proofErr w:type="spellEnd"/>
      <w:r w:rsidRPr="00B47A6C">
        <w:t xml:space="preserve"> GSP) und Preismacht</w:t>
      </w:r>
    </w:p>
    <w:p w14:paraId="698EB962" w14:textId="77777777" w:rsidR="00B47A6C" w:rsidRPr="00B47A6C" w:rsidRDefault="00B47A6C" w:rsidP="00B47A6C">
      <w:r w:rsidRPr="00B47A6C">
        <w:t xml:space="preserve">Der </w:t>
      </w:r>
      <w:proofErr w:type="spellStart"/>
      <w:r w:rsidRPr="00B47A6C">
        <w:t>rGSP</w:t>
      </w:r>
      <w:proofErr w:type="spellEnd"/>
      <w:r w:rsidRPr="00B47A6C">
        <w:t>-Mechanismus (auch Polyjuice genannt) wurde 2019 eingeführt, um den Umsatz in Auktionen mit geringem Wettbewerb zu steigern.</w:t>
      </w:r>
    </w:p>
    <w:p w14:paraId="236ADE23" w14:textId="77777777" w:rsidR="00B47A6C" w:rsidRPr="00B47A6C" w:rsidRDefault="00B47A6C" w:rsidP="00B47A6C">
      <w:pPr>
        <w:numPr>
          <w:ilvl w:val="0"/>
          <w:numId w:val="21"/>
        </w:numPr>
      </w:pPr>
      <w:r w:rsidRPr="00B47A6C">
        <w:rPr>
          <w:b/>
          <w:bCs/>
        </w:rPr>
        <w:t>Interne Realität:</w:t>
      </w:r>
      <w:r w:rsidRPr="00B47A6C">
        <w:t xml:space="preserve"> Experimente zeigten, dass </w:t>
      </w:r>
      <w:proofErr w:type="spellStart"/>
      <w:r w:rsidRPr="00B47A6C">
        <w:t>rGSP</w:t>
      </w:r>
      <w:proofErr w:type="spellEnd"/>
      <w:r w:rsidRPr="00B47A6C">
        <w:t xml:space="preserve"> die CPCs für Top-Anzeigen auf PCs um </w:t>
      </w:r>
      <w:r w:rsidRPr="00B47A6C">
        <w:rPr>
          <w:b/>
          <w:bCs/>
        </w:rPr>
        <w:t>5,91 %</w:t>
      </w:r>
      <w:r w:rsidRPr="00B47A6C">
        <w:t> und auf Mobilgeräten um </w:t>
      </w:r>
      <w:r w:rsidRPr="00B47A6C">
        <w:rPr>
          <w:b/>
          <w:bCs/>
        </w:rPr>
        <w:t>4,85 %</w:t>
      </w:r>
      <w:r w:rsidRPr="00B47A6C">
        <w:t> erhöhte. Ein </w:t>
      </w:r>
      <w:proofErr w:type="spellStart"/>
      <w:r w:rsidRPr="00B47A6C">
        <w:rPr>
          <w:b/>
          <w:bCs/>
        </w:rPr>
        <w:t>Stickage</w:t>
      </w:r>
      <w:proofErr w:type="spellEnd"/>
      <w:r w:rsidRPr="00B47A6C">
        <w:rPr>
          <w:b/>
          <w:bCs/>
        </w:rPr>
        <w:t>-Faktor von 50 %</w:t>
      </w:r>
      <w:r w:rsidRPr="00B47A6C">
        <w:t> (Dauerhaftigkeit der Gewinne) wurde als Erfolg gewertet.</w:t>
      </w:r>
    </w:p>
    <w:p w14:paraId="55D8B004" w14:textId="77777777" w:rsidR="00B47A6C" w:rsidRPr="00B47A6C" w:rsidRDefault="00B47A6C" w:rsidP="00B47A6C">
      <w:pPr>
        <w:numPr>
          <w:ilvl w:val="0"/>
          <w:numId w:val="21"/>
        </w:numPr>
      </w:pPr>
      <w:r w:rsidRPr="00B47A6C">
        <w:rPr>
          <w:b/>
          <w:bCs/>
        </w:rPr>
        <w:t>Öffentliche Erklärung:</w:t>
      </w:r>
      <w:r w:rsidRPr="00B47A6C">
        <w:t> Während Google intern über die „Extraktion von Wert“ sprach, betonte es öffentlich immer wieder, dass das Auktionssystem lediglich Angebot und Nachfrage effizient zusammenführe.</w:t>
      </w:r>
    </w:p>
    <w:p w14:paraId="74E57858" w14:textId="77777777" w:rsidR="00B47A6C" w:rsidRPr="00B47A6C" w:rsidRDefault="00B47A6C" w:rsidP="00B47A6C">
      <w:r w:rsidRPr="00B47A6C">
        <w:t>Zusammenfassende Zahlen aus den Quellen</w:t>
      </w:r>
    </w:p>
    <w:p w14:paraId="2246C194" w14:textId="77777777" w:rsidR="00B47A6C" w:rsidRPr="00B47A6C" w:rsidRDefault="00B47A6C" w:rsidP="00B47A6C">
      <w:pPr>
        <w:numPr>
          <w:ilvl w:val="0"/>
          <w:numId w:val="22"/>
        </w:numPr>
      </w:pPr>
      <w:r w:rsidRPr="00B47A6C">
        <w:rPr>
          <w:b/>
          <w:bCs/>
        </w:rPr>
        <w:t>5 % bis 15 %:</w:t>
      </w:r>
      <w:r w:rsidRPr="00B47A6C">
        <w:t xml:space="preserve"> Typische CPC-Erhöhung </w:t>
      </w:r>
      <w:proofErr w:type="gramStart"/>
      <w:r w:rsidRPr="00B47A6C">
        <w:t>pro gezielter Maßnahme</w:t>
      </w:r>
      <w:proofErr w:type="gramEnd"/>
      <w:r w:rsidRPr="00B47A6C">
        <w:t xml:space="preserve"> durch „Pricing </w:t>
      </w:r>
      <w:proofErr w:type="spellStart"/>
      <w:r w:rsidRPr="00B47A6C">
        <w:t>Knobs</w:t>
      </w:r>
      <w:proofErr w:type="spellEnd"/>
      <w:r w:rsidRPr="00B47A6C">
        <w:t>“.</w:t>
      </w:r>
    </w:p>
    <w:p w14:paraId="0F7D1D1D" w14:textId="77777777" w:rsidR="00B47A6C" w:rsidRPr="00B47A6C" w:rsidRDefault="00B47A6C" w:rsidP="00B47A6C">
      <w:pPr>
        <w:numPr>
          <w:ilvl w:val="0"/>
          <w:numId w:val="22"/>
        </w:numPr>
      </w:pPr>
      <w:r w:rsidRPr="00B47A6C">
        <w:rPr>
          <w:b/>
          <w:bCs/>
        </w:rPr>
        <w:t xml:space="preserve">50 % </w:t>
      </w:r>
      <w:proofErr w:type="spellStart"/>
      <w:r w:rsidRPr="00B47A6C">
        <w:rPr>
          <w:b/>
          <w:bCs/>
        </w:rPr>
        <w:t>Stickage</w:t>
      </w:r>
      <w:proofErr w:type="spellEnd"/>
      <w:r w:rsidRPr="00B47A6C">
        <w:rPr>
          <w:b/>
          <w:bCs/>
        </w:rPr>
        <w:t>:</w:t>
      </w:r>
      <w:r w:rsidRPr="00B47A6C">
        <w:t> Die Rate, mit der Google Preiserhöhungen dauerhaft im Markt etablierte, ohne dass Werbetreibende ihr Budget abzogen.</w:t>
      </w:r>
    </w:p>
    <w:p w14:paraId="4DD2ACEA" w14:textId="77777777" w:rsidR="00B47A6C" w:rsidRPr="00B47A6C" w:rsidRDefault="00B47A6C" w:rsidP="00B47A6C">
      <w:pPr>
        <w:numPr>
          <w:ilvl w:val="0"/>
          <w:numId w:val="22"/>
        </w:numPr>
      </w:pPr>
      <w:r w:rsidRPr="00B47A6C">
        <w:rPr>
          <w:b/>
          <w:bCs/>
        </w:rPr>
        <w:t>6 Milliarden USD:</w:t>
      </w:r>
      <w:r w:rsidRPr="00B47A6C">
        <w:t> Inkrementelles jährliches Umsatzpotenzial, das allein durch das Projekt „</w:t>
      </w:r>
      <w:proofErr w:type="spellStart"/>
      <w:r w:rsidRPr="00B47A6C">
        <w:t>Stateful</w:t>
      </w:r>
      <w:proofErr w:type="spellEnd"/>
      <w:r w:rsidRPr="00B47A6C">
        <w:t xml:space="preserve"> Pricing“ identifiziert wurde.</w:t>
      </w:r>
    </w:p>
    <w:p w14:paraId="26405C82" w14:textId="77777777" w:rsidR="00B47A6C" w:rsidRPr="00B47A6C" w:rsidRDefault="00B47A6C" w:rsidP="00B47A6C">
      <w:pPr>
        <w:numPr>
          <w:ilvl w:val="0"/>
          <w:numId w:val="22"/>
        </w:numPr>
      </w:pPr>
      <w:r w:rsidRPr="00B47A6C">
        <w:rPr>
          <w:b/>
          <w:bCs/>
        </w:rPr>
        <w:lastRenderedPageBreak/>
        <w:t>370 % Aufschlag:</w:t>
      </w:r>
      <w:r w:rsidRPr="00B47A6C">
        <w:t xml:space="preserve"> Unter </w:t>
      </w:r>
      <w:proofErr w:type="spellStart"/>
      <w:r w:rsidRPr="00B47A6C">
        <w:t>rGSP</w:t>
      </w:r>
      <w:proofErr w:type="spellEnd"/>
      <w:r w:rsidRPr="00B47A6C">
        <w:t xml:space="preserve"> musste ein Top-Bieter teilweise sein Gebot um diesen Wert über das des Zweitplatzierten erhöhen, um seine Position trotz künstlicher Vertauschungschance sicher zu verteidigen.</w:t>
      </w:r>
    </w:p>
    <w:p w14:paraId="0E29B65B" w14:textId="77777777" w:rsidR="00B47A6C" w:rsidRDefault="00B47A6C" w:rsidP="00B47A6C">
      <w:r w:rsidRPr="00B47A6C">
        <w:t>Das Gericht im Mehta-Urteil stellte fest, dass diese unkontrollierten Preiserhöhungen nur möglich waren, weil Google seine Monopolmacht ausnutzte und keine nennenswerte Abwanderung zu Konkurrenten wie Bing befürchten musste.</w:t>
      </w:r>
    </w:p>
    <w:p w14:paraId="73BF3FD5" w14:textId="77777777" w:rsidR="00B47A6C" w:rsidRDefault="00B47A6C" w:rsidP="00B47A6C"/>
    <w:p w14:paraId="55840CF7" w14:textId="77777777" w:rsidR="00B47A6C" w:rsidRPr="00B47A6C" w:rsidRDefault="00B47A6C" w:rsidP="00B47A6C">
      <w:r w:rsidRPr="00B47A6C">
        <w:t>Basierend auf den vorliegenden Quellen lässt sich eine deutliche Diskrepanz zwischen der öffentlichen Kommunikation von Google (z. B. in 10-K-Berichten) und der tatsächlichen internen Steuerung des Unternehmens feststellen. Während Google nach außen hin ein Bild von hoher Wettbewerbsintensität und nutzerorientierten Schwankungen vermittelt, zeigen interne Dokumente eine präzise Steuerung von Umsatzzielen durch gezielte Preismanipulationen.</w:t>
      </w:r>
    </w:p>
    <w:p w14:paraId="45F24868" w14:textId="77777777" w:rsidR="00B47A6C" w:rsidRPr="00B47A6C" w:rsidRDefault="00B47A6C" w:rsidP="00B47A6C">
      <w:r w:rsidRPr="00B47A6C">
        <w:t>Hier ist eine Gegenüberstellung der kommunizierten Kennzahlen und der intern genutzten Metriken:</w:t>
      </w:r>
    </w:p>
    <w:p w14:paraId="7AD08E1A" w14:textId="77777777" w:rsidR="00B47A6C" w:rsidRPr="00B47A6C" w:rsidRDefault="00B47A6C" w:rsidP="00B47A6C">
      <w:r w:rsidRPr="00B47A6C">
        <w:rPr>
          <w:b/>
          <w:bCs/>
        </w:rPr>
        <w:t>Gegenüberstellung: Öffentlich vs. Intern</w:t>
      </w:r>
    </w:p>
    <w:tbl>
      <w:tblPr>
        <w:tblW w:w="0" w:type="auto"/>
        <w:tblCellMar>
          <w:top w:w="15" w:type="dxa"/>
          <w:left w:w="15" w:type="dxa"/>
          <w:bottom w:w="15" w:type="dxa"/>
          <w:right w:w="15" w:type="dxa"/>
        </w:tblCellMar>
        <w:tblLook w:val="04A0" w:firstRow="1" w:lastRow="0" w:firstColumn="1" w:lastColumn="0" w:noHBand="0" w:noVBand="1"/>
      </w:tblPr>
      <w:tblGrid>
        <w:gridCol w:w="1628"/>
        <w:gridCol w:w="3267"/>
        <w:gridCol w:w="4177"/>
      </w:tblGrid>
      <w:tr w:rsidR="00B47A6C" w:rsidRPr="00B47A6C" w14:paraId="217CA289" w14:textId="77777777" w:rsidTr="00B47A6C">
        <w:tc>
          <w:tcPr>
            <w:tcW w:w="0" w:type="auto"/>
            <w:tcBorders>
              <w:bottom w:val="single" w:sz="6" w:space="0" w:color="919191"/>
            </w:tcBorders>
            <w:hideMark/>
          </w:tcPr>
          <w:p w14:paraId="2DE870DC" w14:textId="77777777" w:rsidR="00B47A6C" w:rsidRPr="00B47A6C" w:rsidRDefault="00B47A6C" w:rsidP="00B47A6C">
            <w:pPr>
              <w:rPr>
                <w:b/>
                <w:bCs/>
              </w:rPr>
            </w:pPr>
            <w:r w:rsidRPr="00B47A6C">
              <w:rPr>
                <w:b/>
                <w:bCs/>
              </w:rPr>
              <w:t>Kategorie</w:t>
            </w:r>
          </w:p>
        </w:tc>
        <w:tc>
          <w:tcPr>
            <w:tcW w:w="0" w:type="auto"/>
            <w:tcBorders>
              <w:bottom w:val="single" w:sz="6" w:space="0" w:color="919191"/>
            </w:tcBorders>
            <w:hideMark/>
          </w:tcPr>
          <w:p w14:paraId="493E73AD" w14:textId="77777777" w:rsidR="00B47A6C" w:rsidRPr="00B47A6C" w:rsidRDefault="00B47A6C" w:rsidP="00B47A6C">
            <w:pPr>
              <w:rPr>
                <w:b/>
                <w:bCs/>
              </w:rPr>
            </w:pPr>
            <w:r w:rsidRPr="00B47A6C">
              <w:rPr>
                <w:b/>
                <w:bCs/>
              </w:rPr>
              <w:t xml:space="preserve">Öffentliche Kommunikation (10-K / </w:t>
            </w:r>
            <w:proofErr w:type="spellStart"/>
            <w:r w:rsidRPr="00B47A6C">
              <w:rPr>
                <w:b/>
                <w:bCs/>
              </w:rPr>
              <w:t>Earnings</w:t>
            </w:r>
            <w:proofErr w:type="spellEnd"/>
            <w:r w:rsidRPr="00B47A6C">
              <w:rPr>
                <w:b/>
                <w:bCs/>
              </w:rPr>
              <w:t xml:space="preserve"> Calls)</w:t>
            </w:r>
          </w:p>
        </w:tc>
        <w:tc>
          <w:tcPr>
            <w:tcW w:w="0" w:type="auto"/>
            <w:tcBorders>
              <w:bottom w:val="single" w:sz="6" w:space="0" w:color="919191"/>
            </w:tcBorders>
            <w:hideMark/>
          </w:tcPr>
          <w:p w14:paraId="7BE87FD2" w14:textId="77777777" w:rsidR="00B47A6C" w:rsidRPr="00B47A6C" w:rsidRDefault="00B47A6C" w:rsidP="00B47A6C">
            <w:pPr>
              <w:rPr>
                <w:b/>
                <w:bCs/>
              </w:rPr>
            </w:pPr>
            <w:r w:rsidRPr="00B47A6C">
              <w:rPr>
                <w:b/>
                <w:bCs/>
              </w:rPr>
              <w:t>Interne Steuerung (DOJ-Dokumente / UPX-Präsentationen)</w:t>
            </w:r>
          </w:p>
        </w:tc>
      </w:tr>
      <w:tr w:rsidR="00B47A6C" w:rsidRPr="00B47A6C" w14:paraId="0ABA5775" w14:textId="77777777" w:rsidTr="00B47A6C">
        <w:tc>
          <w:tcPr>
            <w:tcW w:w="0" w:type="auto"/>
            <w:tcBorders>
              <w:bottom w:val="single" w:sz="6" w:space="0" w:color="DDE1EB"/>
            </w:tcBorders>
            <w:hideMark/>
          </w:tcPr>
          <w:p w14:paraId="4574365D" w14:textId="77777777" w:rsidR="00B47A6C" w:rsidRPr="00B47A6C" w:rsidRDefault="00B47A6C" w:rsidP="00B47A6C">
            <w:r w:rsidRPr="00B47A6C">
              <w:rPr>
                <w:b/>
                <w:bCs/>
              </w:rPr>
              <w:t>Umsatz &amp; Profit</w:t>
            </w:r>
          </w:p>
        </w:tc>
        <w:tc>
          <w:tcPr>
            <w:tcW w:w="0" w:type="auto"/>
            <w:tcBorders>
              <w:bottom w:val="single" w:sz="6" w:space="0" w:color="DDE1EB"/>
            </w:tcBorders>
            <w:hideMark/>
          </w:tcPr>
          <w:p w14:paraId="16566A66" w14:textId="77777777" w:rsidR="00B47A6C" w:rsidRPr="00B47A6C" w:rsidRDefault="00B47A6C" w:rsidP="00B47A6C">
            <w:r w:rsidRPr="00B47A6C">
              <w:rPr>
                <w:b/>
                <w:bCs/>
              </w:rPr>
              <w:t>Segmentumsatz</w:t>
            </w:r>
            <w:r w:rsidRPr="00B47A6C">
              <w:t> (Google Services, Cloud); </w:t>
            </w:r>
            <w:r w:rsidRPr="00B47A6C">
              <w:rPr>
                <w:b/>
                <w:bCs/>
              </w:rPr>
              <w:t>TAC</w:t>
            </w:r>
            <w:r w:rsidRPr="00B47A6C">
              <w:t> (Traffic Acquisition Costs) als Kostenfaktor.</w:t>
            </w:r>
          </w:p>
        </w:tc>
        <w:tc>
          <w:tcPr>
            <w:tcW w:w="0" w:type="auto"/>
            <w:tcBorders>
              <w:bottom w:val="single" w:sz="6" w:space="0" w:color="DDE1EB"/>
            </w:tcBorders>
            <w:hideMark/>
          </w:tcPr>
          <w:p w14:paraId="0C3C9204" w14:textId="77777777" w:rsidR="00B47A6C" w:rsidRPr="00B47A6C" w:rsidRDefault="00B47A6C" w:rsidP="00B47A6C">
            <w:r w:rsidRPr="00B47A6C">
              <w:rPr>
                <w:b/>
                <w:bCs/>
              </w:rPr>
              <w:t>„Search+“ Bruttomargen</w:t>
            </w:r>
            <w:r w:rsidRPr="00B47A6C">
              <w:t> (konstant 76–82 %); </w:t>
            </w:r>
            <w:proofErr w:type="spellStart"/>
            <w:r w:rsidRPr="00B47A6C">
              <w:rPr>
                <w:b/>
                <w:bCs/>
              </w:rPr>
              <w:t>Headroom</w:t>
            </w:r>
            <w:proofErr w:type="spellEnd"/>
            <w:r w:rsidRPr="00B47A6C">
              <w:t>-Analysen (potenziell abschöpfbarer Spielraum zwischen Preis und Wert).</w:t>
            </w:r>
          </w:p>
        </w:tc>
      </w:tr>
      <w:tr w:rsidR="00B47A6C" w:rsidRPr="00B47A6C" w14:paraId="2E94EC96" w14:textId="77777777" w:rsidTr="00B47A6C">
        <w:tc>
          <w:tcPr>
            <w:tcW w:w="0" w:type="auto"/>
            <w:tcBorders>
              <w:bottom w:val="single" w:sz="6" w:space="0" w:color="DDE1EB"/>
            </w:tcBorders>
            <w:hideMark/>
          </w:tcPr>
          <w:p w14:paraId="29B9D93B" w14:textId="77777777" w:rsidR="00B47A6C" w:rsidRPr="00B47A6C" w:rsidRDefault="00B47A6C" w:rsidP="00B47A6C">
            <w:r w:rsidRPr="00B47A6C">
              <w:rPr>
                <w:b/>
                <w:bCs/>
              </w:rPr>
              <w:t>Anzeigenpreise (CPC)</w:t>
            </w:r>
          </w:p>
        </w:tc>
        <w:tc>
          <w:tcPr>
            <w:tcW w:w="0" w:type="auto"/>
            <w:tcBorders>
              <w:bottom w:val="single" w:sz="6" w:space="0" w:color="DDE1EB"/>
            </w:tcBorders>
            <w:hideMark/>
          </w:tcPr>
          <w:p w14:paraId="59CF68F9" w14:textId="77777777" w:rsidR="00B47A6C" w:rsidRPr="00B47A6C" w:rsidRDefault="00B47A6C" w:rsidP="00B47A6C">
            <w:r w:rsidRPr="00B47A6C">
              <w:rPr>
                <w:b/>
                <w:bCs/>
              </w:rPr>
              <w:t>Aggregierte CPC-Änderung (%)</w:t>
            </w:r>
            <w:r w:rsidRPr="00B47A6C">
              <w:t>; Begründung durch „Device Mix“, „Geographic Mix“ oder „Saisonalität“.</w:t>
            </w:r>
          </w:p>
        </w:tc>
        <w:tc>
          <w:tcPr>
            <w:tcW w:w="0" w:type="auto"/>
            <w:tcBorders>
              <w:bottom w:val="single" w:sz="6" w:space="0" w:color="DDE1EB"/>
            </w:tcBorders>
            <w:hideMark/>
          </w:tcPr>
          <w:p w14:paraId="04FB0FAC" w14:textId="77777777" w:rsidR="00B47A6C" w:rsidRPr="00B47A6C" w:rsidRDefault="00B47A6C" w:rsidP="00B47A6C">
            <w:r w:rsidRPr="00B47A6C">
              <w:rPr>
                <w:b/>
                <w:bCs/>
              </w:rPr>
              <w:t xml:space="preserve">„Pricing </w:t>
            </w:r>
            <w:proofErr w:type="spellStart"/>
            <w:r w:rsidRPr="00B47A6C">
              <w:rPr>
                <w:b/>
                <w:bCs/>
              </w:rPr>
              <w:t>Knobs</w:t>
            </w:r>
            <w:proofErr w:type="spellEnd"/>
            <w:r w:rsidRPr="00B47A6C">
              <w:rPr>
                <w:b/>
                <w:bCs/>
              </w:rPr>
              <w:t>“</w:t>
            </w:r>
            <w:r w:rsidRPr="00B47A6C">
              <w:t> (</w:t>
            </w:r>
            <w:proofErr w:type="spellStart"/>
            <w:r w:rsidRPr="00B47A6C">
              <w:t>Squashing</w:t>
            </w:r>
            <w:proofErr w:type="spellEnd"/>
            <w:r w:rsidRPr="00B47A6C">
              <w:t xml:space="preserve">, </w:t>
            </w:r>
            <w:proofErr w:type="spellStart"/>
            <w:r w:rsidRPr="00B47A6C">
              <w:t>rGSP</w:t>
            </w:r>
            <w:proofErr w:type="spellEnd"/>
            <w:r w:rsidRPr="00B47A6C">
              <w:t>, Format Pricing) zur aktiven Preiserhöhung; </w:t>
            </w:r>
            <w:proofErr w:type="spellStart"/>
            <w:r w:rsidRPr="00B47A6C">
              <w:rPr>
                <w:b/>
                <w:bCs/>
              </w:rPr>
              <w:t>Stickage</w:t>
            </w:r>
            <w:proofErr w:type="spellEnd"/>
            <w:r w:rsidRPr="00B47A6C">
              <w:rPr>
                <w:b/>
                <w:bCs/>
              </w:rPr>
              <w:t xml:space="preserve"> </w:t>
            </w:r>
            <w:proofErr w:type="spellStart"/>
            <w:r w:rsidRPr="00B47A6C">
              <w:rPr>
                <w:b/>
                <w:bCs/>
              </w:rPr>
              <w:t>Factor</w:t>
            </w:r>
            <w:proofErr w:type="spellEnd"/>
            <w:r w:rsidRPr="00B47A6C">
              <w:t> (Beständigkeit von Preiserhöhungen nach Nutzerreaktion).</w:t>
            </w:r>
          </w:p>
        </w:tc>
      </w:tr>
      <w:tr w:rsidR="00B47A6C" w:rsidRPr="00B47A6C" w14:paraId="1BDC88B1" w14:textId="77777777" w:rsidTr="00B47A6C">
        <w:tc>
          <w:tcPr>
            <w:tcW w:w="0" w:type="auto"/>
            <w:tcBorders>
              <w:bottom w:val="single" w:sz="6" w:space="0" w:color="DDE1EB"/>
            </w:tcBorders>
            <w:hideMark/>
          </w:tcPr>
          <w:p w14:paraId="22450BB0" w14:textId="77777777" w:rsidR="00B47A6C" w:rsidRPr="00B47A6C" w:rsidRDefault="00B47A6C" w:rsidP="00B47A6C">
            <w:r w:rsidRPr="00B47A6C">
              <w:rPr>
                <w:b/>
                <w:bCs/>
              </w:rPr>
              <w:t>Auktionslogik</w:t>
            </w:r>
          </w:p>
        </w:tc>
        <w:tc>
          <w:tcPr>
            <w:tcW w:w="0" w:type="auto"/>
            <w:tcBorders>
              <w:bottom w:val="single" w:sz="6" w:space="0" w:color="DDE1EB"/>
            </w:tcBorders>
            <w:hideMark/>
          </w:tcPr>
          <w:p w14:paraId="4DDE2692" w14:textId="77777777" w:rsidR="00B47A6C" w:rsidRPr="00B47A6C" w:rsidRDefault="00B47A6C" w:rsidP="00B47A6C">
            <w:r w:rsidRPr="00B47A6C">
              <w:t>Anzeigenrelevanz und Gebote bestimmen den Platz.</w:t>
            </w:r>
          </w:p>
        </w:tc>
        <w:tc>
          <w:tcPr>
            <w:tcW w:w="0" w:type="auto"/>
            <w:tcBorders>
              <w:bottom w:val="single" w:sz="6" w:space="0" w:color="DDE1EB"/>
            </w:tcBorders>
            <w:hideMark/>
          </w:tcPr>
          <w:p w14:paraId="5E7A7B64" w14:textId="77777777" w:rsidR="00B47A6C" w:rsidRPr="00B47A6C" w:rsidRDefault="00B47A6C" w:rsidP="00B47A6C">
            <w:r w:rsidRPr="00B47A6C">
              <w:rPr>
                <w:b/>
                <w:bCs/>
              </w:rPr>
              <w:t>LTV-Formel</w:t>
            </w:r>
            <w:r w:rsidRPr="00B47A6C">
              <w:t> (</w:t>
            </w:r>
            <w:r w:rsidRPr="00B47A6C">
              <w:rPr>
                <w:i/>
                <w:iCs/>
              </w:rPr>
              <w:t>LTV</w:t>
            </w:r>
            <w:r w:rsidRPr="00B47A6C">
              <w:t>=</w:t>
            </w:r>
            <w:proofErr w:type="spellStart"/>
            <w:r w:rsidRPr="00B47A6C">
              <w:rPr>
                <w:i/>
                <w:iCs/>
              </w:rPr>
              <w:t>bid</w:t>
            </w:r>
            <w:r w:rsidRPr="00B47A6C">
              <w:rPr>
                <w:rFonts w:ascii="Cambria Math" w:hAnsi="Cambria Math" w:cs="Cambria Math"/>
              </w:rPr>
              <w:t>⋅</w:t>
            </w:r>
            <w:r w:rsidRPr="00B47A6C">
              <w:rPr>
                <w:i/>
                <w:iCs/>
              </w:rPr>
              <w:t>pctr</w:t>
            </w:r>
            <w:proofErr w:type="spellEnd"/>
            <w:r w:rsidRPr="00B47A6C">
              <w:t>−</w:t>
            </w:r>
            <w:r w:rsidRPr="00B47A6C">
              <w:rPr>
                <w:i/>
                <w:iCs/>
              </w:rPr>
              <w:t>β</w:t>
            </w:r>
            <w:r w:rsidRPr="00B47A6C">
              <w:t>) zur Berechnung des Ad Rank; </w:t>
            </w:r>
            <w:r w:rsidRPr="00B47A6C">
              <w:rPr>
                <w:b/>
                <w:bCs/>
              </w:rPr>
              <w:t>Tuning Points</w:t>
            </w:r>
            <w:r w:rsidRPr="00B47A6C">
              <w:t xml:space="preserve"> (z. B. 3.7 bei </w:t>
            </w:r>
            <w:proofErr w:type="spellStart"/>
            <w:r w:rsidRPr="00B47A6C">
              <w:t>rGSP</w:t>
            </w:r>
            <w:proofErr w:type="spellEnd"/>
            <w:r w:rsidRPr="00B47A6C">
              <w:t>).</w:t>
            </w:r>
          </w:p>
        </w:tc>
      </w:tr>
      <w:tr w:rsidR="00B47A6C" w:rsidRPr="00B47A6C" w14:paraId="1358DE39" w14:textId="77777777" w:rsidTr="00B47A6C">
        <w:tc>
          <w:tcPr>
            <w:tcW w:w="0" w:type="auto"/>
            <w:tcBorders>
              <w:bottom w:val="single" w:sz="6" w:space="0" w:color="DDE1EB"/>
            </w:tcBorders>
            <w:hideMark/>
          </w:tcPr>
          <w:p w14:paraId="7674AE36" w14:textId="77777777" w:rsidR="00B47A6C" w:rsidRPr="00B47A6C" w:rsidRDefault="00B47A6C" w:rsidP="00B47A6C">
            <w:r w:rsidRPr="00B47A6C">
              <w:rPr>
                <w:b/>
                <w:bCs/>
              </w:rPr>
              <w:t>Suchqualität</w:t>
            </w:r>
          </w:p>
        </w:tc>
        <w:tc>
          <w:tcPr>
            <w:tcW w:w="0" w:type="auto"/>
            <w:tcBorders>
              <w:bottom w:val="single" w:sz="6" w:space="0" w:color="DDE1EB"/>
            </w:tcBorders>
            <w:hideMark/>
          </w:tcPr>
          <w:p w14:paraId="754C4B7E" w14:textId="77777777" w:rsidR="00B47A6C" w:rsidRPr="00B47A6C" w:rsidRDefault="00B47A6C" w:rsidP="00B47A6C">
            <w:r w:rsidRPr="00B47A6C">
              <w:t>Fokus auf Innovation und Nutzererfahrung.</w:t>
            </w:r>
          </w:p>
        </w:tc>
        <w:tc>
          <w:tcPr>
            <w:tcW w:w="0" w:type="auto"/>
            <w:tcBorders>
              <w:bottom w:val="single" w:sz="6" w:space="0" w:color="DDE1EB"/>
            </w:tcBorders>
            <w:hideMark/>
          </w:tcPr>
          <w:p w14:paraId="0AF926F9" w14:textId="77777777" w:rsidR="00B47A6C" w:rsidRPr="00B47A6C" w:rsidRDefault="00B47A6C" w:rsidP="00B47A6C">
            <w:r w:rsidRPr="00B47A6C">
              <w:rPr>
                <w:b/>
                <w:bCs/>
              </w:rPr>
              <w:t>IS-Punkte</w:t>
            </w:r>
            <w:r w:rsidRPr="00B47A6C">
              <w:t xml:space="preserve"> (Information </w:t>
            </w:r>
            <w:proofErr w:type="spellStart"/>
            <w:r w:rsidRPr="00B47A6C">
              <w:t>Satisfaction</w:t>
            </w:r>
            <w:proofErr w:type="spellEnd"/>
            <w:r w:rsidRPr="00B47A6C">
              <w:t>); Experimente zur bewussten </w:t>
            </w:r>
            <w:r w:rsidRPr="00B47A6C">
              <w:rPr>
                <w:b/>
                <w:bCs/>
              </w:rPr>
              <w:t>Verschlechterung der Qualität</w:t>
            </w:r>
            <w:r w:rsidRPr="00B47A6C">
              <w:t>, um Preismacht zu testen.</w:t>
            </w:r>
          </w:p>
        </w:tc>
      </w:tr>
      <w:tr w:rsidR="00B47A6C" w:rsidRPr="00B47A6C" w14:paraId="04B8D457" w14:textId="77777777" w:rsidTr="00B47A6C">
        <w:tc>
          <w:tcPr>
            <w:tcW w:w="0" w:type="auto"/>
            <w:tcBorders>
              <w:bottom w:val="single" w:sz="6" w:space="0" w:color="DDE1EB"/>
            </w:tcBorders>
            <w:hideMark/>
          </w:tcPr>
          <w:p w14:paraId="5351FA49" w14:textId="77777777" w:rsidR="00B47A6C" w:rsidRPr="00B47A6C" w:rsidRDefault="00B47A6C" w:rsidP="00B47A6C">
            <w:r w:rsidRPr="00B47A6C">
              <w:rPr>
                <w:b/>
                <w:bCs/>
              </w:rPr>
              <w:t>Wettbewerb</w:t>
            </w:r>
          </w:p>
        </w:tc>
        <w:tc>
          <w:tcPr>
            <w:tcW w:w="0" w:type="auto"/>
            <w:tcBorders>
              <w:bottom w:val="single" w:sz="6" w:space="0" w:color="DDE1EB"/>
            </w:tcBorders>
            <w:hideMark/>
          </w:tcPr>
          <w:p w14:paraId="0AFBAA99" w14:textId="77777777" w:rsidR="00B47A6C" w:rsidRPr="00B47A6C" w:rsidRDefault="00B47A6C" w:rsidP="00B47A6C">
            <w:r w:rsidRPr="00B47A6C">
              <w:t xml:space="preserve">„Wettbewerb ist nur einen Klick entfernt“; Vergleich mit Amazon, </w:t>
            </w:r>
            <w:proofErr w:type="spellStart"/>
            <w:r w:rsidRPr="00B47A6C">
              <w:t>TikTok</w:t>
            </w:r>
            <w:proofErr w:type="spellEnd"/>
            <w:r w:rsidRPr="00B47A6C">
              <w:t xml:space="preserve"> und Apple.</w:t>
            </w:r>
          </w:p>
        </w:tc>
        <w:tc>
          <w:tcPr>
            <w:tcW w:w="0" w:type="auto"/>
            <w:tcBorders>
              <w:bottom w:val="single" w:sz="6" w:space="0" w:color="DDE1EB"/>
            </w:tcBorders>
            <w:hideMark/>
          </w:tcPr>
          <w:p w14:paraId="73CC6E85" w14:textId="77777777" w:rsidR="00B47A6C" w:rsidRPr="00B47A6C" w:rsidRDefault="00B47A6C" w:rsidP="00B47A6C">
            <w:r w:rsidRPr="00B47A6C">
              <w:rPr>
                <w:b/>
                <w:bCs/>
              </w:rPr>
              <w:t>Skalenvorteile</w:t>
            </w:r>
            <w:r w:rsidRPr="00B47A6C">
              <w:t> (9x mehr Abfragen als alle Rivalen zusammen); Fokus auf </w:t>
            </w:r>
            <w:r w:rsidRPr="00B47A6C">
              <w:rPr>
                <w:b/>
                <w:bCs/>
              </w:rPr>
              <w:t>Defaults</w:t>
            </w:r>
            <w:r w:rsidRPr="00B47A6C">
              <w:t> als unüberwindbare Barriere für Rivalen.</w:t>
            </w:r>
          </w:p>
        </w:tc>
      </w:tr>
    </w:tbl>
    <w:p w14:paraId="41B6AFFF" w14:textId="77777777" w:rsidR="00B47A6C" w:rsidRPr="00B47A6C" w:rsidRDefault="00B47A6C" w:rsidP="00B47A6C">
      <w:r w:rsidRPr="00B47A6C">
        <w:t>--------------------------------------------------------------------------------</w:t>
      </w:r>
    </w:p>
    <w:p w14:paraId="188AB1CA" w14:textId="77777777" w:rsidR="00B47A6C" w:rsidRPr="00B47A6C" w:rsidRDefault="00B47A6C" w:rsidP="00B47A6C">
      <w:r w:rsidRPr="00B47A6C">
        <w:rPr>
          <w:b/>
          <w:bCs/>
        </w:rPr>
        <w:t>Detaillierte Analyse der Kennzahlen</w:t>
      </w:r>
    </w:p>
    <w:p w14:paraId="1BD3584B" w14:textId="77777777" w:rsidR="00B47A6C" w:rsidRPr="00B47A6C" w:rsidRDefault="00B47A6C" w:rsidP="00B47A6C">
      <w:r w:rsidRPr="00B47A6C">
        <w:rPr>
          <w:b/>
          <w:bCs/>
        </w:rPr>
        <w:t>1. Was Google nach außen zeigt</w:t>
      </w:r>
    </w:p>
    <w:p w14:paraId="15EEFAC8" w14:textId="77777777" w:rsidR="00B47A6C" w:rsidRPr="00B47A6C" w:rsidRDefault="00B47A6C" w:rsidP="00B47A6C">
      <w:r w:rsidRPr="00B47A6C">
        <w:lastRenderedPageBreak/>
        <w:t>In seinen Jahresberichten (Form 10-K) konzentriert sich Google auf makroökonomische Faktoren und aggregierte Trends:</w:t>
      </w:r>
    </w:p>
    <w:p w14:paraId="0C1793B7" w14:textId="77777777" w:rsidR="00B47A6C" w:rsidRPr="00B47A6C" w:rsidRDefault="00B47A6C" w:rsidP="00B47A6C">
      <w:pPr>
        <w:numPr>
          <w:ilvl w:val="0"/>
          <w:numId w:val="23"/>
        </w:numPr>
      </w:pPr>
      <w:r w:rsidRPr="00B47A6C">
        <w:rPr>
          <w:b/>
          <w:bCs/>
        </w:rPr>
        <w:t>Monetisierungs-Metriken:</w:t>
      </w:r>
      <w:r w:rsidRPr="00B47A6C">
        <w:t> Google berichtet die prozentuale Veränderung der </w:t>
      </w:r>
      <w:r w:rsidRPr="00B47A6C">
        <w:rPr>
          <w:b/>
          <w:bCs/>
        </w:rPr>
        <w:t xml:space="preserve">Paid </w:t>
      </w:r>
      <w:proofErr w:type="spellStart"/>
      <w:r w:rsidRPr="00B47A6C">
        <w:rPr>
          <w:b/>
          <w:bCs/>
        </w:rPr>
        <w:t>Clicks</w:t>
      </w:r>
      <w:proofErr w:type="spellEnd"/>
      <w:r w:rsidRPr="00B47A6C">
        <w:t> und des </w:t>
      </w:r>
      <w:proofErr w:type="spellStart"/>
      <w:r w:rsidRPr="00B47A6C">
        <w:rPr>
          <w:b/>
          <w:bCs/>
        </w:rPr>
        <w:t>Cost</w:t>
      </w:r>
      <w:proofErr w:type="spellEnd"/>
      <w:r w:rsidRPr="00B47A6C">
        <w:rPr>
          <w:b/>
          <w:bCs/>
        </w:rPr>
        <w:t>-per-Click (CPC)</w:t>
      </w:r>
      <w:r w:rsidRPr="00B47A6C">
        <w:t> für Google-Eigenschaften sowie die </w:t>
      </w:r>
      <w:proofErr w:type="spellStart"/>
      <w:r w:rsidRPr="00B47A6C">
        <w:rPr>
          <w:b/>
          <w:bCs/>
        </w:rPr>
        <w:t>Impressions</w:t>
      </w:r>
      <w:proofErr w:type="spellEnd"/>
      <w:r w:rsidRPr="00B47A6C">
        <w:t> für das Google Network.</w:t>
      </w:r>
    </w:p>
    <w:p w14:paraId="7F8A8AC6" w14:textId="77777777" w:rsidR="00B47A6C" w:rsidRPr="00B47A6C" w:rsidRDefault="00B47A6C" w:rsidP="00B47A6C">
      <w:pPr>
        <w:numPr>
          <w:ilvl w:val="0"/>
          <w:numId w:val="23"/>
        </w:numPr>
      </w:pPr>
      <w:r w:rsidRPr="00B47A6C">
        <w:rPr>
          <w:b/>
          <w:bCs/>
        </w:rPr>
        <w:t>Begründungen für CPC-Schwankungen:</w:t>
      </w:r>
      <w:r w:rsidRPr="00B47A6C">
        <w:t> Sinkende oder steigende CPCs werden öffentlich oft mit dem „Device Mix“ (Verschiebung zu Mobilgeräten) oder dem „Property Mix“ (Wachstum von YouTube-Anzeigen mit niedrigeren CPCs) erklärt.</w:t>
      </w:r>
    </w:p>
    <w:p w14:paraId="00FAD016" w14:textId="77777777" w:rsidR="00B47A6C" w:rsidRPr="00B47A6C" w:rsidRDefault="00B47A6C" w:rsidP="00B47A6C">
      <w:pPr>
        <w:numPr>
          <w:ilvl w:val="0"/>
          <w:numId w:val="23"/>
        </w:numPr>
      </w:pPr>
      <w:r w:rsidRPr="00B47A6C">
        <w:rPr>
          <w:b/>
          <w:bCs/>
        </w:rPr>
        <w:t>TAC-Transparenz:</w:t>
      </w:r>
      <w:r w:rsidRPr="00B47A6C">
        <w:t> Google weist die Milliardenzahlungen an Partner (wie Apple für den Safari-Default) als </w:t>
      </w:r>
      <w:r w:rsidRPr="00B47A6C">
        <w:rPr>
          <w:b/>
          <w:bCs/>
        </w:rPr>
        <w:t>Traffic Acquisition Costs</w:t>
      </w:r>
      <w:r w:rsidRPr="00B47A6C">
        <w:t> aus.</w:t>
      </w:r>
    </w:p>
    <w:p w14:paraId="310D7CBD" w14:textId="77777777" w:rsidR="00B47A6C" w:rsidRPr="00B47A6C" w:rsidRDefault="00B47A6C" w:rsidP="00B47A6C">
      <w:r w:rsidRPr="00B47A6C">
        <w:rPr>
          <w:b/>
          <w:bCs/>
        </w:rPr>
        <w:t>2. Was intern gesteuert wird</w:t>
      </w:r>
    </w:p>
    <w:p w14:paraId="6D772099" w14:textId="77777777" w:rsidR="00B47A6C" w:rsidRPr="00B47A6C" w:rsidRDefault="00B47A6C" w:rsidP="00B47A6C">
      <w:r w:rsidRPr="00B47A6C">
        <w:t>Die DOJ-Dokumente offenbaren, dass Google Kennzahlen nutzt, die tief in die Mechanik des Marktes eingreifen:</w:t>
      </w:r>
    </w:p>
    <w:p w14:paraId="0E2A6CEF" w14:textId="77777777" w:rsidR="00B47A6C" w:rsidRPr="00B47A6C" w:rsidRDefault="00B47A6C" w:rsidP="00B47A6C">
      <w:pPr>
        <w:numPr>
          <w:ilvl w:val="0"/>
          <w:numId w:val="24"/>
        </w:numPr>
      </w:pPr>
      <w:r w:rsidRPr="00B47A6C">
        <w:rPr>
          <w:b/>
          <w:bCs/>
        </w:rPr>
        <w:t>Intentional Pricing:</w:t>
      </w:r>
      <w:r w:rsidRPr="00B47A6C">
        <w:t> Intern unterscheidet Google zwischen „inzidenteller“ Preisgestaltung (durch Qualitätsverbesserungen) und </w:t>
      </w:r>
      <w:r w:rsidRPr="00B47A6C">
        <w:rPr>
          <w:b/>
          <w:bCs/>
        </w:rPr>
        <w:t>„intentionaler“ Preisgestaltung</w:t>
      </w:r>
      <w:r w:rsidRPr="00B47A6C">
        <w:t xml:space="preserve"> (durch Änderung der Auktionsparameter wie </w:t>
      </w:r>
      <w:proofErr w:type="spellStart"/>
      <w:r w:rsidRPr="00B47A6C">
        <w:t>Squashing</w:t>
      </w:r>
      <w:proofErr w:type="spellEnd"/>
      <w:r w:rsidRPr="00B47A6C">
        <w:t>).</w:t>
      </w:r>
    </w:p>
    <w:p w14:paraId="0CA1B284" w14:textId="77777777" w:rsidR="00B47A6C" w:rsidRPr="00B47A6C" w:rsidRDefault="00B47A6C" w:rsidP="00B47A6C">
      <w:pPr>
        <w:numPr>
          <w:ilvl w:val="0"/>
          <w:numId w:val="24"/>
        </w:numPr>
      </w:pPr>
      <w:r w:rsidRPr="00B47A6C">
        <w:rPr>
          <w:b/>
          <w:bCs/>
        </w:rPr>
        <w:t>LTV-Funktion:</w:t>
      </w:r>
      <w:r w:rsidRPr="00B47A6C">
        <w:t> Der Ad Rank wird intern über den </w:t>
      </w:r>
      <w:r w:rsidRPr="00B47A6C">
        <w:rPr>
          <w:b/>
          <w:bCs/>
        </w:rPr>
        <w:t>Long-Term Value (LTV)</w:t>
      </w:r>
      <w:r w:rsidRPr="00B47A6C">
        <w:t> gesteuert. Eine zentrale, öffentlich nicht genannte Komponente ist dabei </w:t>
      </w:r>
      <w:r w:rsidRPr="00B47A6C">
        <w:rPr>
          <w:i/>
          <w:iCs/>
        </w:rPr>
        <w:t>β</w:t>
      </w:r>
      <w:r w:rsidRPr="00B47A6C">
        <w:rPr>
          <w:b/>
          <w:bCs/>
        </w:rPr>
        <w:t> (Beta)</w:t>
      </w:r>
      <w:r w:rsidRPr="00B47A6C">
        <w:t xml:space="preserve">, ein Faktor für die „Anzeigenblindheit“ (Blindness </w:t>
      </w:r>
      <w:proofErr w:type="spellStart"/>
      <w:r w:rsidRPr="00B47A6C">
        <w:t>cost</w:t>
      </w:r>
      <w:proofErr w:type="spellEnd"/>
      <w:r w:rsidRPr="00B47A6C">
        <w:t>), der die zukünftige Interaktion der Nutzer mit Anzeigen einpreist.</w:t>
      </w:r>
    </w:p>
    <w:p w14:paraId="324A3371" w14:textId="77777777" w:rsidR="00B47A6C" w:rsidRPr="00B47A6C" w:rsidRDefault="00B47A6C" w:rsidP="00B47A6C">
      <w:pPr>
        <w:numPr>
          <w:ilvl w:val="0"/>
          <w:numId w:val="24"/>
        </w:numPr>
      </w:pPr>
      <w:proofErr w:type="spellStart"/>
      <w:r w:rsidRPr="00B47A6C">
        <w:rPr>
          <w:b/>
          <w:bCs/>
        </w:rPr>
        <w:t>Stickiness</w:t>
      </w:r>
      <w:proofErr w:type="spellEnd"/>
      <w:r w:rsidRPr="00B47A6C">
        <w:rPr>
          <w:b/>
          <w:bCs/>
        </w:rPr>
        <w:t xml:space="preserve"> &amp; Revenue Recovery:</w:t>
      </w:r>
      <w:r w:rsidRPr="00B47A6C">
        <w:t> Bei Preisexperimenten (wie </w:t>
      </w:r>
      <w:r w:rsidRPr="00B47A6C">
        <w:rPr>
          <w:b/>
          <w:bCs/>
        </w:rPr>
        <w:t xml:space="preserve">Project </w:t>
      </w:r>
      <w:proofErr w:type="spellStart"/>
      <w:r w:rsidRPr="00B47A6C">
        <w:rPr>
          <w:b/>
          <w:bCs/>
        </w:rPr>
        <w:t>Momiji</w:t>
      </w:r>
      <w:proofErr w:type="spellEnd"/>
      <w:r w:rsidRPr="00B47A6C">
        <w:t> oder </w:t>
      </w:r>
      <w:proofErr w:type="spellStart"/>
      <w:r w:rsidRPr="00B47A6C">
        <w:rPr>
          <w:b/>
          <w:bCs/>
        </w:rPr>
        <w:t>Potiron</w:t>
      </w:r>
      <w:proofErr w:type="spellEnd"/>
      <w:r w:rsidRPr="00B47A6C">
        <w:t>) misst Google den </w:t>
      </w:r>
      <w:r w:rsidRPr="00B47A6C">
        <w:rPr>
          <w:b/>
          <w:bCs/>
        </w:rPr>
        <w:t>„</w:t>
      </w:r>
      <w:proofErr w:type="spellStart"/>
      <w:r w:rsidRPr="00B47A6C">
        <w:rPr>
          <w:b/>
          <w:bCs/>
        </w:rPr>
        <w:t>Stickage</w:t>
      </w:r>
      <w:proofErr w:type="spellEnd"/>
      <w:r w:rsidRPr="00B47A6C">
        <w:rPr>
          <w:b/>
          <w:bCs/>
        </w:rPr>
        <w:t xml:space="preserve"> </w:t>
      </w:r>
      <w:proofErr w:type="spellStart"/>
      <w:r w:rsidRPr="00B47A6C">
        <w:rPr>
          <w:b/>
          <w:bCs/>
        </w:rPr>
        <w:t>Factor</w:t>
      </w:r>
      <w:proofErr w:type="spellEnd"/>
      <w:r w:rsidRPr="00B47A6C">
        <w:rPr>
          <w:b/>
          <w:bCs/>
        </w:rPr>
        <w:t>“</w:t>
      </w:r>
      <w:r w:rsidRPr="00B47A6C">
        <w:t> – den Anteil einer Preiserhöhung, der trotz rationaler Reaktionen der Werbetreibenden (z. B. Senken von Geboten) dauerhaft als Umsatzgewinn bestehen bleibt.</w:t>
      </w:r>
    </w:p>
    <w:p w14:paraId="63A44672" w14:textId="77777777" w:rsidR="00B47A6C" w:rsidRPr="00B47A6C" w:rsidRDefault="00B47A6C" w:rsidP="00B47A6C">
      <w:pPr>
        <w:numPr>
          <w:ilvl w:val="0"/>
          <w:numId w:val="24"/>
        </w:numPr>
      </w:pPr>
      <w:r w:rsidRPr="00B47A6C">
        <w:rPr>
          <w:b/>
          <w:bCs/>
        </w:rPr>
        <w:t>RPM (Revenue per Mille):</w:t>
      </w:r>
      <w:r w:rsidRPr="00B47A6C">
        <w:t> Der Umsatz pro tausend Suchanfragen ist die interne Messgröße für den Erfolg von Auktionsänderungen. Das Ziel ist es oft, den „höchsten möglichen RPM-Punkt“ zu erreichen.</w:t>
      </w:r>
    </w:p>
    <w:p w14:paraId="302F7FCC" w14:textId="77777777" w:rsidR="00B47A6C" w:rsidRDefault="00B47A6C" w:rsidP="00B47A6C">
      <w:pPr>
        <w:numPr>
          <w:ilvl w:val="0"/>
          <w:numId w:val="24"/>
        </w:numPr>
      </w:pPr>
      <w:r w:rsidRPr="00B47A6C">
        <w:rPr>
          <w:b/>
          <w:bCs/>
        </w:rPr>
        <w:t>Code Yellow:</w:t>
      </w:r>
      <w:r w:rsidRPr="00B47A6C">
        <w:t xml:space="preserve"> Wenn Umsatzziele verfehlt werden, wird intern ein „Code Yellow“ ausgerufen, bei dem die Anzeigen-Teams angewiesen werden, durch „Pricing </w:t>
      </w:r>
      <w:proofErr w:type="spellStart"/>
      <w:r w:rsidRPr="00B47A6C">
        <w:t>Knobs</w:t>
      </w:r>
      <w:proofErr w:type="spellEnd"/>
      <w:r w:rsidRPr="00B47A6C">
        <w:t>“ kurzfristig Milliarden an zusätzlichem Umsatz zu generieren.</w:t>
      </w:r>
    </w:p>
    <w:p w14:paraId="11709F63" w14:textId="77777777" w:rsidR="00B47A6C" w:rsidRDefault="00B47A6C" w:rsidP="00B47A6C"/>
    <w:p w14:paraId="04E4FE77" w14:textId="4B7F06EC" w:rsidR="00B47A6C" w:rsidRPr="00B47A6C" w:rsidRDefault="00B47A6C" w:rsidP="00B47A6C">
      <w:pPr>
        <w:pBdr>
          <w:bottom w:val="single" w:sz="4" w:space="1" w:color="auto"/>
        </w:pBdr>
        <w:rPr>
          <w:b/>
          <w:bCs/>
        </w:rPr>
      </w:pPr>
      <w:r w:rsidRPr="00B47A6C">
        <w:rPr>
          <w:b/>
          <w:bCs/>
        </w:rPr>
        <w:t>Kapitel 5:</w:t>
      </w:r>
    </w:p>
    <w:p w14:paraId="584E06C3" w14:textId="77777777" w:rsidR="00B47A6C" w:rsidRPr="00B47A6C" w:rsidRDefault="00B47A6C" w:rsidP="00B47A6C">
      <w:r w:rsidRPr="00B47A6C">
        <w:t>Die Zukunft des Google-Werbemodells befindet sich laut den Quellen in einer </w:t>
      </w:r>
      <w:r w:rsidRPr="00B47A6C">
        <w:rPr>
          <w:b/>
          <w:bCs/>
        </w:rPr>
        <w:t>tiefgreifenden Transformationsphase</w:t>
      </w:r>
      <w:r w:rsidRPr="00B47A6C">
        <w:t>, die durch regulatorische Eingriffe, den technologischen Wandel hin zur künstlichen Intelligenz (KI) und verändertes Nutzerverhalten geprägt ist.</w:t>
      </w:r>
    </w:p>
    <w:p w14:paraId="44665582" w14:textId="77777777" w:rsidR="00B47A6C" w:rsidRPr="00B47A6C" w:rsidRDefault="00B47A6C" w:rsidP="00B47A6C">
      <w:r w:rsidRPr="00B47A6C">
        <w:t xml:space="preserve">1. DOJ-Urteil und regulatorische </w:t>
      </w:r>
      <w:proofErr w:type="spellStart"/>
      <w:r w:rsidRPr="00B47A6C">
        <w:t>Remedies</w:t>
      </w:r>
      <w:proofErr w:type="spellEnd"/>
    </w:p>
    <w:p w14:paraId="24EB40EF" w14:textId="77777777" w:rsidR="00B47A6C" w:rsidRPr="00B47A6C" w:rsidRDefault="00B47A6C" w:rsidP="00B47A6C">
      <w:r w:rsidRPr="00B47A6C">
        <w:t xml:space="preserve">Das Haftungsurteil von 2024 stellte fest, dass Google ein Monopolist in den Märkten für allgemeine Suchdienste und Textanzeigen ist. Das daraus resultierende „Final </w:t>
      </w:r>
      <w:proofErr w:type="spellStart"/>
      <w:r w:rsidRPr="00B47A6C">
        <w:t>Judgment</w:t>
      </w:r>
      <w:proofErr w:type="spellEnd"/>
      <w:r w:rsidRPr="00B47A6C">
        <w:t>“ vom Dezember 2025 sieht einschneidende Maßnahmen vor, um den Wettbewerb zu öffnen:</w:t>
      </w:r>
    </w:p>
    <w:p w14:paraId="7026C918" w14:textId="77777777" w:rsidR="00B47A6C" w:rsidRPr="00B47A6C" w:rsidRDefault="00B47A6C" w:rsidP="00B47A6C">
      <w:pPr>
        <w:numPr>
          <w:ilvl w:val="0"/>
          <w:numId w:val="25"/>
        </w:numPr>
      </w:pPr>
      <w:r w:rsidRPr="00B47A6C">
        <w:rPr>
          <w:b/>
          <w:bCs/>
        </w:rPr>
        <w:lastRenderedPageBreak/>
        <w:t>Ende exklusiver Standardeinstellungen:</w:t>
      </w:r>
      <w:r w:rsidRPr="00B47A6C">
        <w:t> Google darf die Lizenzierung des Play Stores nicht mehr davon abhängig machen, dass Search oder Chrome exklusiv vorinstalliert werden.</w:t>
      </w:r>
    </w:p>
    <w:p w14:paraId="1AFD875F" w14:textId="77777777" w:rsidR="00B47A6C" w:rsidRPr="00B47A6C" w:rsidRDefault="00B47A6C" w:rsidP="00B47A6C">
      <w:pPr>
        <w:numPr>
          <w:ilvl w:val="0"/>
          <w:numId w:val="25"/>
        </w:numPr>
      </w:pPr>
      <w:r w:rsidRPr="00B47A6C">
        <w:rPr>
          <w:b/>
          <w:bCs/>
        </w:rPr>
        <w:t>Daten-Sharing:</w:t>
      </w:r>
      <w:r w:rsidRPr="00B47A6C">
        <w:t> Google ist verpflichtet, seinen Suchindex sowie anonymisierte Nutzerdaten („User-</w:t>
      </w:r>
      <w:proofErr w:type="spellStart"/>
      <w:r w:rsidRPr="00B47A6C">
        <w:t>side</w:t>
      </w:r>
      <w:proofErr w:type="spellEnd"/>
      <w:r w:rsidRPr="00B47A6C">
        <w:t xml:space="preserve"> Data“) zu Grenzkosten mit qualifizierten Wettbewerbern zu teilen.</w:t>
      </w:r>
    </w:p>
    <w:p w14:paraId="0B3EFF7D" w14:textId="77777777" w:rsidR="00B47A6C" w:rsidRPr="00B47A6C" w:rsidRDefault="00B47A6C" w:rsidP="00B47A6C">
      <w:pPr>
        <w:numPr>
          <w:ilvl w:val="0"/>
          <w:numId w:val="25"/>
        </w:numPr>
      </w:pPr>
      <w:r w:rsidRPr="00B47A6C">
        <w:rPr>
          <w:b/>
          <w:bCs/>
        </w:rPr>
        <w:t>Syndizierungspflicht:</w:t>
      </w:r>
      <w:r w:rsidRPr="00B47A6C">
        <w:t> Wettbewerber erhalten für einen Zeitraum von fünf Jahren Zugriff auf Googles Suchergebnisse und Textanzeigen über APIs, um eigene Dienste aufzubauen.</w:t>
      </w:r>
    </w:p>
    <w:p w14:paraId="0ADC05D3" w14:textId="77777777" w:rsidR="00B47A6C" w:rsidRPr="00B47A6C" w:rsidRDefault="00B47A6C" w:rsidP="00B47A6C">
      <w:pPr>
        <w:numPr>
          <w:ilvl w:val="0"/>
          <w:numId w:val="25"/>
        </w:numPr>
      </w:pPr>
      <w:r w:rsidRPr="00B47A6C">
        <w:rPr>
          <w:b/>
          <w:bCs/>
        </w:rPr>
        <w:t>Keine Zerschlagung:</w:t>
      </w:r>
      <w:r w:rsidRPr="00B47A6C">
        <w:t> Extreme Maßnahmen wie die Abspaltung von Chrome oder Android wurden vom Gericht vorerst abgelehnt, könnten aber bei ausbleibendem Wettbewerbserfolg nach fünf Jahren erneut geprüft werden.</w:t>
      </w:r>
    </w:p>
    <w:p w14:paraId="35D837F6" w14:textId="77777777" w:rsidR="00B47A6C" w:rsidRPr="00B47A6C" w:rsidRDefault="00B47A6C" w:rsidP="00B47A6C">
      <w:r w:rsidRPr="00B47A6C">
        <w:t>2. Aufstieg der KI-Suche (</w:t>
      </w:r>
      <w:proofErr w:type="spellStart"/>
      <w:r w:rsidRPr="00B47A6C">
        <w:t>ChatGPT</w:t>
      </w:r>
      <w:proofErr w:type="spellEnd"/>
      <w:r w:rsidRPr="00B47A6C">
        <w:t xml:space="preserve">, </w:t>
      </w:r>
      <w:proofErr w:type="spellStart"/>
      <w:r w:rsidRPr="00B47A6C">
        <w:t>Perplexity</w:t>
      </w:r>
      <w:proofErr w:type="spellEnd"/>
      <w:r w:rsidRPr="00B47A6C">
        <w:t>)</w:t>
      </w:r>
    </w:p>
    <w:p w14:paraId="42E796B5" w14:textId="77777777" w:rsidR="00B47A6C" w:rsidRPr="00B47A6C" w:rsidRDefault="00B47A6C" w:rsidP="00B47A6C">
      <w:r w:rsidRPr="00B47A6C">
        <w:t>Die Quellen beschreiben generative KI (</w:t>
      </w:r>
      <w:proofErr w:type="spellStart"/>
      <w:r w:rsidRPr="00B47A6C">
        <w:t>GenAI</w:t>
      </w:r>
      <w:proofErr w:type="spellEnd"/>
      <w:r w:rsidRPr="00B47A6C">
        <w:t>) als eine „formidable, aufkommende Bedrohung“ für das traditionelle Suchmodell.</w:t>
      </w:r>
    </w:p>
    <w:p w14:paraId="498D7C63" w14:textId="77777777" w:rsidR="00B47A6C" w:rsidRPr="00B47A6C" w:rsidRDefault="00B47A6C" w:rsidP="00B47A6C">
      <w:pPr>
        <w:numPr>
          <w:ilvl w:val="0"/>
          <w:numId w:val="26"/>
        </w:numPr>
      </w:pPr>
      <w:r w:rsidRPr="00B47A6C">
        <w:rPr>
          <w:b/>
          <w:bCs/>
        </w:rPr>
        <w:t>Erosion des Klick-Modells:</w:t>
      </w:r>
      <w:r w:rsidRPr="00B47A6C">
        <w:t> KI-Chatbots können Informationsbedürfnisse direkt erfüllen, ohne dass Nutzer auf eine Liste von Links klicken müssen.</w:t>
      </w:r>
    </w:p>
    <w:p w14:paraId="53E9CB9D" w14:textId="77777777" w:rsidR="00B47A6C" w:rsidRPr="00B47A6C" w:rsidRDefault="00B47A6C" w:rsidP="00B47A6C">
      <w:pPr>
        <w:numPr>
          <w:ilvl w:val="0"/>
          <w:numId w:val="26"/>
        </w:numPr>
      </w:pPr>
      <w:r w:rsidRPr="00B47A6C">
        <w:rPr>
          <w:b/>
          <w:bCs/>
        </w:rPr>
        <w:t>Googles Reaktion:</w:t>
      </w:r>
      <w:r w:rsidRPr="00B47A6C">
        <w:t xml:space="preserve"> Google integriert Gemini direkt in die Suche (z. B. AI </w:t>
      </w:r>
      <w:proofErr w:type="spellStart"/>
      <w:r w:rsidRPr="00B47A6C">
        <w:t>Overviews</w:t>
      </w:r>
      <w:proofErr w:type="spellEnd"/>
      <w:r w:rsidRPr="00B47A6C">
        <w:t>) und testet Anzeigenformate innerhalb dieser KI-Antworten.</w:t>
      </w:r>
    </w:p>
    <w:p w14:paraId="4B352438" w14:textId="77777777" w:rsidR="00B47A6C" w:rsidRPr="00B47A6C" w:rsidRDefault="00B47A6C" w:rsidP="00B47A6C">
      <w:pPr>
        <w:numPr>
          <w:ilvl w:val="0"/>
          <w:numId w:val="26"/>
        </w:numPr>
      </w:pPr>
      <w:r w:rsidRPr="00B47A6C">
        <w:rPr>
          <w:b/>
          <w:bCs/>
        </w:rPr>
        <w:t>Strategischer Vorteil:</w:t>
      </w:r>
      <w:r w:rsidRPr="00B47A6C">
        <w:t xml:space="preserve"> Trotz </w:t>
      </w:r>
      <w:proofErr w:type="spellStart"/>
      <w:r w:rsidRPr="00B47A6C">
        <w:t>GenAI</w:t>
      </w:r>
      <w:proofErr w:type="spellEnd"/>
      <w:r w:rsidRPr="00B47A6C">
        <w:t xml:space="preserve"> bleibt der Zugriff auf massive Nutzerdaten (</w:t>
      </w:r>
      <w:proofErr w:type="spellStart"/>
      <w:r w:rsidRPr="00B47A6C">
        <w:t>Queries</w:t>
      </w:r>
      <w:proofErr w:type="spellEnd"/>
      <w:r w:rsidRPr="00B47A6C">
        <w:t>/</w:t>
      </w:r>
      <w:proofErr w:type="spellStart"/>
      <w:r w:rsidRPr="00B47A6C">
        <w:t>Clicks</w:t>
      </w:r>
      <w:proofErr w:type="spellEnd"/>
      <w:r w:rsidRPr="00B47A6C">
        <w:t>) essenziell für die Qualität, was Googles historisch gewachsene Skalenvorteile vorerst schützt.</w:t>
      </w:r>
    </w:p>
    <w:p w14:paraId="50BB5E8C" w14:textId="77777777" w:rsidR="00B47A6C" w:rsidRPr="00B47A6C" w:rsidRDefault="00B47A6C" w:rsidP="00B47A6C">
      <w:pPr>
        <w:rPr>
          <w:lang w:val="en-US"/>
        </w:rPr>
      </w:pPr>
      <w:r w:rsidRPr="00B47A6C">
        <w:rPr>
          <w:lang w:val="en-US"/>
        </w:rPr>
        <w:t xml:space="preserve">3. </w:t>
      </w:r>
      <w:proofErr w:type="spellStart"/>
      <w:r w:rsidRPr="00B47A6C">
        <w:rPr>
          <w:lang w:val="en-US"/>
        </w:rPr>
        <w:t>Monetarisierungstrends</w:t>
      </w:r>
      <w:proofErr w:type="spellEnd"/>
      <w:r w:rsidRPr="00B47A6C">
        <w:rPr>
          <w:lang w:val="en-US"/>
        </w:rPr>
        <w:t xml:space="preserve"> und Click-Through-Rates (CTR)</w:t>
      </w:r>
    </w:p>
    <w:p w14:paraId="3F26F168" w14:textId="77777777" w:rsidR="00B47A6C" w:rsidRPr="00B47A6C" w:rsidRDefault="00B47A6C" w:rsidP="00B47A6C">
      <w:r w:rsidRPr="00B47A6C">
        <w:t xml:space="preserve">Google berichtet intern und extern von Verschiebungen in der </w:t>
      </w:r>
      <w:proofErr w:type="spellStart"/>
      <w:r w:rsidRPr="00B47A6C">
        <w:t>Monetarisierungslogik</w:t>
      </w:r>
      <w:proofErr w:type="spellEnd"/>
      <w:r w:rsidRPr="00B47A6C">
        <w:t>:</w:t>
      </w:r>
    </w:p>
    <w:p w14:paraId="540806BC" w14:textId="77777777" w:rsidR="00B47A6C" w:rsidRPr="00B47A6C" w:rsidRDefault="00B47A6C" w:rsidP="00B47A6C">
      <w:pPr>
        <w:numPr>
          <w:ilvl w:val="0"/>
          <w:numId w:val="27"/>
        </w:numPr>
      </w:pPr>
      <w:r w:rsidRPr="00B47A6C">
        <w:rPr>
          <w:b/>
          <w:bCs/>
        </w:rPr>
        <w:t>Niedriger monetarisierende Formate:</w:t>
      </w:r>
      <w:r w:rsidRPr="00B47A6C">
        <w:t> Engagement-Anzeigen auf YouTube oder Google Play wachsen stark, erzielen aber oft niedrigere Preise pro Klick (CPC) oder Klickraten als die traditionelle Websuche.</w:t>
      </w:r>
    </w:p>
    <w:p w14:paraId="52F73FF9" w14:textId="77777777" w:rsidR="00B47A6C" w:rsidRPr="00B47A6C" w:rsidRDefault="00B47A6C" w:rsidP="00B47A6C">
      <w:pPr>
        <w:numPr>
          <w:ilvl w:val="0"/>
          <w:numId w:val="27"/>
        </w:numPr>
      </w:pPr>
      <w:r w:rsidRPr="00B47A6C">
        <w:rPr>
          <w:b/>
          <w:bCs/>
        </w:rPr>
        <w:t xml:space="preserve">Margin </w:t>
      </w:r>
      <w:proofErr w:type="spellStart"/>
      <w:r w:rsidRPr="00B47A6C">
        <w:rPr>
          <w:b/>
          <w:bCs/>
        </w:rPr>
        <w:t>Pressure</w:t>
      </w:r>
      <w:proofErr w:type="spellEnd"/>
      <w:r w:rsidRPr="00B47A6C">
        <w:rPr>
          <w:b/>
          <w:bCs/>
        </w:rPr>
        <w:t>:</w:t>
      </w:r>
      <w:r w:rsidRPr="00B47A6C">
        <w:t> Das Unternehmen erwartet einen anhaltenden Abwärtstrend bei den operativen Margen, da neue KI-Infrastrukturen (z. B. spezialisierte TPUs) extrem kapitalintensiv sind und neue Formate die profitablen Textanzeigen kannibalisieren könnten.</w:t>
      </w:r>
    </w:p>
    <w:p w14:paraId="725E1FF3" w14:textId="77777777" w:rsidR="00B47A6C" w:rsidRPr="00B47A6C" w:rsidRDefault="00B47A6C" w:rsidP="00B47A6C">
      <w:r w:rsidRPr="00B47A6C">
        <w:t xml:space="preserve">4. </w:t>
      </w:r>
      <w:proofErr w:type="spellStart"/>
      <w:r w:rsidRPr="00B47A6C">
        <w:t>Advertiser</w:t>
      </w:r>
      <w:proofErr w:type="spellEnd"/>
      <w:r w:rsidRPr="00B47A6C">
        <w:t>-Alternativen und Wettbewerb</w:t>
      </w:r>
    </w:p>
    <w:p w14:paraId="1FFCAE15" w14:textId="77777777" w:rsidR="00B47A6C" w:rsidRPr="00B47A6C" w:rsidRDefault="00B47A6C" w:rsidP="00B47A6C">
      <w:r w:rsidRPr="00B47A6C">
        <w:t>Werbetreibende betrachten Google Search zwar weiterhin als „Must-have“, diversifizieren aber zunehmend ihre Budgets.</w:t>
      </w:r>
    </w:p>
    <w:p w14:paraId="3BAF1865" w14:textId="77777777" w:rsidR="00B47A6C" w:rsidRPr="00B47A6C" w:rsidRDefault="00B47A6C" w:rsidP="00B47A6C">
      <w:pPr>
        <w:numPr>
          <w:ilvl w:val="0"/>
          <w:numId w:val="28"/>
        </w:numPr>
      </w:pPr>
      <w:r w:rsidRPr="00B47A6C">
        <w:rPr>
          <w:b/>
          <w:bCs/>
        </w:rPr>
        <w:t>Amazon als Primärquelle:</w:t>
      </w:r>
      <w:r w:rsidRPr="00B47A6C">
        <w:t> Bei Produktsuchen starten bereits 58 % der Nutzer bei Amazon und nur 25 % bei Google. Amazon hat Google bei den Werbeumsätzen im Einzelhandel bereits überholt.</w:t>
      </w:r>
    </w:p>
    <w:p w14:paraId="4747C072" w14:textId="77777777" w:rsidR="00B47A6C" w:rsidRPr="00B47A6C" w:rsidRDefault="00B47A6C" w:rsidP="00B47A6C">
      <w:pPr>
        <w:numPr>
          <w:ilvl w:val="0"/>
          <w:numId w:val="28"/>
        </w:numPr>
      </w:pPr>
      <w:proofErr w:type="spellStart"/>
      <w:r w:rsidRPr="00B47A6C">
        <w:rPr>
          <w:b/>
          <w:bCs/>
        </w:rPr>
        <w:t>Social</w:t>
      </w:r>
      <w:proofErr w:type="spellEnd"/>
      <w:r w:rsidRPr="00B47A6C">
        <w:rPr>
          <w:b/>
          <w:bCs/>
        </w:rPr>
        <w:t xml:space="preserve"> Media Bedrohung:</w:t>
      </w:r>
      <w:r w:rsidRPr="00B47A6C">
        <w:t xml:space="preserve"> Plattformen wie </w:t>
      </w:r>
      <w:proofErr w:type="spellStart"/>
      <w:r w:rsidRPr="00B47A6C">
        <w:t>TikTok</w:t>
      </w:r>
      <w:proofErr w:type="spellEnd"/>
      <w:r w:rsidRPr="00B47A6C">
        <w:t xml:space="preserve"> und </w:t>
      </w:r>
      <w:proofErr w:type="spellStart"/>
      <w:r w:rsidRPr="00B47A6C">
        <w:t>Meta</w:t>
      </w:r>
      <w:proofErr w:type="spellEnd"/>
      <w:r w:rsidRPr="00B47A6C">
        <w:t xml:space="preserve"> gewinnen rasant an Bedeutung, insbesondere bei der Generation Z, die soziale Medien zunehmend als Suchmaschinenersatz nutzt.</w:t>
      </w:r>
    </w:p>
    <w:p w14:paraId="26AEA284" w14:textId="77777777" w:rsidR="00B47A6C" w:rsidRPr="00B47A6C" w:rsidRDefault="00B47A6C" w:rsidP="00B47A6C">
      <w:pPr>
        <w:numPr>
          <w:ilvl w:val="0"/>
          <w:numId w:val="28"/>
        </w:numPr>
      </w:pPr>
      <w:r w:rsidRPr="00B47A6C">
        <w:rPr>
          <w:b/>
          <w:bCs/>
        </w:rPr>
        <w:lastRenderedPageBreak/>
        <w:t>Vertikale Spezialisten:</w:t>
      </w:r>
      <w:r w:rsidRPr="00B47A6C">
        <w:t> SVPs wie Expedia (Reisen) oder Yelp (Lokales) agieren sowohl als komplementäre Partner als auch als Wettbewerber um lukrative kommerzielle Suchanfragen.</w:t>
      </w:r>
    </w:p>
    <w:p w14:paraId="149D7846" w14:textId="77777777" w:rsidR="00B47A6C" w:rsidRPr="00B47A6C" w:rsidRDefault="00B47A6C" w:rsidP="00B47A6C">
      <w:r w:rsidRPr="00B47A6C">
        <w:t>Zusammenfassung der Risiken und Chancen</w:t>
      </w:r>
    </w:p>
    <w:tbl>
      <w:tblPr>
        <w:tblW w:w="0" w:type="auto"/>
        <w:tblCellMar>
          <w:top w:w="15" w:type="dxa"/>
          <w:left w:w="15" w:type="dxa"/>
          <w:bottom w:w="15" w:type="dxa"/>
          <w:right w:w="15" w:type="dxa"/>
        </w:tblCellMar>
        <w:tblLook w:val="04A0" w:firstRow="1" w:lastRow="0" w:firstColumn="1" w:lastColumn="0" w:noHBand="0" w:noVBand="1"/>
      </w:tblPr>
      <w:tblGrid>
        <w:gridCol w:w="4869"/>
        <w:gridCol w:w="4203"/>
      </w:tblGrid>
      <w:tr w:rsidR="00B47A6C" w:rsidRPr="00B47A6C" w14:paraId="37458530" w14:textId="77777777" w:rsidTr="00B47A6C">
        <w:tc>
          <w:tcPr>
            <w:tcW w:w="0" w:type="auto"/>
            <w:tcBorders>
              <w:bottom w:val="single" w:sz="6" w:space="0" w:color="919191"/>
            </w:tcBorders>
            <w:hideMark/>
          </w:tcPr>
          <w:p w14:paraId="781BD27E" w14:textId="77777777" w:rsidR="00B47A6C" w:rsidRPr="00B47A6C" w:rsidRDefault="00B47A6C" w:rsidP="00B47A6C">
            <w:pPr>
              <w:rPr>
                <w:b/>
                <w:bCs/>
              </w:rPr>
            </w:pPr>
            <w:r w:rsidRPr="00B47A6C">
              <w:rPr>
                <w:b/>
                <w:bCs/>
              </w:rPr>
              <w:t>Risiken</w:t>
            </w:r>
          </w:p>
        </w:tc>
        <w:tc>
          <w:tcPr>
            <w:tcW w:w="0" w:type="auto"/>
            <w:tcBorders>
              <w:bottom w:val="single" w:sz="6" w:space="0" w:color="919191"/>
            </w:tcBorders>
            <w:hideMark/>
          </w:tcPr>
          <w:p w14:paraId="5E672D66" w14:textId="77777777" w:rsidR="00B47A6C" w:rsidRPr="00B47A6C" w:rsidRDefault="00B47A6C" w:rsidP="00B47A6C">
            <w:pPr>
              <w:rPr>
                <w:b/>
                <w:bCs/>
              </w:rPr>
            </w:pPr>
            <w:r w:rsidRPr="00B47A6C">
              <w:rPr>
                <w:b/>
                <w:bCs/>
              </w:rPr>
              <w:t>Chancen</w:t>
            </w:r>
          </w:p>
        </w:tc>
      </w:tr>
      <w:tr w:rsidR="00B47A6C" w:rsidRPr="00B47A6C" w14:paraId="26096838" w14:textId="77777777" w:rsidTr="00B47A6C">
        <w:tc>
          <w:tcPr>
            <w:tcW w:w="0" w:type="auto"/>
            <w:tcBorders>
              <w:bottom w:val="single" w:sz="6" w:space="0" w:color="DDE1EB"/>
            </w:tcBorders>
            <w:hideMark/>
          </w:tcPr>
          <w:p w14:paraId="011341D5" w14:textId="77777777" w:rsidR="00B47A6C" w:rsidRPr="00B47A6C" w:rsidRDefault="00B47A6C" w:rsidP="00B47A6C">
            <w:r w:rsidRPr="00B47A6C">
              <w:rPr>
                <w:b/>
                <w:bCs/>
              </w:rPr>
              <w:t>Regulatorik:</w:t>
            </w:r>
            <w:r w:rsidRPr="00B47A6C">
              <w:t> Verlust der Default-Positionen auf Apple-Geräten durch Remedy-Auflagen.</w:t>
            </w:r>
          </w:p>
        </w:tc>
        <w:tc>
          <w:tcPr>
            <w:tcW w:w="0" w:type="auto"/>
            <w:tcBorders>
              <w:bottom w:val="single" w:sz="6" w:space="0" w:color="DDE1EB"/>
            </w:tcBorders>
            <w:hideMark/>
          </w:tcPr>
          <w:p w14:paraId="5AD12F1E" w14:textId="77777777" w:rsidR="00B47A6C" w:rsidRPr="00B47A6C" w:rsidRDefault="00B47A6C" w:rsidP="00B47A6C">
            <w:r w:rsidRPr="00B47A6C">
              <w:rPr>
                <w:b/>
                <w:bCs/>
              </w:rPr>
              <w:t>KI-Integration:</w:t>
            </w:r>
            <w:r w:rsidRPr="00B47A6C">
              <w:t> KI kann komplexere, kommerziell wertvolle Anfragen lösen (z. B. SGE).</w:t>
            </w:r>
          </w:p>
        </w:tc>
      </w:tr>
      <w:tr w:rsidR="00B47A6C" w:rsidRPr="00B47A6C" w14:paraId="66618E08" w14:textId="77777777" w:rsidTr="00B47A6C">
        <w:tc>
          <w:tcPr>
            <w:tcW w:w="0" w:type="auto"/>
            <w:tcBorders>
              <w:bottom w:val="single" w:sz="6" w:space="0" w:color="DDE1EB"/>
            </w:tcBorders>
            <w:hideMark/>
          </w:tcPr>
          <w:p w14:paraId="51EFF4E0" w14:textId="77777777" w:rsidR="00B47A6C" w:rsidRPr="00B47A6C" w:rsidRDefault="00B47A6C" w:rsidP="00B47A6C">
            <w:r w:rsidRPr="00B47A6C">
              <w:rPr>
                <w:b/>
                <w:bCs/>
              </w:rPr>
              <w:t>Margenkompression:</w:t>
            </w:r>
            <w:r w:rsidRPr="00B47A6C">
              <w:t xml:space="preserve"> Höhere Infrastrukturkosten für KI bei gleichzeitigem Shift </w:t>
            </w:r>
            <w:proofErr w:type="gramStart"/>
            <w:r w:rsidRPr="00B47A6C">
              <w:t>zu niedriger monetarisierten Formaten</w:t>
            </w:r>
            <w:proofErr w:type="gramEnd"/>
            <w:r w:rsidRPr="00B47A6C">
              <w:t>.</w:t>
            </w:r>
          </w:p>
        </w:tc>
        <w:tc>
          <w:tcPr>
            <w:tcW w:w="0" w:type="auto"/>
            <w:tcBorders>
              <w:bottom w:val="single" w:sz="6" w:space="0" w:color="DDE1EB"/>
            </w:tcBorders>
            <w:hideMark/>
          </w:tcPr>
          <w:p w14:paraId="7D92089E" w14:textId="77777777" w:rsidR="00B47A6C" w:rsidRPr="00B47A6C" w:rsidRDefault="00B47A6C" w:rsidP="00B47A6C">
            <w:r w:rsidRPr="00B47A6C">
              <w:rPr>
                <w:b/>
                <w:bCs/>
              </w:rPr>
              <w:t>Cloud-Wachstum:</w:t>
            </w:r>
            <w:r w:rsidRPr="00B47A6C">
              <w:t> Starkes Wachstum im Cloud-Sektor durch Enterprise-KI-Lösungen.</w:t>
            </w:r>
          </w:p>
        </w:tc>
      </w:tr>
      <w:tr w:rsidR="00B47A6C" w:rsidRPr="00B47A6C" w14:paraId="2854A6E9" w14:textId="77777777" w:rsidTr="00B47A6C">
        <w:tc>
          <w:tcPr>
            <w:tcW w:w="0" w:type="auto"/>
            <w:tcBorders>
              <w:bottom w:val="single" w:sz="6" w:space="0" w:color="DDE1EB"/>
            </w:tcBorders>
            <w:hideMark/>
          </w:tcPr>
          <w:p w14:paraId="4792B3D4" w14:textId="77777777" w:rsidR="00B47A6C" w:rsidRPr="00B47A6C" w:rsidRDefault="00B47A6C" w:rsidP="00B47A6C">
            <w:r w:rsidRPr="00B47A6C">
              <w:rPr>
                <w:b/>
                <w:bCs/>
              </w:rPr>
              <w:t>Wettbewerb:</w:t>
            </w:r>
            <w:r w:rsidRPr="00B47A6C">
              <w:t xml:space="preserve"> Verlust des „First Touchpoints“ für Produktkäufe an Amazon und </w:t>
            </w:r>
            <w:proofErr w:type="spellStart"/>
            <w:r w:rsidRPr="00B47A6C">
              <w:t>TikTok</w:t>
            </w:r>
            <w:proofErr w:type="spellEnd"/>
            <w:r w:rsidRPr="00B47A6C">
              <w:t>.</w:t>
            </w:r>
          </w:p>
        </w:tc>
        <w:tc>
          <w:tcPr>
            <w:tcW w:w="0" w:type="auto"/>
            <w:tcBorders>
              <w:bottom w:val="single" w:sz="6" w:space="0" w:color="DDE1EB"/>
            </w:tcBorders>
            <w:hideMark/>
          </w:tcPr>
          <w:p w14:paraId="6209AD92" w14:textId="77777777" w:rsidR="00B47A6C" w:rsidRPr="00B47A6C" w:rsidRDefault="00B47A6C" w:rsidP="00B47A6C">
            <w:r w:rsidRPr="00B47A6C">
              <w:rPr>
                <w:b/>
                <w:bCs/>
              </w:rPr>
              <w:t>Multi-Modale Suche:</w:t>
            </w:r>
            <w:r w:rsidRPr="00B47A6C">
              <w:t xml:space="preserve"> Neue Zugangspunkte wie „Circle </w:t>
            </w:r>
            <w:proofErr w:type="spellStart"/>
            <w:r w:rsidRPr="00B47A6C">
              <w:t>to</w:t>
            </w:r>
            <w:proofErr w:type="spellEnd"/>
            <w:r w:rsidRPr="00B47A6C">
              <w:t xml:space="preserve"> Search“ oder visuelle Suche (Lens) erhöhen die Nutzerbindung.</w:t>
            </w:r>
          </w:p>
        </w:tc>
      </w:tr>
    </w:tbl>
    <w:p w14:paraId="2E61AE66" w14:textId="77777777" w:rsidR="00B47A6C" w:rsidRPr="00B47A6C" w:rsidRDefault="00B47A6C" w:rsidP="00B47A6C"/>
    <w:p w14:paraId="06D0B131" w14:textId="77777777" w:rsidR="00B47A6C" w:rsidRPr="00B47A6C" w:rsidRDefault="00B47A6C" w:rsidP="00B47A6C">
      <w:r w:rsidRPr="00B47A6C">
        <w:t>Die vorliegenden Quellen, insbesondere das </w:t>
      </w:r>
      <w:r w:rsidRPr="00B47A6C">
        <w:rPr>
          <w:b/>
          <w:bCs/>
        </w:rPr>
        <w:t>Mehta-Haftungsurteil (2024)</w:t>
      </w:r>
      <w:r w:rsidRPr="00B47A6C">
        <w:t xml:space="preserve"> und die Wettbewerbsentscheidungen der EU-Kommission, liefern signifikante Daten zur Entwicklung </w:t>
      </w:r>
      <w:proofErr w:type="gramStart"/>
      <w:r w:rsidRPr="00B47A6C">
        <w:t>der Click-Through-Rates</w:t>
      </w:r>
      <w:proofErr w:type="gramEnd"/>
      <w:r w:rsidRPr="00B47A6C">
        <w:t xml:space="preserve"> (CTR) bei Google Search Ads und organischen Ergebnissen. Während Google in seinen öffentlichen 10-K-Berichten meist nur prozentuale Veränderungen der „Paid </w:t>
      </w:r>
      <w:proofErr w:type="spellStart"/>
      <w:r w:rsidRPr="00B47A6C">
        <w:t>Clicks</w:t>
      </w:r>
      <w:proofErr w:type="spellEnd"/>
      <w:r w:rsidRPr="00B47A6C">
        <w:t>“ nennt, offenbaren die Prozessakten absolute CTR-Werte und deren langfristige Trends.</w:t>
      </w:r>
    </w:p>
    <w:p w14:paraId="0F2A66BE" w14:textId="77777777" w:rsidR="00B47A6C" w:rsidRPr="00B47A6C" w:rsidRDefault="00B47A6C" w:rsidP="00B47A6C">
      <w:r w:rsidRPr="00B47A6C">
        <w:t>Hier sind die konkreten Zahlen und Erkenntnisse aus den Quellen:</w:t>
      </w:r>
    </w:p>
    <w:p w14:paraId="68B43481" w14:textId="77777777" w:rsidR="00B47A6C" w:rsidRPr="00B47A6C" w:rsidRDefault="00B47A6C" w:rsidP="00B47A6C">
      <w:r w:rsidRPr="00B47A6C">
        <w:t>1. Langfristige Entwicklung der CTR bei Search Ads</w:t>
      </w:r>
    </w:p>
    <w:p w14:paraId="644F1C84" w14:textId="77777777" w:rsidR="00B47A6C" w:rsidRPr="00B47A6C" w:rsidRDefault="00B47A6C" w:rsidP="00B47A6C">
      <w:r w:rsidRPr="00B47A6C">
        <w:t>Im DOJ-Antitrust-Prozess wurden Daten präsentiert, die eine massive Steigerung der Klickraten über das letzte Jahrzehnt belegen:</w:t>
      </w:r>
    </w:p>
    <w:p w14:paraId="4A05E41F" w14:textId="77777777" w:rsidR="00B47A6C" w:rsidRPr="00B47A6C" w:rsidRDefault="00B47A6C" w:rsidP="00B47A6C">
      <w:pPr>
        <w:numPr>
          <w:ilvl w:val="0"/>
          <w:numId w:val="29"/>
        </w:numPr>
      </w:pPr>
      <w:r w:rsidRPr="00B47A6C">
        <w:rPr>
          <w:b/>
          <w:bCs/>
        </w:rPr>
        <w:t>Gesamttrend:</w:t>
      </w:r>
      <w:r w:rsidRPr="00B47A6C">
        <w:t> Die CTR für Google Search Ads stieg von etwa </w:t>
      </w:r>
      <w:r w:rsidRPr="00B47A6C">
        <w:rPr>
          <w:b/>
          <w:bCs/>
        </w:rPr>
        <w:t>10 % im Jahr 2011</w:t>
      </w:r>
      <w:r w:rsidRPr="00B47A6C">
        <w:t> auf </w:t>
      </w:r>
      <w:r w:rsidRPr="00B47A6C">
        <w:rPr>
          <w:b/>
          <w:bCs/>
        </w:rPr>
        <w:t>über 30 % im Jahr 2021</w:t>
      </w:r>
      <w:r w:rsidRPr="00B47A6C">
        <w:t>.</w:t>
      </w:r>
    </w:p>
    <w:p w14:paraId="5F0D4FE1" w14:textId="77777777" w:rsidR="00B47A6C" w:rsidRPr="00B47A6C" w:rsidRDefault="00B47A6C" w:rsidP="00B47A6C">
      <w:pPr>
        <w:numPr>
          <w:ilvl w:val="0"/>
          <w:numId w:val="29"/>
        </w:numPr>
      </w:pPr>
      <w:r w:rsidRPr="00B47A6C">
        <w:rPr>
          <w:b/>
          <w:bCs/>
        </w:rPr>
        <w:t>Interpretation:</w:t>
      </w:r>
      <w:r w:rsidRPr="00B47A6C">
        <w:t> Google führt dies auf eine verbesserte Anzeigenqualität zurück. Das Gericht wies jedoch darauf hin, dass auch andere Faktoren wie die Expansion des Online-Marktplatzes, der Shift zu mobilen Suchen und die Gestaltung der Suchergebnisseite (SERP) diesen Anstieg beeinflusst haben könnten.</w:t>
      </w:r>
    </w:p>
    <w:p w14:paraId="1CBE43AE" w14:textId="77777777" w:rsidR="00B47A6C" w:rsidRPr="00B47A6C" w:rsidRDefault="00B47A6C" w:rsidP="00B47A6C">
      <w:r w:rsidRPr="00B47A6C">
        <w:t>2. CTR-Unterschiede nach Anzeigenformat (Text vs. Shopping)</w:t>
      </w:r>
    </w:p>
    <w:p w14:paraId="4A3734FD" w14:textId="77777777" w:rsidR="00B47A6C" w:rsidRPr="00B47A6C" w:rsidRDefault="00B47A6C" w:rsidP="00B47A6C">
      <w:r w:rsidRPr="00B47A6C">
        <w:t>Die Quellen betonen, dass visuelle Anzeigenformate deutlich höhere Klickraten erzielen als klassische Textanzeigen:</w:t>
      </w:r>
    </w:p>
    <w:p w14:paraId="42F8B264" w14:textId="77777777" w:rsidR="00B47A6C" w:rsidRPr="00B47A6C" w:rsidRDefault="00B47A6C" w:rsidP="00B47A6C">
      <w:pPr>
        <w:numPr>
          <w:ilvl w:val="0"/>
          <w:numId w:val="30"/>
        </w:numPr>
      </w:pPr>
      <w:proofErr w:type="spellStart"/>
      <w:r w:rsidRPr="00B47A6C">
        <w:rPr>
          <w:b/>
          <w:bCs/>
        </w:rPr>
        <w:t>Product</w:t>
      </w:r>
      <w:proofErr w:type="spellEnd"/>
      <w:r w:rsidRPr="00B47A6C">
        <w:rPr>
          <w:b/>
          <w:bCs/>
        </w:rPr>
        <w:t xml:space="preserve"> Listing Ads (PLAs/Shopping Units):</w:t>
      </w:r>
      <w:r w:rsidRPr="00B47A6C">
        <w:t> Google gibt intern und gegenüber Werbetreibenden an, dass Shopping-Anzeigen oft eine </w:t>
      </w:r>
      <w:r w:rsidRPr="00B47A6C">
        <w:rPr>
          <w:b/>
          <w:bCs/>
        </w:rPr>
        <w:t>doppelt oder dreifach so hohe CTR</w:t>
      </w:r>
      <w:r w:rsidRPr="00B47A6C">
        <w:t> aufweisen wie Textanzeigen an derselben Position.</w:t>
      </w:r>
    </w:p>
    <w:p w14:paraId="59E0700E" w14:textId="77777777" w:rsidR="00B47A6C" w:rsidRPr="00B47A6C" w:rsidRDefault="00B47A6C" w:rsidP="00B47A6C">
      <w:pPr>
        <w:numPr>
          <w:ilvl w:val="0"/>
          <w:numId w:val="30"/>
        </w:numPr>
      </w:pPr>
      <w:r w:rsidRPr="00B47A6C">
        <w:rPr>
          <w:b/>
          <w:bCs/>
        </w:rPr>
        <w:t>Visuelle Multiplikatoren:</w:t>
      </w:r>
      <w:r w:rsidRPr="00B47A6C">
        <w:t> Eine Studie aus dem Jahr 2013 belegte, dass die Klickrate eines Links um den </w:t>
      </w:r>
      <w:r w:rsidRPr="00B47A6C">
        <w:rPr>
          <w:b/>
          <w:bCs/>
        </w:rPr>
        <w:t>Faktor 2,2 bis 3,7</w:t>
      </w:r>
      <w:r w:rsidRPr="00B47A6C">
        <w:t> steigt, wenn statt eines Textlinks mit kleinem Icon ein großes Produktbild angezeigt wird.</w:t>
      </w:r>
    </w:p>
    <w:p w14:paraId="1237BF1A" w14:textId="77777777" w:rsidR="00B47A6C" w:rsidRPr="00B47A6C" w:rsidRDefault="00B47A6C" w:rsidP="00B47A6C">
      <w:r w:rsidRPr="00B47A6C">
        <w:lastRenderedPageBreak/>
        <w:t>3. CTR in Abhängigkeit von der Position (Position Bias)</w:t>
      </w:r>
    </w:p>
    <w:p w14:paraId="7FAAFF24" w14:textId="77777777" w:rsidR="00B47A6C" w:rsidRPr="00B47A6C" w:rsidRDefault="00B47A6C" w:rsidP="00B47A6C">
      <w:r w:rsidRPr="00B47A6C">
        <w:t>Die Quellen enthalten detaillierte Tabellen zur „Average Click Rate“ pro Rang auf der SERP (Daten von 2010), die die enorme Bedeutung der Platzierung verdeutlichen:</w:t>
      </w:r>
    </w:p>
    <w:p w14:paraId="5E0AF8D8" w14:textId="77777777" w:rsidR="00B47A6C" w:rsidRPr="00B47A6C" w:rsidRDefault="00B47A6C" w:rsidP="00B47A6C">
      <w:pPr>
        <w:numPr>
          <w:ilvl w:val="0"/>
          <w:numId w:val="31"/>
        </w:numPr>
      </w:pPr>
      <w:r w:rsidRPr="00B47A6C">
        <w:rPr>
          <w:b/>
          <w:bCs/>
        </w:rPr>
        <w:t>Rang 1:</w:t>
      </w:r>
      <w:r w:rsidRPr="00B47A6C">
        <w:t> 34,35 %.</w:t>
      </w:r>
    </w:p>
    <w:p w14:paraId="65F95E8B" w14:textId="77777777" w:rsidR="00B47A6C" w:rsidRPr="00B47A6C" w:rsidRDefault="00B47A6C" w:rsidP="00B47A6C">
      <w:pPr>
        <w:numPr>
          <w:ilvl w:val="0"/>
          <w:numId w:val="31"/>
        </w:numPr>
      </w:pPr>
      <w:r w:rsidRPr="00B47A6C">
        <w:rPr>
          <w:b/>
          <w:bCs/>
        </w:rPr>
        <w:t>Rang 2:</w:t>
      </w:r>
      <w:r w:rsidRPr="00B47A6C">
        <w:t> 16,96 %.</w:t>
      </w:r>
    </w:p>
    <w:p w14:paraId="2AACDFCD" w14:textId="77777777" w:rsidR="00B47A6C" w:rsidRPr="00B47A6C" w:rsidRDefault="00B47A6C" w:rsidP="00B47A6C">
      <w:pPr>
        <w:numPr>
          <w:ilvl w:val="0"/>
          <w:numId w:val="31"/>
        </w:numPr>
      </w:pPr>
      <w:r w:rsidRPr="00B47A6C">
        <w:rPr>
          <w:b/>
          <w:bCs/>
        </w:rPr>
        <w:t>Rang 3:</w:t>
      </w:r>
      <w:r w:rsidRPr="00B47A6C">
        <w:t> 11,42 %.</w:t>
      </w:r>
    </w:p>
    <w:p w14:paraId="45128521" w14:textId="77777777" w:rsidR="00B47A6C" w:rsidRPr="00B47A6C" w:rsidRDefault="00B47A6C" w:rsidP="00B47A6C">
      <w:pPr>
        <w:numPr>
          <w:ilvl w:val="0"/>
          <w:numId w:val="31"/>
        </w:numPr>
      </w:pPr>
      <w:r w:rsidRPr="00B47A6C">
        <w:rPr>
          <w:b/>
          <w:bCs/>
        </w:rPr>
        <w:t>Absturz ab Rang 10:</w:t>
      </w:r>
      <w:r w:rsidRPr="00B47A6C">
        <w:t> Ergebnisse am Ende der ersten Seite erhalten nur noch ca. 2,71 %, auf der zweiten Seite sinkt der Wert auf 1,11 %.</w:t>
      </w:r>
    </w:p>
    <w:p w14:paraId="728A0BAA" w14:textId="77777777" w:rsidR="00B47A6C" w:rsidRPr="00B47A6C" w:rsidRDefault="00B47A6C" w:rsidP="00B47A6C">
      <w:pPr>
        <w:numPr>
          <w:ilvl w:val="0"/>
          <w:numId w:val="31"/>
        </w:numPr>
      </w:pPr>
      <w:r w:rsidRPr="00B47A6C">
        <w:rPr>
          <w:b/>
          <w:bCs/>
        </w:rPr>
        <w:t>Verschiebungseffekt:</w:t>
      </w:r>
      <w:r w:rsidRPr="00B47A6C">
        <w:t> Das Verschieben eines Ergebnisses von Platz 1 auf Platz 3 führt zu einer </w:t>
      </w:r>
      <w:r w:rsidRPr="00B47A6C">
        <w:rPr>
          <w:b/>
          <w:bCs/>
        </w:rPr>
        <w:t>Klick-Reduktion von etwa 50 %</w:t>
      </w:r>
      <w:r w:rsidRPr="00B47A6C">
        <w:t>.</w:t>
      </w:r>
    </w:p>
    <w:p w14:paraId="34EE804E" w14:textId="77777777" w:rsidR="00B47A6C" w:rsidRPr="00B47A6C" w:rsidRDefault="00B47A6C" w:rsidP="00B47A6C">
      <w:r w:rsidRPr="00B47A6C">
        <w:t xml:space="preserve">4. AI </w:t>
      </w:r>
      <w:proofErr w:type="spellStart"/>
      <w:r w:rsidRPr="00B47A6C">
        <w:t>Overviews</w:t>
      </w:r>
      <w:proofErr w:type="spellEnd"/>
      <w:r w:rsidRPr="00B47A6C">
        <w:t xml:space="preserve"> und Zero-Click-Tendenzen</w:t>
      </w:r>
    </w:p>
    <w:p w14:paraId="3CBCFA71" w14:textId="77777777" w:rsidR="00B47A6C" w:rsidRPr="00B47A6C" w:rsidRDefault="00B47A6C" w:rsidP="00B47A6C">
      <w:r w:rsidRPr="00B47A6C">
        <w:t>Zu den neuesten Entwicklungen wie </w:t>
      </w:r>
      <w:r w:rsidRPr="00B47A6C">
        <w:rPr>
          <w:b/>
          <w:bCs/>
        </w:rPr>
        <w:t xml:space="preserve">AI </w:t>
      </w:r>
      <w:proofErr w:type="spellStart"/>
      <w:r w:rsidRPr="00B47A6C">
        <w:rPr>
          <w:b/>
          <w:bCs/>
        </w:rPr>
        <w:t>Overviews</w:t>
      </w:r>
      <w:proofErr w:type="spellEnd"/>
      <w:r w:rsidRPr="00B47A6C">
        <w:t> (früher SGE) und dem Trend zu Suchen ohne Klick („Zero-Click“) sagen die Quellen Folgendes:</w:t>
      </w:r>
    </w:p>
    <w:p w14:paraId="38E08D2E" w14:textId="77777777" w:rsidR="00B47A6C" w:rsidRPr="00B47A6C" w:rsidRDefault="00B47A6C" w:rsidP="00B47A6C">
      <w:pPr>
        <w:numPr>
          <w:ilvl w:val="0"/>
          <w:numId w:val="32"/>
        </w:numPr>
      </w:pPr>
      <w:r w:rsidRPr="00B47A6C">
        <w:rPr>
          <w:b/>
          <w:bCs/>
        </w:rPr>
        <w:t>Direkte Antworten:</w:t>
      </w:r>
      <w:r w:rsidRPr="00B47A6C">
        <w:t> Google stellt fest, dass Nutzer heute zunehmend „direkte Antworten“ (z. B. durch Knowledge Graphs oder KI) erhalten, anstatt auf die klassischen „zehn blauen Links“ klicken zu müssen.</w:t>
      </w:r>
    </w:p>
    <w:p w14:paraId="1994E62B" w14:textId="77777777" w:rsidR="00B47A6C" w:rsidRPr="00B47A6C" w:rsidRDefault="00B47A6C" w:rsidP="00B47A6C">
      <w:pPr>
        <w:numPr>
          <w:ilvl w:val="0"/>
          <w:numId w:val="32"/>
        </w:numPr>
      </w:pPr>
      <w:r w:rsidRPr="00B47A6C">
        <w:rPr>
          <w:b/>
          <w:bCs/>
        </w:rPr>
        <w:t xml:space="preserve">Definition für </w:t>
      </w:r>
      <w:proofErr w:type="spellStart"/>
      <w:r w:rsidRPr="00B47A6C">
        <w:rPr>
          <w:b/>
          <w:bCs/>
        </w:rPr>
        <w:t>Remedies</w:t>
      </w:r>
      <w:proofErr w:type="spellEnd"/>
      <w:r w:rsidRPr="00B47A6C">
        <w:rPr>
          <w:b/>
          <w:bCs/>
        </w:rPr>
        <w:t>:</w:t>
      </w:r>
      <w:r w:rsidRPr="00B47A6C">
        <w:t xml:space="preserve"> Im „Final </w:t>
      </w:r>
      <w:proofErr w:type="spellStart"/>
      <w:r w:rsidRPr="00B47A6C">
        <w:t>Judgment</w:t>
      </w:r>
      <w:proofErr w:type="spellEnd"/>
      <w:r w:rsidRPr="00B47A6C">
        <w:t>“ (Dezember 2025) wurde explizit festgelegt, dass Anzeigen in oder im Zusammenhang mit </w:t>
      </w:r>
      <w:r w:rsidRPr="00B47A6C">
        <w:rPr>
          <w:b/>
          <w:bCs/>
        </w:rPr>
        <w:t xml:space="preserve">AI </w:t>
      </w:r>
      <w:proofErr w:type="spellStart"/>
      <w:r w:rsidRPr="00B47A6C">
        <w:rPr>
          <w:b/>
          <w:bCs/>
        </w:rPr>
        <w:t>Overviews</w:t>
      </w:r>
      <w:proofErr w:type="spellEnd"/>
      <w:r w:rsidRPr="00B47A6C">
        <w:t> als „Search Text Ads“ gelten und somit den gleichen Transparenzregeln unterliegen.</w:t>
      </w:r>
    </w:p>
    <w:p w14:paraId="004ECBE7" w14:textId="77777777" w:rsidR="00B47A6C" w:rsidRPr="00B47A6C" w:rsidRDefault="00B47A6C" w:rsidP="00B47A6C">
      <w:pPr>
        <w:numPr>
          <w:ilvl w:val="0"/>
          <w:numId w:val="32"/>
        </w:numPr>
      </w:pPr>
      <w:r w:rsidRPr="00B47A6C">
        <w:rPr>
          <w:b/>
          <w:bCs/>
        </w:rPr>
        <w:t>Fehlende spezifische KI-Zahlen:</w:t>
      </w:r>
      <w:r w:rsidRPr="00B47A6C">
        <w:t> Konkrete CTR-Prozentsätze </w:t>
      </w:r>
      <w:r w:rsidRPr="00B47A6C">
        <w:rPr>
          <w:i/>
          <w:iCs/>
        </w:rPr>
        <w:t xml:space="preserve">speziell für AI </w:t>
      </w:r>
      <w:proofErr w:type="spellStart"/>
      <w:r w:rsidRPr="00B47A6C">
        <w:rPr>
          <w:i/>
          <w:iCs/>
        </w:rPr>
        <w:t>Overviews</w:t>
      </w:r>
      <w:proofErr w:type="spellEnd"/>
      <w:r w:rsidRPr="00B47A6C">
        <w:t> sind in den vorliegenden historischen Prozessunterlagen noch nicht detailliert enthalten, da diese Formate erst gegen Ende des Zeitraums eingeführt wurden.</w:t>
      </w:r>
    </w:p>
    <w:p w14:paraId="69F10CF2" w14:textId="77777777" w:rsidR="00B47A6C" w:rsidRPr="00B47A6C" w:rsidRDefault="00B47A6C" w:rsidP="00B47A6C">
      <w:r w:rsidRPr="00B47A6C">
        <w:t xml:space="preserve">5. Jährliche Wachstumsraten der „Paid </w:t>
      </w:r>
      <w:proofErr w:type="spellStart"/>
      <w:r w:rsidRPr="00B47A6C">
        <w:t>Clicks</w:t>
      </w:r>
      <w:proofErr w:type="spellEnd"/>
      <w:r w:rsidRPr="00B47A6C">
        <w:t>“ (2019–2025)</w:t>
      </w:r>
    </w:p>
    <w:p w14:paraId="5F8A8A50" w14:textId="77777777" w:rsidR="00B47A6C" w:rsidRPr="00B47A6C" w:rsidRDefault="00B47A6C" w:rsidP="00B47A6C">
      <w:r w:rsidRPr="00B47A6C">
        <w:t>Aus den 10-K-Berichten lassen sich die jährlichen Veränderungen des Klickvolumens ablesen, die indirekt das Nutzerengagement widerspiegeln:</w:t>
      </w:r>
    </w:p>
    <w:p w14:paraId="60E90497" w14:textId="77777777" w:rsidR="00B47A6C" w:rsidRPr="00B47A6C" w:rsidRDefault="00B47A6C" w:rsidP="00B47A6C">
      <w:pPr>
        <w:numPr>
          <w:ilvl w:val="0"/>
          <w:numId w:val="33"/>
        </w:numPr>
      </w:pPr>
      <w:r w:rsidRPr="00B47A6C">
        <w:rPr>
          <w:b/>
          <w:bCs/>
        </w:rPr>
        <w:t>2019:</w:t>
      </w:r>
      <w:r w:rsidRPr="00B47A6C">
        <w:t> +23 %</w:t>
      </w:r>
    </w:p>
    <w:p w14:paraId="6661F36A" w14:textId="77777777" w:rsidR="00B47A6C" w:rsidRPr="00B47A6C" w:rsidRDefault="00B47A6C" w:rsidP="00B47A6C">
      <w:pPr>
        <w:numPr>
          <w:ilvl w:val="0"/>
          <w:numId w:val="33"/>
        </w:numPr>
      </w:pPr>
      <w:r w:rsidRPr="00B47A6C">
        <w:rPr>
          <w:b/>
          <w:bCs/>
        </w:rPr>
        <w:t>2020:</w:t>
      </w:r>
      <w:r w:rsidRPr="00B47A6C">
        <w:t> +19 %</w:t>
      </w:r>
    </w:p>
    <w:p w14:paraId="56C40C30" w14:textId="77777777" w:rsidR="00B47A6C" w:rsidRPr="00B47A6C" w:rsidRDefault="00B47A6C" w:rsidP="00B47A6C">
      <w:pPr>
        <w:numPr>
          <w:ilvl w:val="0"/>
          <w:numId w:val="33"/>
        </w:numPr>
      </w:pPr>
      <w:r w:rsidRPr="00B47A6C">
        <w:rPr>
          <w:b/>
          <w:bCs/>
        </w:rPr>
        <w:t>2021:</w:t>
      </w:r>
      <w:r w:rsidRPr="00B47A6C">
        <w:t> +23 %</w:t>
      </w:r>
    </w:p>
    <w:p w14:paraId="3A146FBE" w14:textId="77777777" w:rsidR="00B47A6C" w:rsidRPr="00B47A6C" w:rsidRDefault="00B47A6C" w:rsidP="00B47A6C">
      <w:pPr>
        <w:numPr>
          <w:ilvl w:val="0"/>
          <w:numId w:val="33"/>
        </w:numPr>
      </w:pPr>
      <w:r w:rsidRPr="00B47A6C">
        <w:rPr>
          <w:b/>
          <w:bCs/>
        </w:rPr>
        <w:t>2022:</w:t>
      </w:r>
      <w:r w:rsidRPr="00B47A6C">
        <w:t> +10 %</w:t>
      </w:r>
    </w:p>
    <w:p w14:paraId="3D0FB1DA" w14:textId="77777777" w:rsidR="00B47A6C" w:rsidRPr="00B47A6C" w:rsidRDefault="00B47A6C" w:rsidP="00B47A6C">
      <w:pPr>
        <w:numPr>
          <w:ilvl w:val="0"/>
          <w:numId w:val="33"/>
        </w:numPr>
      </w:pPr>
      <w:r w:rsidRPr="00B47A6C">
        <w:rPr>
          <w:b/>
          <w:bCs/>
        </w:rPr>
        <w:t>2023:</w:t>
      </w:r>
      <w:r w:rsidRPr="00B47A6C">
        <w:t> +7 %</w:t>
      </w:r>
    </w:p>
    <w:p w14:paraId="1E26CC44" w14:textId="77777777" w:rsidR="00B47A6C" w:rsidRPr="00B47A6C" w:rsidRDefault="00B47A6C" w:rsidP="00B47A6C">
      <w:pPr>
        <w:numPr>
          <w:ilvl w:val="0"/>
          <w:numId w:val="33"/>
        </w:numPr>
      </w:pPr>
      <w:r w:rsidRPr="00B47A6C">
        <w:rPr>
          <w:b/>
          <w:bCs/>
        </w:rPr>
        <w:t>2024:</w:t>
      </w:r>
      <w:r w:rsidRPr="00B47A6C">
        <w:t> +5 %</w:t>
      </w:r>
    </w:p>
    <w:p w14:paraId="51771EE6" w14:textId="77777777" w:rsidR="00B47A6C" w:rsidRPr="00B47A6C" w:rsidRDefault="00B47A6C" w:rsidP="00B47A6C">
      <w:pPr>
        <w:numPr>
          <w:ilvl w:val="0"/>
          <w:numId w:val="33"/>
        </w:numPr>
      </w:pPr>
      <w:r w:rsidRPr="00B47A6C">
        <w:rPr>
          <w:b/>
          <w:bCs/>
        </w:rPr>
        <w:t>2025:</w:t>
      </w:r>
      <w:r w:rsidRPr="00B47A6C">
        <w:t> +6 %</w:t>
      </w:r>
    </w:p>
    <w:p w14:paraId="61E9415C" w14:textId="77777777" w:rsidR="00B47A6C" w:rsidRPr="00B47A6C" w:rsidRDefault="00B47A6C" w:rsidP="00B47A6C">
      <w:r w:rsidRPr="00B47A6C">
        <w:t xml:space="preserve">Das Sinken der Wachstumsraten bei den Paid </w:t>
      </w:r>
      <w:proofErr w:type="spellStart"/>
      <w:r w:rsidRPr="00B47A6C">
        <w:t>Clicks</w:t>
      </w:r>
      <w:proofErr w:type="spellEnd"/>
      <w:r w:rsidRPr="00B47A6C">
        <w:t xml:space="preserve"> in den letzten Jahren (von 23 % auf 5-6 %) korrespondiert mit der Sättigung des Marktes und der zunehmenden Bedeutung von Direktantworten auf der Suchseite.</w:t>
      </w:r>
    </w:p>
    <w:p w14:paraId="4CAE460E" w14:textId="77777777" w:rsidR="00B47A6C" w:rsidRPr="00B47A6C" w:rsidRDefault="00B47A6C" w:rsidP="00B47A6C"/>
    <w:sectPr w:rsidR="00B47A6C" w:rsidRPr="00B47A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5B2B"/>
    <w:multiLevelType w:val="multilevel"/>
    <w:tmpl w:val="A54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BAF"/>
    <w:multiLevelType w:val="multilevel"/>
    <w:tmpl w:val="919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5FF7"/>
    <w:multiLevelType w:val="multilevel"/>
    <w:tmpl w:val="9F3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11FD"/>
    <w:multiLevelType w:val="multilevel"/>
    <w:tmpl w:val="7FF0A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D7C8C"/>
    <w:multiLevelType w:val="multilevel"/>
    <w:tmpl w:val="AE7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5480E"/>
    <w:multiLevelType w:val="multilevel"/>
    <w:tmpl w:val="130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15914"/>
    <w:multiLevelType w:val="multilevel"/>
    <w:tmpl w:val="1A0E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813F2"/>
    <w:multiLevelType w:val="multilevel"/>
    <w:tmpl w:val="C9E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46EFF"/>
    <w:multiLevelType w:val="multilevel"/>
    <w:tmpl w:val="14C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E2053"/>
    <w:multiLevelType w:val="multilevel"/>
    <w:tmpl w:val="786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817DD"/>
    <w:multiLevelType w:val="multilevel"/>
    <w:tmpl w:val="64AE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844DC"/>
    <w:multiLevelType w:val="multilevel"/>
    <w:tmpl w:val="DBC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73427"/>
    <w:multiLevelType w:val="multilevel"/>
    <w:tmpl w:val="D8E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A4442"/>
    <w:multiLevelType w:val="multilevel"/>
    <w:tmpl w:val="CD2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87D5E"/>
    <w:multiLevelType w:val="multilevel"/>
    <w:tmpl w:val="B84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D2F37"/>
    <w:multiLevelType w:val="multilevel"/>
    <w:tmpl w:val="0DF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6561F"/>
    <w:multiLevelType w:val="multilevel"/>
    <w:tmpl w:val="30C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329A1"/>
    <w:multiLevelType w:val="multilevel"/>
    <w:tmpl w:val="92BC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F7F9B"/>
    <w:multiLevelType w:val="multilevel"/>
    <w:tmpl w:val="4FE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64459"/>
    <w:multiLevelType w:val="multilevel"/>
    <w:tmpl w:val="876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40564"/>
    <w:multiLevelType w:val="multilevel"/>
    <w:tmpl w:val="1F8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6044C"/>
    <w:multiLevelType w:val="multilevel"/>
    <w:tmpl w:val="2B0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700A4"/>
    <w:multiLevelType w:val="multilevel"/>
    <w:tmpl w:val="643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A556C"/>
    <w:multiLevelType w:val="multilevel"/>
    <w:tmpl w:val="8DF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15D8A"/>
    <w:multiLevelType w:val="multilevel"/>
    <w:tmpl w:val="6AE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9146F"/>
    <w:multiLevelType w:val="multilevel"/>
    <w:tmpl w:val="21A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73160"/>
    <w:multiLevelType w:val="multilevel"/>
    <w:tmpl w:val="F1B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20D3B"/>
    <w:multiLevelType w:val="multilevel"/>
    <w:tmpl w:val="97F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27881"/>
    <w:multiLevelType w:val="multilevel"/>
    <w:tmpl w:val="5F7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E1AA6"/>
    <w:multiLevelType w:val="multilevel"/>
    <w:tmpl w:val="F86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41B6D"/>
    <w:multiLevelType w:val="multilevel"/>
    <w:tmpl w:val="9846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33C4E"/>
    <w:multiLevelType w:val="multilevel"/>
    <w:tmpl w:val="899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D1172"/>
    <w:multiLevelType w:val="multilevel"/>
    <w:tmpl w:val="F084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09142">
    <w:abstractNumId w:val="25"/>
  </w:num>
  <w:num w:numId="2" w16cid:durableId="1762752321">
    <w:abstractNumId w:val="3"/>
  </w:num>
  <w:num w:numId="3" w16cid:durableId="62605540">
    <w:abstractNumId w:val="5"/>
  </w:num>
  <w:num w:numId="4" w16cid:durableId="1415398242">
    <w:abstractNumId w:val="6"/>
  </w:num>
  <w:num w:numId="5" w16cid:durableId="1213616632">
    <w:abstractNumId w:val="17"/>
  </w:num>
  <w:num w:numId="6" w16cid:durableId="1588073535">
    <w:abstractNumId w:val="14"/>
  </w:num>
  <w:num w:numId="7" w16cid:durableId="1062558158">
    <w:abstractNumId w:val="13"/>
  </w:num>
  <w:num w:numId="8" w16cid:durableId="1492452866">
    <w:abstractNumId w:val="11"/>
  </w:num>
  <w:num w:numId="9" w16cid:durableId="810946801">
    <w:abstractNumId w:val="2"/>
  </w:num>
  <w:num w:numId="10" w16cid:durableId="367921876">
    <w:abstractNumId w:val="27"/>
  </w:num>
  <w:num w:numId="11" w16cid:durableId="994408053">
    <w:abstractNumId w:val="12"/>
  </w:num>
  <w:num w:numId="12" w16cid:durableId="1815027301">
    <w:abstractNumId w:val="26"/>
  </w:num>
  <w:num w:numId="13" w16cid:durableId="2034070865">
    <w:abstractNumId w:val="0"/>
  </w:num>
  <w:num w:numId="14" w16cid:durableId="1442913260">
    <w:abstractNumId w:val="29"/>
  </w:num>
  <w:num w:numId="15" w16cid:durableId="411584451">
    <w:abstractNumId w:val="30"/>
  </w:num>
  <w:num w:numId="16" w16cid:durableId="1837568453">
    <w:abstractNumId w:val="1"/>
  </w:num>
  <w:num w:numId="17" w16cid:durableId="448860912">
    <w:abstractNumId w:val="28"/>
  </w:num>
  <w:num w:numId="18" w16cid:durableId="85153868">
    <w:abstractNumId w:val="15"/>
  </w:num>
  <w:num w:numId="19" w16cid:durableId="1878353866">
    <w:abstractNumId w:val="10"/>
  </w:num>
  <w:num w:numId="20" w16cid:durableId="1917933990">
    <w:abstractNumId w:val="22"/>
  </w:num>
  <w:num w:numId="21" w16cid:durableId="710763823">
    <w:abstractNumId w:val="23"/>
  </w:num>
  <w:num w:numId="22" w16cid:durableId="104813298">
    <w:abstractNumId w:val="20"/>
  </w:num>
  <w:num w:numId="23" w16cid:durableId="225144901">
    <w:abstractNumId w:val="18"/>
  </w:num>
  <w:num w:numId="24" w16cid:durableId="1786466543">
    <w:abstractNumId w:val="8"/>
  </w:num>
  <w:num w:numId="25" w16cid:durableId="667178237">
    <w:abstractNumId w:val="19"/>
  </w:num>
  <w:num w:numId="26" w16cid:durableId="2146048018">
    <w:abstractNumId w:val="9"/>
  </w:num>
  <w:num w:numId="27" w16cid:durableId="1629580830">
    <w:abstractNumId w:val="31"/>
  </w:num>
  <w:num w:numId="28" w16cid:durableId="2062367073">
    <w:abstractNumId w:val="7"/>
  </w:num>
  <w:num w:numId="29" w16cid:durableId="445270744">
    <w:abstractNumId w:val="4"/>
  </w:num>
  <w:num w:numId="30" w16cid:durableId="281422275">
    <w:abstractNumId w:val="16"/>
  </w:num>
  <w:num w:numId="31" w16cid:durableId="481890197">
    <w:abstractNumId w:val="32"/>
  </w:num>
  <w:num w:numId="32" w16cid:durableId="610816169">
    <w:abstractNumId w:val="24"/>
  </w:num>
  <w:num w:numId="33" w16cid:durableId="12087570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6C"/>
    <w:rsid w:val="0007015E"/>
    <w:rsid w:val="00113536"/>
    <w:rsid w:val="003A0149"/>
    <w:rsid w:val="0052383D"/>
    <w:rsid w:val="00B47A6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7FAF"/>
  <w15:chartTrackingRefBased/>
  <w15:docId w15:val="{EA367481-A310-4602-8E89-D3E7B40F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7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7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7A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7A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7A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7A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7A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7A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7A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7A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7A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7A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7A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7A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7A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7A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7A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7A6C"/>
    <w:rPr>
      <w:rFonts w:eastAsiaTheme="majorEastAsia" w:cstheme="majorBidi"/>
      <w:color w:val="272727" w:themeColor="text1" w:themeTint="D8"/>
    </w:rPr>
  </w:style>
  <w:style w:type="paragraph" w:styleId="Titel">
    <w:name w:val="Title"/>
    <w:basedOn w:val="Standard"/>
    <w:next w:val="Standard"/>
    <w:link w:val="TitelZchn"/>
    <w:uiPriority w:val="10"/>
    <w:qFormat/>
    <w:rsid w:val="00B4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7A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7A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7A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7A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7A6C"/>
    <w:rPr>
      <w:i/>
      <w:iCs/>
      <w:color w:val="404040" w:themeColor="text1" w:themeTint="BF"/>
    </w:rPr>
  </w:style>
  <w:style w:type="paragraph" w:styleId="Listenabsatz">
    <w:name w:val="List Paragraph"/>
    <w:basedOn w:val="Standard"/>
    <w:uiPriority w:val="34"/>
    <w:qFormat/>
    <w:rsid w:val="00B47A6C"/>
    <w:pPr>
      <w:ind w:left="720"/>
      <w:contextualSpacing/>
    </w:pPr>
  </w:style>
  <w:style w:type="character" w:styleId="IntensiveHervorhebung">
    <w:name w:val="Intense Emphasis"/>
    <w:basedOn w:val="Absatz-Standardschriftart"/>
    <w:uiPriority w:val="21"/>
    <w:qFormat/>
    <w:rsid w:val="00B47A6C"/>
    <w:rPr>
      <w:i/>
      <w:iCs/>
      <w:color w:val="0F4761" w:themeColor="accent1" w:themeShade="BF"/>
    </w:rPr>
  </w:style>
  <w:style w:type="paragraph" w:styleId="IntensivesZitat">
    <w:name w:val="Intense Quote"/>
    <w:basedOn w:val="Standard"/>
    <w:next w:val="Standard"/>
    <w:link w:val="IntensivesZitatZchn"/>
    <w:uiPriority w:val="30"/>
    <w:qFormat/>
    <w:rsid w:val="00B47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7A6C"/>
    <w:rPr>
      <w:i/>
      <w:iCs/>
      <w:color w:val="0F4761" w:themeColor="accent1" w:themeShade="BF"/>
    </w:rPr>
  </w:style>
  <w:style w:type="character" w:styleId="IntensiverVerweis">
    <w:name w:val="Intense Reference"/>
    <w:basedOn w:val="Absatz-Standardschriftart"/>
    <w:uiPriority w:val="32"/>
    <w:qFormat/>
    <w:rsid w:val="00B47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524">
      <w:bodyDiv w:val="1"/>
      <w:marLeft w:val="0"/>
      <w:marRight w:val="0"/>
      <w:marTop w:val="0"/>
      <w:marBottom w:val="0"/>
      <w:divBdr>
        <w:top w:val="none" w:sz="0" w:space="0" w:color="auto"/>
        <w:left w:val="none" w:sz="0" w:space="0" w:color="auto"/>
        <w:bottom w:val="none" w:sz="0" w:space="0" w:color="auto"/>
        <w:right w:val="none" w:sz="0" w:space="0" w:color="auto"/>
      </w:divBdr>
      <w:divsChild>
        <w:div w:id="1008408600">
          <w:marLeft w:val="0"/>
          <w:marRight w:val="0"/>
          <w:marTop w:val="0"/>
          <w:marBottom w:val="0"/>
          <w:divBdr>
            <w:top w:val="none" w:sz="0" w:space="0" w:color="auto"/>
            <w:left w:val="none" w:sz="0" w:space="0" w:color="auto"/>
            <w:bottom w:val="none" w:sz="0" w:space="0" w:color="auto"/>
            <w:right w:val="none" w:sz="0" w:space="0" w:color="auto"/>
          </w:divBdr>
        </w:div>
        <w:div w:id="1366448951">
          <w:marLeft w:val="0"/>
          <w:marRight w:val="0"/>
          <w:marTop w:val="0"/>
          <w:marBottom w:val="0"/>
          <w:divBdr>
            <w:top w:val="none" w:sz="0" w:space="0" w:color="auto"/>
            <w:left w:val="none" w:sz="0" w:space="0" w:color="auto"/>
            <w:bottom w:val="none" w:sz="0" w:space="0" w:color="auto"/>
            <w:right w:val="none" w:sz="0" w:space="0" w:color="auto"/>
          </w:divBdr>
        </w:div>
        <w:div w:id="1708094689">
          <w:marLeft w:val="0"/>
          <w:marRight w:val="0"/>
          <w:marTop w:val="0"/>
          <w:marBottom w:val="0"/>
          <w:divBdr>
            <w:top w:val="none" w:sz="0" w:space="0" w:color="auto"/>
            <w:left w:val="none" w:sz="0" w:space="0" w:color="auto"/>
            <w:bottom w:val="none" w:sz="0" w:space="0" w:color="auto"/>
            <w:right w:val="none" w:sz="0" w:space="0" w:color="auto"/>
          </w:divBdr>
        </w:div>
        <w:div w:id="151915482">
          <w:marLeft w:val="0"/>
          <w:marRight w:val="0"/>
          <w:marTop w:val="0"/>
          <w:marBottom w:val="0"/>
          <w:divBdr>
            <w:top w:val="none" w:sz="0" w:space="0" w:color="auto"/>
            <w:left w:val="none" w:sz="0" w:space="0" w:color="auto"/>
            <w:bottom w:val="none" w:sz="0" w:space="0" w:color="auto"/>
            <w:right w:val="none" w:sz="0" w:space="0" w:color="auto"/>
          </w:divBdr>
        </w:div>
        <w:div w:id="609822199">
          <w:marLeft w:val="0"/>
          <w:marRight w:val="0"/>
          <w:marTop w:val="0"/>
          <w:marBottom w:val="0"/>
          <w:divBdr>
            <w:top w:val="none" w:sz="0" w:space="0" w:color="auto"/>
            <w:left w:val="none" w:sz="0" w:space="0" w:color="auto"/>
            <w:bottom w:val="none" w:sz="0" w:space="0" w:color="auto"/>
            <w:right w:val="none" w:sz="0" w:space="0" w:color="auto"/>
          </w:divBdr>
        </w:div>
        <w:div w:id="332030101">
          <w:marLeft w:val="0"/>
          <w:marRight w:val="0"/>
          <w:marTop w:val="0"/>
          <w:marBottom w:val="0"/>
          <w:divBdr>
            <w:top w:val="none" w:sz="0" w:space="0" w:color="auto"/>
            <w:left w:val="none" w:sz="0" w:space="0" w:color="auto"/>
            <w:bottom w:val="none" w:sz="0" w:space="0" w:color="auto"/>
            <w:right w:val="none" w:sz="0" w:space="0" w:color="auto"/>
          </w:divBdr>
        </w:div>
        <w:div w:id="1318878978">
          <w:marLeft w:val="0"/>
          <w:marRight w:val="0"/>
          <w:marTop w:val="0"/>
          <w:marBottom w:val="0"/>
          <w:divBdr>
            <w:top w:val="none" w:sz="0" w:space="0" w:color="auto"/>
            <w:left w:val="none" w:sz="0" w:space="0" w:color="auto"/>
            <w:bottom w:val="none" w:sz="0" w:space="0" w:color="auto"/>
            <w:right w:val="none" w:sz="0" w:space="0" w:color="auto"/>
          </w:divBdr>
        </w:div>
        <w:div w:id="628517093">
          <w:marLeft w:val="0"/>
          <w:marRight w:val="0"/>
          <w:marTop w:val="0"/>
          <w:marBottom w:val="0"/>
          <w:divBdr>
            <w:top w:val="none" w:sz="0" w:space="0" w:color="auto"/>
            <w:left w:val="none" w:sz="0" w:space="0" w:color="auto"/>
            <w:bottom w:val="none" w:sz="0" w:space="0" w:color="auto"/>
            <w:right w:val="none" w:sz="0" w:space="0" w:color="auto"/>
          </w:divBdr>
        </w:div>
        <w:div w:id="969945399">
          <w:marLeft w:val="0"/>
          <w:marRight w:val="0"/>
          <w:marTop w:val="0"/>
          <w:marBottom w:val="0"/>
          <w:divBdr>
            <w:top w:val="none" w:sz="0" w:space="0" w:color="auto"/>
            <w:left w:val="none" w:sz="0" w:space="0" w:color="auto"/>
            <w:bottom w:val="none" w:sz="0" w:space="0" w:color="auto"/>
            <w:right w:val="none" w:sz="0" w:space="0" w:color="auto"/>
          </w:divBdr>
        </w:div>
        <w:div w:id="352926832">
          <w:marLeft w:val="0"/>
          <w:marRight w:val="0"/>
          <w:marTop w:val="0"/>
          <w:marBottom w:val="0"/>
          <w:divBdr>
            <w:top w:val="none" w:sz="0" w:space="0" w:color="auto"/>
            <w:left w:val="none" w:sz="0" w:space="0" w:color="auto"/>
            <w:bottom w:val="none" w:sz="0" w:space="0" w:color="auto"/>
            <w:right w:val="none" w:sz="0" w:space="0" w:color="auto"/>
          </w:divBdr>
        </w:div>
        <w:div w:id="822506037">
          <w:marLeft w:val="0"/>
          <w:marRight w:val="0"/>
          <w:marTop w:val="0"/>
          <w:marBottom w:val="0"/>
          <w:divBdr>
            <w:top w:val="none" w:sz="0" w:space="0" w:color="auto"/>
            <w:left w:val="none" w:sz="0" w:space="0" w:color="auto"/>
            <w:bottom w:val="none" w:sz="0" w:space="0" w:color="auto"/>
            <w:right w:val="none" w:sz="0" w:space="0" w:color="auto"/>
          </w:divBdr>
        </w:div>
        <w:div w:id="8997025">
          <w:marLeft w:val="0"/>
          <w:marRight w:val="0"/>
          <w:marTop w:val="0"/>
          <w:marBottom w:val="0"/>
          <w:divBdr>
            <w:top w:val="none" w:sz="0" w:space="0" w:color="auto"/>
            <w:left w:val="none" w:sz="0" w:space="0" w:color="auto"/>
            <w:bottom w:val="none" w:sz="0" w:space="0" w:color="auto"/>
            <w:right w:val="none" w:sz="0" w:space="0" w:color="auto"/>
          </w:divBdr>
        </w:div>
        <w:div w:id="1930649987">
          <w:marLeft w:val="0"/>
          <w:marRight w:val="0"/>
          <w:marTop w:val="0"/>
          <w:marBottom w:val="0"/>
          <w:divBdr>
            <w:top w:val="none" w:sz="0" w:space="0" w:color="auto"/>
            <w:left w:val="none" w:sz="0" w:space="0" w:color="auto"/>
            <w:bottom w:val="none" w:sz="0" w:space="0" w:color="auto"/>
            <w:right w:val="none" w:sz="0" w:space="0" w:color="auto"/>
          </w:divBdr>
        </w:div>
        <w:div w:id="63529874">
          <w:marLeft w:val="0"/>
          <w:marRight w:val="0"/>
          <w:marTop w:val="0"/>
          <w:marBottom w:val="0"/>
          <w:divBdr>
            <w:top w:val="none" w:sz="0" w:space="0" w:color="auto"/>
            <w:left w:val="none" w:sz="0" w:space="0" w:color="auto"/>
            <w:bottom w:val="none" w:sz="0" w:space="0" w:color="auto"/>
            <w:right w:val="none" w:sz="0" w:space="0" w:color="auto"/>
          </w:divBdr>
        </w:div>
        <w:div w:id="1847598046">
          <w:marLeft w:val="0"/>
          <w:marRight w:val="0"/>
          <w:marTop w:val="0"/>
          <w:marBottom w:val="0"/>
          <w:divBdr>
            <w:top w:val="none" w:sz="0" w:space="0" w:color="auto"/>
            <w:left w:val="none" w:sz="0" w:space="0" w:color="auto"/>
            <w:bottom w:val="none" w:sz="0" w:space="0" w:color="auto"/>
            <w:right w:val="none" w:sz="0" w:space="0" w:color="auto"/>
          </w:divBdr>
        </w:div>
        <w:div w:id="628971960">
          <w:marLeft w:val="0"/>
          <w:marRight w:val="0"/>
          <w:marTop w:val="0"/>
          <w:marBottom w:val="0"/>
          <w:divBdr>
            <w:top w:val="none" w:sz="0" w:space="0" w:color="auto"/>
            <w:left w:val="none" w:sz="0" w:space="0" w:color="auto"/>
            <w:bottom w:val="none" w:sz="0" w:space="0" w:color="auto"/>
            <w:right w:val="none" w:sz="0" w:space="0" w:color="auto"/>
          </w:divBdr>
        </w:div>
        <w:div w:id="491529305">
          <w:marLeft w:val="0"/>
          <w:marRight w:val="0"/>
          <w:marTop w:val="0"/>
          <w:marBottom w:val="0"/>
          <w:divBdr>
            <w:top w:val="none" w:sz="0" w:space="0" w:color="auto"/>
            <w:left w:val="none" w:sz="0" w:space="0" w:color="auto"/>
            <w:bottom w:val="none" w:sz="0" w:space="0" w:color="auto"/>
            <w:right w:val="none" w:sz="0" w:space="0" w:color="auto"/>
          </w:divBdr>
        </w:div>
        <w:div w:id="135294697">
          <w:marLeft w:val="0"/>
          <w:marRight w:val="0"/>
          <w:marTop w:val="0"/>
          <w:marBottom w:val="0"/>
          <w:divBdr>
            <w:top w:val="none" w:sz="0" w:space="0" w:color="auto"/>
            <w:left w:val="none" w:sz="0" w:space="0" w:color="auto"/>
            <w:bottom w:val="none" w:sz="0" w:space="0" w:color="auto"/>
            <w:right w:val="none" w:sz="0" w:space="0" w:color="auto"/>
          </w:divBdr>
        </w:div>
        <w:div w:id="447742022">
          <w:marLeft w:val="0"/>
          <w:marRight w:val="0"/>
          <w:marTop w:val="0"/>
          <w:marBottom w:val="0"/>
          <w:divBdr>
            <w:top w:val="none" w:sz="0" w:space="0" w:color="auto"/>
            <w:left w:val="none" w:sz="0" w:space="0" w:color="auto"/>
            <w:bottom w:val="none" w:sz="0" w:space="0" w:color="auto"/>
            <w:right w:val="none" w:sz="0" w:space="0" w:color="auto"/>
          </w:divBdr>
        </w:div>
        <w:div w:id="377701068">
          <w:marLeft w:val="0"/>
          <w:marRight w:val="0"/>
          <w:marTop w:val="0"/>
          <w:marBottom w:val="0"/>
          <w:divBdr>
            <w:top w:val="none" w:sz="0" w:space="0" w:color="auto"/>
            <w:left w:val="none" w:sz="0" w:space="0" w:color="auto"/>
            <w:bottom w:val="none" w:sz="0" w:space="0" w:color="auto"/>
            <w:right w:val="none" w:sz="0" w:space="0" w:color="auto"/>
          </w:divBdr>
        </w:div>
        <w:div w:id="349726792">
          <w:marLeft w:val="0"/>
          <w:marRight w:val="0"/>
          <w:marTop w:val="0"/>
          <w:marBottom w:val="0"/>
          <w:divBdr>
            <w:top w:val="none" w:sz="0" w:space="0" w:color="auto"/>
            <w:left w:val="none" w:sz="0" w:space="0" w:color="auto"/>
            <w:bottom w:val="none" w:sz="0" w:space="0" w:color="auto"/>
            <w:right w:val="none" w:sz="0" w:space="0" w:color="auto"/>
          </w:divBdr>
        </w:div>
        <w:div w:id="943342005">
          <w:marLeft w:val="0"/>
          <w:marRight w:val="0"/>
          <w:marTop w:val="0"/>
          <w:marBottom w:val="0"/>
          <w:divBdr>
            <w:top w:val="none" w:sz="0" w:space="0" w:color="auto"/>
            <w:left w:val="none" w:sz="0" w:space="0" w:color="auto"/>
            <w:bottom w:val="none" w:sz="0" w:space="0" w:color="auto"/>
            <w:right w:val="none" w:sz="0" w:space="0" w:color="auto"/>
          </w:divBdr>
        </w:div>
        <w:div w:id="1794203288">
          <w:marLeft w:val="0"/>
          <w:marRight w:val="0"/>
          <w:marTop w:val="0"/>
          <w:marBottom w:val="0"/>
          <w:divBdr>
            <w:top w:val="none" w:sz="0" w:space="0" w:color="auto"/>
            <w:left w:val="none" w:sz="0" w:space="0" w:color="auto"/>
            <w:bottom w:val="none" w:sz="0" w:space="0" w:color="auto"/>
            <w:right w:val="none" w:sz="0" w:space="0" w:color="auto"/>
          </w:divBdr>
        </w:div>
        <w:div w:id="359161436">
          <w:marLeft w:val="0"/>
          <w:marRight w:val="0"/>
          <w:marTop w:val="0"/>
          <w:marBottom w:val="0"/>
          <w:divBdr>
            <w:top w:val="none" w:sz="0" w:space="0" w:color="auto"/>
            <w:left w:val="none" w:sz="0" w:space="0" w:color="auto"/>
            <w:bottom w:val="none" w:sz="0" w:space="0" w:color="auto"/>
            <w:right w:val="none" w:sz="0" w:space="0" w:color="auto"/>
          </w:divBdr>
        </w:div>
        <w:div w:id="193078670">
          <w:marLeft w:val="0"/>
          <w:marRight w:val="0"/>
          <w:marTop w:val="0"/>
          <w:marBottom w:val="0"/>
          <w:divBdr>
            <w:top w:val="none" w:sz="0" w:space="0" w:color="auto"/>
            <w:left w:val="none" w:sz="0" w:space="0" w:color="auto"/>
            <w:bottom w:val="none" w:sz="0" w:space="0" w:color="auto"/>
            <w:right w:val="none" w:sz="0" w:space="0" w:color="auto"/>
          </w:divBdr>
        </w:div>
        <w:div w:id="1237008707">
          <w:marLeft w:val="0"/>
          <w:marRight w:val="0"/>
          <w:marTop w:val="0"/>
          <w:marBottom w:val="0"/>
          <w:divBdr>
            <w:top w:val="none" w:sz="0" w:space="0" w:color="auto"/>
            <w:left w:val="none" w:sz="0" w:space="0" w:color="auto"/>
            <w:bottom w:val="none" w:sz="0" w:space="0" w:color="auto"/>
            <w:right w:val="none" w:sz="0" w:space="0" w:color="auto"/>
          </w:divBdr>
        </w:div>
        <w:div w:id="798374435">
          <w:marLeft w:val="0"/>
          <w:marRight w:val="0"/>
          <w:marTop w:val="0"/>
          <w:marBottom w:val="0"/>
          <w:divBdr>
            <w:top w:val="none" w:sz="0" w:space="0" w:color="auto"/>
            <w:left w:val="none" w:sz="0" w:space="0" w:color="auto"/>
            <w:bottom w:val="none" w:sz="0" w:space="0" w:color="auto"/>
            <w:right w:val="none" w:sz="0" w:space="0" w:color="auto"/>
          </w:divBdr>
        </w:div>
        <w:div w:id="1494445372">
          <w:marLeft w:val="0"/>
          <w:marRight w:val="0"/>
          <w:marTop w:val="0"/>
          <w:marBottom w:val="0"/>
          <w:divBdr>
            <w:top w:val="none" w:sz="0" w:space="0" w:color="auto"/>
            <w:left w:val="none" w:sz="0" w:space="0" w:color="auto"/>
            <w:bottom w:val="none" w:sz="0" w:space="0" w:color="auto"/>
            <w:right w:val="none" w:sz="0" w:space="0" w:color="auto"/>
          </w:divBdr>
        </w:div>
        <w:div w:id="1073162847">
          <w:marLeft w:val="0"/>
          <w:marRight w:val="0"/>
          <w:marTop w:val="0"/>
          <w:marBottom w:val="0"/>
          <w:divBdr>
            <w:top w:val="none" w:sz="0" w:space="0" w:color="auto"/>
            <w:left w:val="none" w:sz="0" w:space="0" w:color="auto"/>
            <w:bottom w:val="none" w:sz="0" w:space="0" w:color="auto"/>
            <w:right w:val="none" w:sz="0" w:space="0" w:color="auto"/>
          </w:divBdr>
        </w:div>
        <w:div w:id="615410268">
          <w:marLeft w:val="0"/>
          <w:marRight w:val="0"/>
          <w:marTop w:val="0"/>
          <w:marBottom w:val="0"/>
          <w:divBdr>
            <w:top w:val="none" w:sz="0" w:space="0" w:color="auto"/>
            <w:left w:val="none" w:sz="0" w:space="0" w:color="auto"/>
            <w:bottom w:val="none" w:sz="0" w:space="0" w:color="auto"/>
            <w:right w:val="none" w:sz="0" w:space="0" w:color="auto"/>
          </w:divBdr>
        </w:div>
        <w:div w:id="917246117">
          <w:marLeft w:val="0"/>
          <w:marRight w:val="0"/>
          <w:marTop w:val="0"/>
          <w:marBottom w:val="0"/>
          <w:divBdr>
            <w:top w:val="none" w:sz="0" w:space="0" w:color="auto"/>
            <w:left w:val="none" w:sz="0" w:space="0" w:color="auto"/>
            <w:bottom w:val="none" w:sz="0" w:space="0" w:color="auto"/>
            <w:right w:val="none" w:sz="0" w:space="0" w:color="auto"/>
          </w:divBdr>
        </w:div>
        <w:div w:id="671104910">
          <w:marLeft w:val="0"/>
          <w:marRight w:val="0"/>
          <w:marTop w:val="0"/>
          <w:marBottom w:val="0"/>
          <w:divBdr>
            <w:top w:val="none" w:sz="0" w:space="0" w:color="auto"/>
            <w:left w:val="none" w:sz="0" w:space="0" w:color="auto"/>
            <w:bottom w:val="none" w:sz="0" w:space="0" w:color="auto"/>
            <w:right w:val="none" w:sz="0" w:space="0" w:color="auto"/>
          </w:divBdr>
        </w:div>
        <w:div w:id="887761174">
          <w:marLeft w:val="0"/>
          <w:marRight w:val="0"/>
          <w:marTop w:val="0"/>
          <w:marBottom w:val="0"/>
          <w:divBdr>
            <w:top w:val="none" w:sz="0" w:space="0" w:color="auto"/>
            <w:left w:val="none" w:sz="0" w:space="0" w:color="auto"/>
            <w:bottom w:val="none" w:sz="0" w:space="0" w:color="auto"/>
            <w:right w:val="none" w:sz="0" w:space="0" w:color="auto"/>
          </w:divBdr>
        </w:div>
        <w:div w:id="186918990">
          <w:marLeft w:val="0"/>
          <w:marRight w:val="0"/>
          <w:marTop w:val="0"/>
          <w:marBottom w:val="0"/>
          <w:divBdr>
            <w:top w:val="none" w:sz="0" w:space="0" w:color="auto"/>
            <w:left w:val="none" w:sz="0" w:space="0" w:color="auto"/>
            <w:bottom w:val="none" w:sz="0" w:space="0" w:color="auto"/>
            <w:right w:val="none" w:sz="0" w:space="0" w:color="auto"/>
          </w:divBdr>
        </w:div>
        <w:div w:id="1287471399">
          <w:marLeft w:val="0"/>
          <w:marRight w:val="0"/>
          <w:marTop w:val="0"/>
          <w:marBottom w:val="0"/>
          <w:divBdr>
            <w:top w:val="none" w:sz="0" w:space="0" w:color="auto"/>
            <w:left w:val="none" w:sz="0" w:space="0" w:color="auto"/>
            <w:bottom w:val="none" w:sz="0" w:space="0" w:color="auto"/>
            <w:right w:val="none" w:sz="0" w:space="0" w:color="auto"/>
          </w:divBdr>
        </w:div>
      </w:divsChild>
    </w:div>
    <w:div w:id="57753734">
      <w:bodyDiv w:val="1"/>
      <w:marLeft w:val="0"/>
      <w:marRight w:val="0"/>
      <w:marTop w:val="0"/>
      <w:marBottom w:val="0"/>
      <w:divBdr>
        <w:top w:val="none" w:sz="0" w:space="0" w:color="auto"/>
        <w:left w:val="none" w:sz="0" w:space="0" w:color="auto"/>
        <w:bottom w:val="none" w:sz="0" w:space="0" w:color="auto"/>
        <w:right w:val="none" w:sz="0" w:space="0" w:color="auto"/>
      </w:divBdr>
      <w:divsChild>
        <w:div w:id="1029256942">
          <w:marLeft w:val="0"/>
          <w:marRight w:val="0"/>
          <w:marTop w:val="0"/>
          <w:marBottom w:val="0"/>
          <w:divBdr>
            <w:top w:val="none" w:sz="0" w:space="0" w:color="auto"/>
            <w:left w:val="none" w:sz="0" w:space="0" w:color="auto"/>
            <w:bottom w:val="none" w:sz="0" w:space="0" w:color="auto"/>
            <w:right w:val="none" w:sz="0" w:space="0" w:color="auto"/>
          </w:divBdr>
        </w:div>
        <w:div w:id="1611283382">
          <w:marLeft w:val="0"/>
          <w:marRight w:val="0"/>
          <w:marTop w:val="0"/>
          <w:marBottom w:val="0"/>
          <w:divBdr>
            <w:top w:val="none" w:sz="0" w:space="0" w:color="auto"/>
            <w:left w:val="none" w:sz="0" w:space="0" w:color="auto"/>
            <w:bottom w:val="none" w:sz="0" w:space="0" w:color="auto"/>
            <w:right w:val="none" w:sz="0" w:space="0" w:color="auto"/>
          </w:divBdr>
        </w:div>
        <w:div w:id="1487891630">
          <w:marLeft w:val="0"/>
          <w:marRight w:val="0"/>
          <w:marTop w:val="0"/>
          <w:marBottom w:val="0"/>
          <w:divBdr>
            <w:top w:val="none" w:sz="0" w:space="0" w:color="auto"/>
            <w:left w:val="none" w:sz="0" w:space="0" w:color="auto"/>
            <w:bottom w:val="none" w:sz="0" w:space="0" w:color="auto"/>
            <w:right w:val="none" w:sz="0" w:space="0" w:color="auto"/>
          </w:divBdr>
        </w:div>
        <w:div w:id="322510429">
          <w:marLeft w:val="0"/>
          <w:marRight w:val="0"/>
          <w:marTop w:val="0"/>
          <w:marBottom w:val="0"/>
          <w:divBdr>
            <w:top w:val="none" w:sz="0" w:space="0" w:color="auto"/>
            <w:left w:val="none" w:sz="0" w:space="0" w:color="auto"/>
            <w:bottom w:val="none" w:sz="0" w:space="0" w:color="auto"/>
            <w:right w:val="none" w:sz="0" w:space="0" w:color="auto"/>
          </w:divBdr>
        </w:div>
        <w:div w:id="1619290816">
          <w:marLeft w:val="0"/>
          <w:marRight w:val="0"/>
          <w:marTop w:val="0"/>
          <w:marBottom w:val="0"/>
          <w:divBdr>
            <w:top w:val="none" w:sz="0" w:space="0" w:color="auto"/>
            <w:left w:val="none" w:sz="0" w:space="0" w:color="auto"/>
            <w:bottom w:val="none" w:sz="0" w:space="0" w:color="auto"/>
            <w:right w:val="none" w:sz="0" w:space="0" w:color="auto"/>
          </w:divBdr>
        </w:div>
        <w:div w:id="351107316">
          <w:marLeft w:val="0"/>
          <w:marRight w:val="0"/>
          <w:marTop w:val="0"/>
          <w:marBottom w:val="0"/>
          <w:divBdr>
            <w:top w:val="none" w:sz="0" w:space="0" w:color="auto"/>
            <w:left w:val="none" w:sz="0" w:space="0" w:color="auto"/>
            <w:bottom w:val="none" w:sz="0" w:space="0" w:color="auto"/>
            <w:right w:val="none" w:sz="0" w:space="0" w:color="auto"/>
          </w:divBdr>
        </w:div>
        <w:div w:id="1670520851">
          <w:marLeft w:val="0"/>
          <w:marRight w:val="0"/>
          <w:marTop w:val="0"/>
          <w:marBottom w:val="0"/>
          <w:divBdr>
            <w:top w:val="none" w:sz="0" w:space="0" w:color="auto"/>
            <w:left w:val="none" w:sz="0" w:space="0" w:color="auto"/>
            <w:bottom w:val="none" w:sz="0" w:space="0" w:color="auto"/>
            <w:right w:val="none" w:sz="0" w:space="0" w:color="auto"/>
          </w:divBdr>
        </w:div>
      </w:divsChild>
    </w:div>
    <w:div w:id="154881537">
      <w:bodyDiv w:val="1"/>
      <w:marLeft w:val="0"/>
      <w:marRight w:val="0"/>
      <w:marTop w:val="0"/>
      <w:marBottom w:val="0"/>
      <w:divBdr>
        <w:top w:val="none" w:sz="0" w:space="0" w:color="auto"/>
        <w:left w:val="none" w:sz="0" w:space="0" w:color="auto"/>
        <w:bottom w:val="none" w:sz="0" w:space="0" w:color="auto"/>
        <w:right w:val="none" w:sz="0" w:space="0" w:color="auto"/>
      </w:divBdr>
      <w:divsChild>
        <w:div w:id="1986816916">
          <w:marLeft w:val="0"/>
          <w:marRight w:val="0"/>
          <w:marTop w:val="0"/>
          <w:marBottom w:val="0"/>
          <w:divBdr>
            <w:top w:val="none" w:sz="0" w:space="0" w:color="auto"/>
            <w:left w:val="none" w:sz="0" w:space="0" w:color="auto"/>
            <w:bottom w:val="none" w:sz="0" w:space="0" w:color="auto"/>
            <w:right w:val="none" w:sz="0" w:space="0" w:color="auto"/>
          </w:divBdr>
        </w:div>
        <w:div w:id="1013343110">
          <w:marLeft w:val="0"/>
          <w:marRight w:val="0"/>
          <w:marTop w:val="0"/>
          <w:marBottom w:val="0"/>
          <w:divBdr>
            <w:top w:val="none" w:sz="0" w:space="0" w:color="auto"/>
            <w:left w:val="none" w:sz="0" w:space="0" w:color="auto"/>
            <w:bottom w:val="none" w:sz="0" w:space="0" w:color="auto"/>
            <w:right w:val="none" w:sz="0" w:space="0" w:color="auto"/>
          </w:divBdr>
        </w:div>
        <w:div w:id="991107448">
          <w:marLeft w:val="0"/>
          <w:marRight w:val="0"/>
          <w:marTop w:val="0"/>
          <w:marBottom w:val="0"/>
          <w:divBdr>
            <w:top w:val="none" w:sz="0" w:space="0" w:color="auto"/>
            <w:left w:val="none" w:sz="0" w:space="0" w:color="auto"/>
            <w:bottom w:val="none" w:sz="0" w:space="0" w:color="auto"/>
            <w:right w:val="none" w:sz="0" w:space="0" w:color="auto"/>
          </w:divBdr>
        </w:div>
        <w:div w:id="2051876430">
          <w:marLeft w:val="0"/>
          <w:marRight w:val="0"/>
          <w:marTop w:val="0"/>
          <w:marBottom w:val="0"/>
          <w:divBdr>
            <w:top w:val="none" w:sz="0" w:space="0" w:color="auto"/>
            <w:left w:val="none" w:sz="0" w:space="0" w:color="auto"/>
            <w:bottom w:val="none" w:sz="0" w:space="0" w:color="auto"/>
            <w:right w:val="none" w:sz="0" w:space="0" w:color="auto"/>
          </w:divBdr>
        </w:div>
        <w:div w:id="225604673">
          <w:marLeft w:val="0"/>
          <w:marRight w:val="0"/>
          <w:marTop w:val="0"/>
          <w:marBottom w:val="0"/>
          <w:divBdr>
            <w:top w:val="none" w:sz="0" w:space="0" w:color="auto"/>
            <w:left w:val="none" w:sz="0" w:space="0" w:color="auto"/>
            <w:bottom w:val="none" w:sz="0" w:space="0" w:color="auto"/>
            <w:right w:val="none" w:sz="0" w:space="0" w:color="auto"/>
          </w:divBdr>
        </w:div>
        <w:div w:id="917976581">
          <w:marLeft w:val="0"/>
          <w:marRight w:val="0"/>
          <w:marTop w:val="0"/>
          <w:marBottom w:val="0"/>
          <w:divBdr>
            <w:top w:val="none" w:sz="0" w:space="0" w:color="auto"/>
            <w:left w:val="none" w:sz="0" w:space="0" w:color="auto"/>
            <w:bottom w:val="none" w:sz="0" w:space="0" w:color="auto"/>
            <w:right w:val="none" w:sz="0" w:space="0" w:color="auto"/>
          </w:divBdr>
        </w:div>
        <w:div w:id="330910451">
          <w:marLeft w:val="0"/>
          <w:marRight w:val="0"/>
          <w:marTop w:val="0"/>
          <w:marBottom w:val="0"/>
          <w:divBdr>
            <w:top w:val="none" w:sz="0" w:space="0" w:color="auto"/>
            <w:left w:val="none" w:sz="0" w:space="0" w:color="auto"/>
            <w:bottom w:val="none" w:sz="0" w:space="0" w:color="auto"/>
            <w:right w:val="none" w:sz="0" w:space="0" w:color="auto"/>
          </w:divBdr>
        </w:div>
      </w:divsChild>
    </w:div>
    <w:div w:id="226456258">
      <w:bodyDiv w:val="1"/>
      <w:marLeft w:val="0"/>
      <w:marRight w:val="0"/>
      <w:marTop w:val="0"/>
      <w:marBottom w:val="0"/>
      <w:divBdr>
        <w:top w:val="none" w:sz="0" w:space="0" w:color="auto"/>
        <w:left w:val="none" w:sz="0" w:space="0" w:color="auto"/>
        <w:bottom w:val="none" w:sz="0" w:space="0" w:color="auto"/>
        <w:right w:val="none" w:sz="0" w:space="0" w:color="auto"/>
      </w:divBdr>
      <w:divsChild>
        <w:div w:id="728187512">
          <w:marLeft w:val="0"/>
          <w:marRight w:val="0"/>
          <w:marTop w:val="0"/>
          <w:marBottom w:val="0"/>
          <w:divBdr>
            <w:top w:val="none" w:sz="0" w:space="0" w:color="auto"/>
            <w:left w:val="none" w:sz="0" w:space="0" w:color="auto"/>
            <w:bottom w:val="none" w:sz="0" w:space="0" w:color="auto"/>
            <w:right w:val="none" w:sz="0" w:space="0" w:color="auto"/>
          </w:divBdr>
        </w:div>
        <w:div w:id="117652651">
          <w:marLeft w:val="0"/>
          <w:marRight w:val="0"/>
          <w:marTop w:val="0"/>
          <w:marBottom w:val="0"/>
          <w:divBdr>
            <w:top w:val="none" w:sz="0" w:space="0" w:color="auto"/>
            <w:left w:val="none" w:sz="0" w:space="0" w:color="auto"/>
            <w:bottom w:val="none" w:sz="0" w:space="0" w:color="auto"/>
            <w:right w:val="none" w:sz="0" w:space="0" w:color="auto"/>
          </w:divBdr>
        </w:div>
        <w:div w:id="245112623">
          <w:marLeft w:val="0"/>
          <w:marRight w:val="0"/>
          <w:marTop w:val="0"/>
          <w:marBottom w:val="0"/>
          <w:divBdr>
            <w:top w:val="none" w:sz="0" w:space="0" w:color="auto"/>
            <w:left w:val="none" w:sz="0" w:space="0" w:color="auto"/>
            <w:bottom w:val="none" w:sz="0" w:space="0" w:color="auto"/>
            <w:right w:val="none" w:sz="0" w:space="0" w:color="auto"/>
          </w:divBdr>
        </w:div>
        <w:div w:id="1337146614">
          <w:marLeft w:val="0"/>
          <w:marRight w:val="0"/>
          <w:marTop w:val="0"/>
          <w:marBottom w:val="0"/>
          <w:divBdr>
            <w:top w:val="none" w:sz="0" w:space="0" w:color="auto"/>
            <w:left w:val="none" w:sz="0" w:space="0" w:color="auto"/>
            <w:bottom w:val="none" w:sz="0" w:space="0" w:color="auto"/>
            <w:right w:val="none" w:sz="0" w:space="0" w:color="auto"/>
          </w:divBdr>
        </w:div>
        <w:div w:id="2076314711">
          <w:marLeft w:val="0"/>
          <w:marRight w:val="0"/>
          <w:marTop w:val="0"/>
          <w:marBottom w:val="0"/>
          <w:divBdr>
            <w:top w:val="none" w:sz="0" w:space="0" w:color="auto"/>
            <w:left w:val="none" w:sz="0" w:space="0" w:color="auto"/>
            <w:bottom w:val="none" w:sz="0" w:space="0" w:color="auto"/>
            <w:right w:val="none" w:sz="0" w:space="0" w:color="auto"/>
          </w:divBdr>
        </w:div>
        <w:div w:id="1639335761">
          <w:marLeft w:val="0"/>
          <w:marRight w:val="0"/>
          <w:marTop w:val="0"/>
          <w:marBottom w:val="0"/>
          <w:divBdr>
            <w:top w:val="none" w:sz="0" w:space="0" w:color="auto"/>
            <w:left w:val="none" w:sz="0" w:space="0" w:color="auto"/>
            <w:bottom w:val="none" w:sz="0" w:space="0" w:color="auto"/>
            <w:right w:val="none" w:sz="0" w:space="0" w:color="auto"/>
          </w:divBdr>
        </w:div>
        <w:div w:id="1914074836">
          <w:marLeft w:val="0"/>
          <w:marRight w:val="0"/>
          <w:marTop w:val="0"/>
          <w:marBottom w:val="0"/>
          <w:divBdr>
            <w:top w:val="none" w:sz="0" w:space="0" w:color="auto"/>
            <w:left w:val="none" w:sz="0" w:space="0" w:color="auto"/>
            <w:bottom w:val="none" w:sz="0" w:space="0" w:color="auto"/>
            <w:right w:val="none" w:sz="0" w:space="0" w:color="auto"/>
          </w:divBdr>
        </w:div>
        <w:div w:id="1033775430">
          <w:marLeft w:val="0"/>
          <w:marRight w:val="0"/>
          <w:marTop w:val="0"/>
          <w:marBottom w:val="0"/>
          <w:divBdr>
            <w:top w:val="none" w:sz="0" w:space="0" w:color="auto"/>
            <w:left w:val="none" w:sz="0" w:space="0" w:color="auto"/>
            <w:bottom w:val="none" w:sz="0" w:space="0" w:color="auto"/>
            <w:right w:val="none" w:sz="0" w:space="0" w:color="auto"/>
          </w:divBdr>
        </w:div>
        <w:div w:id="733553144">
          <w:marLeft w:val="0"/>
          <w:marRight w:val="0"/>
          <w:marTop w:val="0"/>
          <w:marBottom w:val="0"/>
          <w:divBdr>
            <w:top w:val="none" w:sz="0" w:space="0" w:color="auto"/>
            <w:left w:val="none" w:sz="0" w:space="0" w:color="auto"/>
            <w:bottom w:val="none" w:sz="0" w:space="0" w:color="auto"/>
            <w:right w:val="none" w:sz="0" w:space="0" w:color="auto"/>
          </w:divBdr>
        </w:div>
        <w:div w:id="797457035">
          <w:marLeft w:val="0"/>
          <w:marRight w:val="0"/>
          <w:marTop w:val="0"/>
          <w:marBottom w:val="0"/>
          <w:divBdr>
            <w:top w:val="none" w:sz="0" w:space="0" w:color="auto"/>
            <w:left w:val="none" w:sz="0" w:space="0" w:color="auto"/>
            <w:bottom w:val="none" w:sz="0" w:space="0" w:color="auto"/>
            <w:right w:val="none" w:sz="0" w:space="0" w:color="auto"/>
          </w:divBdr>
        </w:div>
        <w:div w:id="2059671013">
          <w:marLeft w:val="0"/>
          <w:marRight w:val="0"/>
          <w:marTop w:val="0"/>
          <w:marBottom w:val="0"/>
          <w:divBdr>
            <w:top w:val="none" w:sz="0" w:space="0" w:color="auto"/>
            <w:left w:val="none" w:sz="0" w:space="0" w:color="auto"/>
            <w:bottom w:val="none" w:sz="0" w:space="0" w:color="auto"/>
            <w:right w:val="none" w:sz="0" w:space="0" w:color="auto"/>
          </w:divBdr>
        </w:div>
        <w:div w:id="2135561292">
          <w:marLeft w:val="0"/>
          <w:marRight w:val="0"/>
          <w:marTop w:val="0"/>
          <w:marBottom w:val="0"/>
          <w:divBdr>
            <w:top w:val="none" w:sz="0" w:space="0" w:color="auto"/>
            <w:left w:val="none" w:sz="0" w:space="0" w:color="auto"/>
            <w:bottom w:val="none" w:sz="0" w:space="0" w:color="auto"/>
            <w:right w:val="none" w:sz="0" w:space="0" w:color="auto"/>
          </w:divBdr>
        </w:div>
        <w:div w:id="1911428428">
          <w:marLeft w:val="0"/>
          <w:marRight w:val="0"/>
          <w:marTop w:val="0"/>
          <w:marBottom w:val="0"/>
          <w:divBdr>
            <w:top w:val="none" w:sz="0" w:space="0" w:color="auto"/>
            <w:left w:val="none" w:sz="0" w:space="0" w:color="auto"/>
            <w:bottom w:val="none" w:sz="0" w:space="0" w:color="auto"/>
            <w:right w:val="none" w:sz="0" w:space="0" w:color="auto"/>
          </w:divBdr>
        </w:div>
      </w:divsChild>
    </w:div>
    <w:div w:id="242185193">
      <w:bodyDiv w:val="1"/>
      <w:marLeft w:val="0"/>
      <w:marRight w:val="0"/>
      <w:marTop w:val="0"/>
      <w:marBottom w:val="0"/>
      <w:divBdr>
        <w:top w:val="none" w:sz="0" w:space="0" w:color="auto"/>
        <w:left w:val="none" w:sz="0" w:space="0" w:color="auto"/>
        <w:bottom w:val="none" w:sz="0" w:space="0" w:color="auto"/>
        <w:right w:val="none" w:sz="0" w:space="0" w:color="auto"/>
      </w:divBdr>
      <w:divsChild>
        <w:div w:id="408814246">
          <w:marLeft w:val="0"/>
          <w:marRight w:val="0"/>
          <w:marTop w:val="0"/>
          <w:marBottom w:val="0"/>
          <w:divBdr>
            <w:top w:val="none" w:sz="0" w:space="0" w:color="auto"/>
            <w:left w:val="none" w:sz="0" w:space="0" w:color="auto"/>
            <w:bottom w:val="none" w:sz="0" w:space="0" w:color="auto"/>
            <w:right w:val="none" w:sz="0" w:space="0" w:color="auto"/>
          </w:divBdr>
        </w:div>
        <w:div w:id="388459135">
          <w:marLeft w:val="0"/>
          <w:marRight w:val="0"/>
          <w:marTop w:val="0"/>
          <w:marBottom w:val="0"/>
          <w:divBdr>
            <w:top w:val="none" w:sz="0" w:space="0" w:color="auto"/>
            <w:left w:val="none" w:sz="0" w:space="0" w:color="auto"/>
            <w:bottom w:val="none" w:sz="0" w:space="0" w:color="auto"/>
            <w:right w:val="none" w:sz="0" w:space="0" w:color="auto"/>
          </w:divBdr>
        </w:div>
        <w:div w:id="936907163">
          <w:marLeft w:val="0"/>
          <w:marRight w:val="0"/>
          <w:marTop w:val="0"/>
          <w:marBottom w:val="0"/>
          <w:divBdr>
            <w:top w:val="none" w:sz="0" w:space="0" w:color="auto"/>
            <w:left w:val="none" w:sz="0" w:space="0" w:color="auto"/>
            <w:bottom w:val="none" w:sz="0" w:space="0" w:color="auto"/>
            <w:right w:val="none" w:sz="0" w:space="0" w:color="auto"/>
          </w:divBdr>
        </w:div>
        <w:div w:id="88241481">
          <w:marLeft w:val="0"/>
          <w:marRight w:val="0"/>
          <w:marTop w:val="0"/>
          <w:marBottom w:val="0"/>
          <w:divBdr>
            <w:top w:val="none" w:sz="0" w:space="0" w:color="auto"/>
            <w:left w:val="none" w:sz="0" w:space="0" w:color="auto"/>
            <w:bottom w:val="none" w:sz="0" w:space="0" w:color="auto"/>
            <w:right w:val="none" w:sz="0" w:space="0" w:color="auto"/>
          </w:divBdr>
        </w:div>
        <w:div w:id="1438721780">
          <w:marLeft w:val="0"/>
          <w:marRight w:val="0"/>
          <w:marTop w:val="0"/>
          <w:marBottom w:val="0"/>
          <w:divBdr>
            <w:top w:val="none" w:sz="0" w:space="0" w:color="auto"/>
            <w:left w:val="none" w:sz="0" w:space="0" w:color="auto"/>
            <w:bottom w:val="none" w:sz="0" w:space="0" w:color="auto"/>
            <w:right w:val="none" w:sz="0" w:space="0" w:color="auto"/>
          </w:divBdr>
        </w:div>
        <w:div w:id="1615944722">
          <w:marLeft w:val="0"/>
          <w:marRight w:val="0"/>
          <w:marTop w:val="0"/>
          <w:marBottom w:val="0"/>
          <w:divBdr>
            <w:top w:val="none" w:sz="0" w:space="0" w:color="auto"/>
            <w:left w:val="none" w:sz="0" w:space="0" w:color="auto"/>
            <w:bottom w:val="none" w:sz="0" w:space="0" w:color="auto"/>
            <w:right w:val="none" w:sz="0" w:space="0" w:color="auto"/>
          </w:divBdr>
        </w:div>
        <w:div w:id="1822581352">
          <w:marLeft w:val="0"/>
          <w:marRight w:val="0"/>
          <w:marTop w:val="0"/>
          <w:marBottom w:val="0"/>
          <w:divBdr>
            <w:top w:val="none" w:sz="0" w:space="0" w:color="auto"/>
            <w:left w:val="none" w:sz="0" w:space="0" w:color="auto"/>
            <w:bottom w:val="none" w:sz="0" w:space="0" w:color="auto"/>
            <w:right w:val="none" w:sz="0" w:space="0" w:color="auto"/>
          </w:divBdr>
        </w:div>
        <w:div w:id="1465348196">
          <w:marLeft w:val="0"/>
          <w:marRight w:val="0"/>
          <w:marTop w:val="0"/>
          <w:marBottom w:val="0"/>
          <w:divBdr>
            <w:top w:val="none" w:sz="0" w:space="0" w:color="auto"/>
            <w:left w:val="none" w:sz="0" w:space="0" w:color="auto"/>
            <w:bottom w:val="none" w:sz="0" w:space="0" w:color="auto"/>
            <w:right w:val="none" w:sz="0" w:space="0" w:color="auto"/>
          </w:divBdr>
        </w:div>
        <w:div w:id="1426881296">
          <w:marLeft w:val="0"/>
          <w:marRight w:val="0"/>
          <w:marTop w:val="0"/>
          <w:marBottom w:val="0"/>
          <w:divBdr>
            <w:top w:val="none" w:sz="0" w:space="0" w:color="auto"/>
            <w:left w:val="none" w:sz="0" w:space="0" w:color="auto"/>
            <w:bottom w:val="none" w:sz="0" w:space="0" w:color="auto"/>
            <w:right w:val="none" w:sz="0" w:space="0" w:color="auto"/>
          </w:divBdr>
        </w:div>
        <w:div w:id="856113500">
          <w:marLeft w:val="0"/>
          <w:marRight w:val="0"/>
          <w:marTop w:val="0"/>
          <w:marBottom w:val="0"/>
          <w:divBdr>
            <w:top w:val="none" w:sz="0" w:space="0" w:color="auto"/>
            <w:left w:val="none" w:sz="0" w:space="0" w:color="auto"/>
            <w:bottom w:val="none" w:sz="0" w:space="0" w:color="auto"/>
            <w:right w:val="none" w:sz="0" w:space="0" w:color="auto"/>
          </w:divBdr>
        </w:div>
      </w:divsChild>
    </w:div>
    <w:div w:id="439760961">
      <w:bodyDiv w:val="1"/>
      <w:marLeft w:val="0"/>
      <w:marRight w:val="0"/>
      <w:marTop w:val="0"/>
      <w:marBottom w:val="0"/>
      <w:divBdr>
        <w:top w:val="none" w:sz="0" w:space="0" w:color="auto"/>
        <w:left w:val="none" w:sz="0" w:space="0" w:color="auto"/>
        <w:bottom w:val="none" w:sz="0" w:space="0" w:color="auto"/>
        <w:right w:val="none" w:sz="0" w:space="0" w:color="auto"/>
      </w:divBdr>
      <w:divsChild>
        <w:div w:id="317811546">
          <w:marLeft w:val="0"/>
          <w:marRight w:val="0"/>
          <w:marTop w:val="0"/>
          <w:marBottom w:val="0"/>
          <w:divBdr>
            <w:top w:val="none" w:sz="0" w:space="0" w:color="auto"/>
            <w:left w:val="none" w:sz="0" w:space="0" w:color="auto"/>
            <w:bottom w:val="none" w:sz="0" w:space="0" w:color="auto"/>
            <w:right w:val="none" w:sz="0" w:space="0" w:color="auto"/>
          </w:divBdr>
        </w:div>
        <w:div w:id="2049182654">
          <w:marLeft w:val="0"/>
          <w:marRight w:val="0"/>
          <w:marTop w:val="0"/>
          <w:marBottom w:val="0"/>
          <w:divBdr>
            <w:top w:val="none" w:sz="0" w:space="0" w:color="auto"/>
            <w:left w:val="none" w:sz="0" w:space="0" w:color="auto"/>
            <w:bottom w:val="none" w:sz="0" w:space="0" w:color="auto"/>
            <w:right w:val="none" w:sz="0" w:space="0" w:color="auto"/>
          </w:divBdr>
        </w:div>
        <w:div w:id="243533553">
          <w:marLeft w:val="0"/>
          <w:marRight w:val="0"/>
          <w:marTop w:val="0"/>
          <w:marBottom w:val="0"/>
          <w:divBdr>
            <w:top w:val="none" w:sz="0" w:space="0" w:color="auto"/>
            <w:left w:val="none" w:sz="0" w:space="0" w:color="auto"/>
            <w:bottom w:val="none" w:sz="0" w:space="0" w:color="auto"/>
            <w:right w:val="none" w:sz="0" w:space="0" w:color="auto"/>
          </w:divBdr>
        </w:div>
        <w:div w:id="1841845113">
          <w:marLeft w:val="0"/>
          <w:marRight w:val="0"/>
          <w:marTop w:val="0"/>
          <w:marBottom w:val="0"/>
          <w:divBdr>
            <w:top w:val="none" w:sz="0" w:space="0" w:color="auto"/>
            <w:left w:val="none" w:sz="0" w:space="0" w:color="auto"/>
            <w:bottom w:val="none" w:sz="0" w:space="0" w:color="auto"/>
            <w:right w:val="none" w:sz="0" w:space="0" w:color="auto"/>
          </w:divBdr>
        </w:div>
        <w:div w:id="1666085382">
          <w:marLeft w:val="0"/>
          <w:marRight w:val="0"/>
          <w:marTop w:val="0"/>
          <w:marBottom w:val="0"/>
          <w:divBdr>
            <w:top w:val="none" w:sz="0" w:space="0" w:color="auto"/>
            <w:left w:val="none" w:sz="0" w:space="0" w:color="auto"/>
            <w:bottom w:val="none" w:sz="0" w:space="0" w:color="auto"/>
            <w:right w:val="none" w:sz="0" w:space="0" w:color="auto"/>
          </w:divBdr>
        </w:div>
        <w:div w:id="1289050660">
          <w:marLeft w:val="0"/>
          <w:marRight w:val="0"/>
          <w:marTop w:val="0"/>
          <w:marBottom w:val="0"/>
          <w:divBdr>
            <w:top w:val="none" w:sz="0" w:space="0" w:color="auto"/>
            <w:left w:val="none" w:sz="0" w:space="0" w:color="auto"/>
            <w:bottom w:val="none" w:sz="0" w:space="0" w:color="auto"/>
            <w:right w:val="none" w:sz="0" w:space="0" w:color="auto"/>
          </w:divBdr>
        </w:div>
        <w:div w:id="866649278">
          <w:marLeft w:val="0"/>
          <w:marRight w:val="0"/>
          <w:marTop w:val="0"/>
          <w:marBottom w:val="0"/>
          <w:divBdr>
            <w:top w:val="none" w:sz="0" w:space="0" w:color="auto"/>
            <w:left w:val="none" w:sz="0" w:space="0" w:color="auto"/>
            <w:bottom w:val="none" w:sz="0" w:space="0" w:color="auto"/>
            <w:right w:val="none" w:sz="0" w:space="0" w:color="auto"/>
          </w:divBdr>
        </w:div>
      </w:divsChild>
    </w:div>
    <w:div w:id="581254078">
      <w:bodyDiv w:val="1"/>
      <w:marLeft w:val="0"/>
      <w:marRight w:val="0"/>
      <w:marTop w:val="0"/>
      <w:marBottom w:val="0"/>
      <w:divBdr>
        <w:top w:val="none" w:sz="0" w:space="0" w:color="auto"/>
        <w:left w:val="none" w:sz="0" w:space="0" w:color="auto"/>
        <w:bottom w:val="none" w:sz="0" w:space="0" w:color="auto"/>
        <w:right w:val="none" w:sz="0" w:space="0" w:color="auto"/>
      </w:divBdr>
      <w:divsChild>
        <w:div w:id="73479680">
          <w:marLeft w:val="0"/>
          <w:marRight w:val="0"/>
          <w:marTop w:val="0"/>
          <w:marBottom w:val="0"/>
          <w:divBdr>
            <w:top w:val="none" w:sz="0" w:space="0" w:color="auto"/>
            <w:left w:val="none" w:sz="0" w:space="0" w:color="auto"/>
            <w:bottom w:val="none" w:sz="0" w:space="0" w:color="auto"/>
            <w:right w:val="none" w:sz="0" w:space="0" w:color="auto"/>
          </w:divBdr>
        </w:div>
        <w:div w:id="1173034938">
          <w:marLeft w:val="0"/>
          <w:marRight w:val="0"/>
          <w:marTop w:val="0"/>
          <w:marBottom w:val="0"/>
          <w:divBdr>
            <w:top w:val="none" w:sz="0" w:space="0" w:color="auto"/>
            <w:left w:val="none" w:sz="0" w:space="0" w:color="auto"/>
            <w:bottom w:val="none" w:sz="0" w:space="0" w:color="auto"/>
            <w:right w:val="none" w:sz="0" w:space="0" w:color="auto"/>
          </w:divBdr>
        </w:div>
        <w:div w:id="1247302918">
          <w:marLeft w:val="0"/>
          <w:marRight w:val="0"/>
          <w:marTop w:val="0"/>
          <w:marBottom w:val="0"/>
          <w:divBdr>
            <w:top w:val="none" w:sz="0" w:space="0" w:color="auto"/>
            <w:left w:val="none" w:sz="0" w:space="0" w:color="auto"/>
            <w:bottom w:val="none" w:sz="0" w:space="0" w:color="auto"/>
            <w:right w:val="none" w:sz="0" w:space="0" w:color="auto"/>
          </w:divBdr>
        </w:div>
        <w:div w:id="1896701689">
          <w:marLeft w:val="0"/>
          <w:marRight w:val="0"/>
          <w:marTop w:val="0"/>
          <w:marBottom w:val="0"/>
          <w:divBdr>
            <w:top w:val="none" w:sz="0" w:space="0" w:color="auto"/>
            <w:left w:val="none" w:sz="0" w:space="0" w:color="auto"/>
            <w:bottom w:val="none" w:sz="0" w:space="0" w:color="auto"/>
            <w:right w:val="none" w:sz="0" w:space="0" w:color="auto"/>
          </w:divBdr>
        </w:div>
        <w:div w:id="837308550">
          <w:marLeft w:val="0"/>
          <w:marRight w:val="0"/>
          <w:marTop w:val="0"/>
          <w:marBottom w:val="0"/>
          <w:divBdr>
            <w:top w:val="none" w:sz="0" w:space="0" w:color="auto"/>
            <w:left w:val="none" w:sz="0" w:space="0" w:color="auto"/>
            <w:bottom w:val="none" w:sz="0" w:space="0" w:color="auto"/>
            <w:right w:val="none" w:sz="0" w:space="0" w:color="auto"/>
          </w:divBdr>
        </w:div>
        <w:div w:id="1110126142">
          <w:marLeft w:val="0"/>
          <w:marRight w:val="0"/>
          <w:marTop w:val="0"/>
          <w:marBottom w:val="0"/>
          <w:divBdr>
            <w:top w:val="none" w:sz="0" w:space="0" w:color="auto"/>
            <w:left w:val="none" w:sz="0" w:space="0" w:color="auto"/>
            <w:bottom w:val="none" w:sz="0" w:space="0" w:color="auto"/>
            <w:right w:val="none" w:sz="0" w:space="0" w:color="auto"/>
          </w:divBdr>
        </w:div>
        <w:div w:id="1995719494">
          <w:marLeft w:val="0"/>
          <w:marRight w:val="0"/>
          <w:marTop w:val="0"/>
          <w:marBottom w:val="0"/>
          <w:divBdr>
            <w:top w:val="none" w:sz="0" w:space="0" w:color="auto"/>
            <w:left w:val="none" w:sz="0" w:space="0" w:color="auto"/>
            <w:bottom w:val="none" w:sz="0" w:space="0" w:color="auto"/>
            <w:right w:val="none" w:sz="0" w:space="0" w:color="auto"/>
          </w:divBdr>
        </w:div>
        <w:div w:id="1843473300">
          <w:marLeft w:val="0"/>
          <w:marRight w:val="0"/>
          <w:marTop w:val="0"/>
          <w:marBottom w:val="0"/>
          <w:divBdr>
            <w:top w:val="none" w:sz="0" w:space="0" w:color="auto"/>
            <w:left w:val="none" w:sz="0" w:space="0" w:color="auto"/>
            <w:bottom w:val="none" w:sz="0" w:space="0" w:color="auto"/>
            <w:right w:val="none" w:sz="0" w:space="0" w:color="auto"/>
          </w:divBdr>
        </w:div>
        <w:div w:id="1811511717">
          <w:marLeft w:val="0"/>
          <w:marRight w:val="0"/>
          <w:marTop w:val="0"/>
          <w:marBottom w:val="0"/>
          <w:divBdr>
            <w:top w:val="none" w:sz="0" w:space="0" w:color="auto"/>
            <w:left w:val="none" w:sz="0" w:space="0" w:color="auto"/>
            <w:bottom w:val="none" w:sz="0" w:space="0" w:color="auto"/>
            <w:right w:val="none" w:sz="0" w:space="0" w:color="auto"/>
          </w:divBdr>
        </w:div>
        <w:div w:id="1695154885">
          <w:marLeft w:val="0"/>
          <w:marRight w:val="0"/>
          <w:marTop w:val="0"/>
          <w:marBottom w:val="0"/>
          <w:divBdr>
            <w:top w:val="none" w:sz="0" w:space="0" w:color="auto"/>
            <w:left w:val="none" w:sz="0" w:space="0" w:color="auto"/>
            <w:bottom w:val="none" w:sz="0" w:space="0" w:color="auto"/>
            <w:right w:val="none" w:sz="0" w:space="0" w:color="auto"/>
          </w:divBdr>
        </w:div>
        <w:div w:id="2110000701">
          <w:marLeft w:val="0"/>
          <w:marRight w:val="0"/>
          <w:marTop w:val="0"/>
          <w:marBottom w:val="0"/>
          <w:divBdr>
            <w:top w:val="none" w:sz="0" w:space="0" w:color="auto"/>
            <w:left w:val="none" w:sz="0" w:space="0" w:color="auto"/>
            <w:bottom w:val="none" w:sz="0" w:space="0" w:color="auto"/>
            <w:right w:val="none" w:sz="0" w:space="0" w:color="auto"/>
          </w:divBdr>
        </w:div>
        <w:div w:id="1300263768">
          <w:marLeft w:val="0"/>
          <w:marRight w:val="0"/>
          <w:marTop w:val="0"/>
          <w:marBottom w:val="0"/>
          <w:divBdr>
            <w:top w:val="none" w:sz="0" w:space="0" w:color="auto"/>
            <w:left w:val="none" w:sz="0" w:space="0" w:color="auto"/>
            <w:bottom w:val="none" w:sz="0" w:space="0" w:color="auto"/>
            <w:right w:val="none" w:sz="0" w:space="0" w:color="auto"/>
          </w:divBdr>
        </w:div>
      </w:divsChild>
    </w:div>
    <w:div w:id="627324238">
      <w:bodyDiv w:val="1"/>
      <w:marLeft w:val="0"/>
      <w:marRight w:val="0"/>
      <w:marTop w:val="0"/>
      <w:marBottom w:val="0"/>
      <w:divBdr>
        <w:top w:val="none" w:sz="0" w:space="0" w:color="auto"/>
        <w:left w:val="none" w:sz="0" w:space="0" w:color="auto"/>
        <w:bottom w:val="none" w:sz="0" w:space="0" w:color="auto"/>
        <w:right w:val="none" w:sz="0" w:space="0" w:color="auto"/>
      </w:divBdr>
      <w:divsChild>
        <w:div w:id="874197938">
          <w:marLeft w:val="0"/>
          <w:marRight w:val="0"/>
          <w:marTop w:val="0"/>
          <w:marBottom w:val="0"/>
          <w:divBdr>
            <w:top w:val="none" w:sz="0" w:space="0" w:color="auto"/>
            <w:left w:val="none" w:sz="0" w:space="0" w:color="auto"/>
            <w:bottom w:val="none" w:sz="0" w:space="0" w:color="auto"/>
            <w:right w:val="none" w:sz="0" w:space="0" w:color="auto"/>
          </w:divBdr>
        </w:div>
        <w:div w:id="1047529485">
          <w:marLeft w:val="0"/>
          <w:marRight w:val="0"/>
          <w:marTop w:val="0"/>
          <w:marBottom w:val="0"/>
          <w:divBdr>
            <w:top w:val="none" w:sz="0" w:space="0" w:color="auto"/>
            <w:left w:val="none" w:sz="0" w:space="0" w:color="auto"/>
            <w:bottom w:val="none" w:sz="0" w:space="0" w:color="auto"/>
            <w:right w:val="none" w:sz="0" w:space="0" w:color="auto"/>
          </w:divBdr>
        </w:div>
        <w:div w:id="1394503403">
          <w:marLeft w:val="0"/>
          <w:marRight w:val="0"/>
          <w:marTop w:val="0"/>
          <w:marBottom w:val="0"/>
          <w:divBdr>
            <w:top w:val="none" w:sz="0" w:space="0" w:color="auto"/>
            <w:left w:val="none" w:sz="0" w:space="0" w:color="auto"/>
            <w:bottom w:val="none" w:sz="0" w:space="0" w:color="auto"/>
            <w:right w:val="none" w:sz="0" w:space="0" w:color="auto"/>
          </w:divBdr>
        </w:div>
        <w:div w:id="1182932633">
          <w:marLeft w:val="0"/>
          <w:marRight w:val="0"/>
          <w:marTop w:val="0"/>
          <w:marBottom w:val="0"/>
          <w:divBdr>
            <w:top w:val="none" w:sz="0" w:space="0" w:color="auto"/>
            <w:left w:val="none" w:sz="0" w:space="0" w:color="auto"/>
            <w:bottom w:val="none" w:sz="0" w:space="0" w:color="auto"/>
            <w:right w:val="none" w:sz="0" w:space="0" w:color="auto"/>
          </w:divBdr>
        </w:div>
        <w:div w:id="1400442208">
          <w:marLeft w:val="0"/>
          <w:marRight w:val="0"/>
          <w:marTop w:val="0"/>
          <w:marBottom w:val="0"/>
          <w:divBdr>
            <w:top w:val="none" w:sz="0" w:space="0" w:color="auto"/>
            <w:left w:val="none" w:sz="0" w:space="0" w:color="auto"/>
            <w:bottom w:val="none" w:sz="0" w:space="0" w:color="auto"/>
            <w:right w:val="none" w:sz="0" w:space="0" w:color="auto"/>
          </w:divBdr>
        </w:div>
        <w:div w:id="420950610">
          <w:marLeft w:val="0"/>
          <w:marRight w:val="0"/>
          <w:marTop w:val="0"/>
          <w:marBottom w:val="0"/>
          <w:divBdr>
            <w:top w:val="none" w:sz="0" w:space="0" w:color="auto"/>
            <w:left w:val="none" w:sz="0" w:space="0" w:color="auto"/>
            <w:bottom w:val="none" w:sz="0" w:space="0" w:color="auto"/>
            <w:right w:val="none" w:sz="0" w:space="0" w:color="auto"/>
          </w:divBdr>
        </w:div>
        <w:div w:id="2025785399">
          <w:marLeft w:val="0"/>
          <w:marRight w:val="0"/>
          <w:marTop w:val="0"/>
          <w:marBottom w:val="0"/>
          <w:divBdr>
            <w:top w:val="none" w:sz="0" w:space="0" w:color="auto"/>
            <w:left w:val="none" w:sz="0" w:space="0" w:color="auto"/>
            <w:bottom w:val="none" w:sz="0" w:space="0" w:color="auto"/>
            <w:right w:val="none" w:sz="0" w:space="0" w:color="auto"/>
          </w:divBdr>
        </w:div>
        <w:div w:id="800075572">
          <w:marLeft w:val="0"/>
          <w:marRight w:val="0"/>
          <w:marTop w:val="0"/>
          <w:marBottom w:val="0"/>
          <w:divBdr>
            <w:top w:val="none" w:sz="0" w:space="0" w:color="auto"/>
            <w:left w:val="none" w:sz="0" w:space="0" w:color="auto"/>
            <w:bottom w:val="none" w:sz="0" w:space="0" w:color="auto"/>
            <w:right w:val="none" w:sz="0" w:space="0" w:color="auto"/>
          </w:divBdr>
        </w:div>
        <w:div w:id="66729580">
          <w:marLeft w:val="0"/>
          <w:marRight w:val="0"/>
          <w:marTop w:val="0"/>
          <w:marBottom w:val="0"/>
          <w:divBdr>
            <w:top w:val="none" w:sz="0" w:space="0" w:color="auto"/>
            <w:left w:val="none" w:sz="0" w:space="0" w:color="auto"/>
            <w:bottom w:val="none" w:sz="0" w:space="0" w:color="auto"/>
            <w:right w:val="none" w:sz="0" w:space="0" w:color="auto"/>
          </w:divBdr>
        </w:div>
        <w:div w:id="1470587750">
          <w:marLeft w:val="0"/>
          <w:marRight w:val="0"/>
          <w:marTop w:val="0"/>
          <w:marBottom w:val="0"/>
          <w:divBdr>
            <w:top w:val="none" w:sz="0" w:space="0" w:color="auto"/>
            <w:left w:val="none" w:sz="0" w:space="0" w:color="auto"/>
            <w:bottom w:val="none" w:sz="0" w:space="0" w:color="auto"/>
            <w:right w:val="none" w:sz="0" w:space="0" w:color="auto"/>
          </w:divBdr>
        </w:div>
        <w:div w:id="1792742389">
          <w:marLeft w:val="0"/>
          <w:marRight w:val="0"/>
          <w:marTop w:val="0"/>
          <w:marBottom w:val="0"/>
          <w:divBdr>
            <w:top w:val="none" w:sz="0" w:space="0" w:color="auto"/>
            <w:left w:val="none" w:sz="0" w:space="0" w:color="auto"/>
            <w:bottom w:val="none" w:sz="0" w:space="0" w:color="auto"/>
            <w:right w:val="none" w:sz="0" w:space="0" w:color="auto"/>
          </w:divBdr>
        </w:div>
        <w:div w:id="776675524">
          <w:marLeft w:val="0"/>
          <w:marRight w:val="0"/>
          <w:marTop w:val="0"/>
          <w:marBottom w:val="0"/>
          <w:divBdr>
            <w:top w:val="none" w:sz="0" w:space="0" w:color="auto"/>
            <w:left w:val="none" w:sz="0" w:space="0" w:color="auto"/>
            <w:bottom w:val="none" w:sz="0" w:space="0" w:color="auto"/>
            <w:right w:val="none" w:sz="0" w:space="0" w:color="auto"/>
          </w:divBdr>
        </w:div>
        <w:div w:id="53741380">
          <w:marLeft w:val="0"/>
          <w:marRight w:val="0"/>
          <w:marTop w:val="0"/>
          <w:marBottom w:val="0"/>
          <w:divBdr>
            <w:top w:val="none" w:sz="0" w:space="0" w:color="auto"/>
            <w:left w:val="none" w:sz="0" w:space="0" w:color="auto"/>
            <w:bottom w:val="none" w:sz="0" w:space="0" w:color="auto"/>
            <w:right w:val="none" w:sz="0" w:space="0" w:color="auto"/>
          </w:divBdr>
        </w:div>
        <w:div w:id="1131627253">
          <w:marLeft w:val="0"/>
          <w:marRight w:val="0"/>
          <w:marTop w:val="0"/>
          <w:marBottom w:val="0"/>
          <w:divBdr>
            <w:top w:val="none" w:sz="0" w:space="0" w:color="auto"/>
            <w:left w:val="none" w:sz="0" w:space="0" w:color="auto"/>
            <w:bottom w:val="none" w:sz="0" w:space="0" w:color="auto"/>
            <w:right w:val="none" w:sz="0" w:space="0" w:color="auto"/>
          </w:divBdr>
        </w:div>
        <w:div w:id="1032000909">
          <w:marLeft w:val="0"/>
          <w:marRight w:val="0"/>
          <w:marTop w:val="0"/>
          <w:marBottom w:val="0"/>
          <w:divBdr>
            <w:top w:val="none" w:sz="0" w:space="0" w:color="auto"/>
            <w:left w:val="none" w:sz="0" w:space="0" w:color="auto"/>
            <w:bottom w:val="none" w:sz="0" w:space="0" w:color="auto"/>
            <w:right w:val="none" w:sz="0" w:space="0" w:color="auto"/>
          </w:divBdr>
        </w:div>
        <w:div w:id="1380088311">
          <w:marLeft w:val="0"/>
          <w:marRight w:val="0"/>
          <w:marTop w:val="0"/>
          <w:marBottom w:val="0"/>
          <w:divBdr>
            <w:top w:val="none" w:sz="0" w:space="0" w:color="auto"/>
            <w:left w:val="none" w:sz="0" w:space="0" w:color="auto"/>
            <w:bottom w:val="none" w:sz="0" w:space="0" w:color="auto"/>
            <w:right w:val="none" w:sz="0" w:space="0" w:color="auto"/>
          </w:divBdr>
        </w:div>
        <w:div w:id="874274026">
          <w:marLeft w:val="0"/>
          <w:marRight w:val="0"/>
          <w:marTop w:val="0"/>
          <w:marBottom w:val="0"/>
          <w:divBdr>
            <w:top w:val="none" w:sz="0" w:space="0" w:color="auto"/>
            <w:left w:val="none" w:sz="0" w:space="0" w:color="auto"/>
            <w:bottom w:val="none" w:sz="0" w:space="0" w:color="auto"/>
            <w:right w:val="none" w:sz="0" w:space="0" w:color="auto"/>
          </w:divBdr>
        </w:div>
        <w:div w:id="522598299">
          <w:marLeft w:val="0"/>
          <w:marRight w:val="0"/>
          <w:marTop w:val="0"/>
          <w:marBottom w:val="0"/>
          <w:divBdr>
            <w:top w:val="none" w:sz="0" w:space="0" w:color="auto"/>
            <w:left w:val="none" w:sz="0" w:space="0" w:color="auto"/>
            <w:bottom w:val="none" w:sz="0" w:space="0" w:color="auto"/>
            <w:right w:val="none" w:sz="0" w:space="0" w:color="auto"/>
          </w:divBdr>
        </w:div>
        <w:div w:id="1198855746">
          <w:marLeft w:val="0"/>
          <w:marRight w:val="0"/>
          <w:marTop w:val="0"/>
          <w:marBottom w:val="0"/>
          <w:divBdr>
            <w:top w:val="none" w:sz="0" w:space="0" w:color="auto"/>
            <w:left w:val="none" w:sz="0" w:space="0" w:color="auto"/>
            <w:bottom w:val="none" w:sz="0" w:space="0" w:color="auto"/>
            <w:right w:val="none" w:sz="0" w:space="0" w:color="auto"/>
          </w:divBdr>
        </w:div>
        <w:div w:id="1933394217">
          <w:marLeft w:val="0"/>
          <w:marRight w:val="0"/>
          <w:marTop w:val="0"/>
          <w:marBottom w:val="0"/>
          <w:divBdr>
            <w:top w:val="none" w:sz="0" w:space="0" w:color="auto"/>
            <w:left w:val="none" w:sz="0" w:space="0" w:color="auto"/>
            <w:bottom w:val="none" w:sz="0" w:space="0" w:color="auto"/>
            <w:right w:val="none" w:sz="0" w:space="0" w:color="auto"/>
          </w:divBdr>
        </w:div>
        <w:div w:id="1835991441">
          <w:marLeft w:val="0"/>
          <w:marRight w:val="0"/>
          <w:marTop w:val="0"/>
          <w:marBottom w:val="0"/>
          <w:divBdr>
            <w:top w:val="none" w:sz="0" w:space="0" w:color="auto"/>
            <w:left w:val="none" w:sz="0" w:space="0" w:color="auto"/>
            <w:bottom w:val="none" w:sz="0" w:space="0" w:color="auto"/>
            <w:right w:val="none" w:sz="0" w:space="0" w:color="auto"/>
          </w:divBdr>
        </w:div>
        <w:div w:id="802163766">
          <w:marLeft w:val="0"/>
          <w:marRight w:val="0"/>
          <w:marTop w:val="0"/>
          <w:marBottom w:val="0"/>
          <w:divBdr>
            <w:top w:val="none" w:sz="0" w:space="0" w:color="auto"/>
            <w:left w:val="none" w:sz="0" w:space="0" w:color="auto"/>
            <w:bottom w:val="none" w:sz="0" w:space="0" w:color="auto"/>
            <w:right w:val="none" w:sz="0" w:space="0" w:color="auto"/>
          </w:divBdr>
        </w:div>
        <w:div w:id="2042783008">
          <w:marLeft w:val="0"/>
          <w:marRight w:val="0"/>
          <w:marTop w:val="0"/>
          <w:marBottom w:val="0"/>
          <w:divBdr>
            <w:top w:val="none" w:sz="0" w:space="0" w:color="auto"/>
            <w:left w:val="none" w:sz="0" w:space="0" w:color="auto"/>
            <w:bottom w:val="none" w:sz="0" w:space="0" w:color="auto"/>
            <w:right w:val="none" w:sz="0" w:space="0" w:color="auto"/>
          </w:divBdr>
        </w:div>
        <w:div w:id="715397016">
          <w:marLeft w:val="0"/>
          <w:marRight w:val="0"/>
          <w:marTop w:val="0"/>
          <w:marBottom w:val="0"/>
          <w:divBdr>
            <w:top w:val="none" w:sz="0" w:space="0" w:color="auto"/>
            <w:left w:val="none" w:sz="0" w:space="0" w:color="auto"/>
            <w:bottom w:val="none" w:sz="0" w:space="0" w:color="auto"/>
            <w:right w:val="none" w:sz="0" w:space="0" w:color="auto"/>
          </w:divBdr>
        </w:div>
        <w:div w:id="643432755">
          <w:marLeft w:val="0"/>
          <w:marRight w:val="0"/>
          <w:marTop w:val="0"/>
          <w:marBottom w:val="0"/>
          <w:divBdr>
            <w:top w:val="none" w:sz="0" w:space="0" w:color="auto"/>
            <w:left w:val="none" w:sz="0" w:space="0" w:color="auto"/>
            <w:bottom w:val="none" w:sz="0" w:space="0" w:color="auto"/>
            <w:right w:val="none" w:sz="0" w:space="0" w:color="auto"/>
          </w:divBdr>
        </w:div>
        <w:div w:id="287512695">
          <w:marLeft w:val="0"/>
          <w:marRight w:val="0"/>
          <w:marTop w:val="0"/>
          <w:marBottom w:val="0"/>
          <w:divBdr>
            <w:top w:val="none" w:sz="0" w:space="0" w:color="auto"/>
            <w:left w:val="none" w:sz="0" w:space="0" w:color="auto"/>
            <w:bottom w:val="none" w:sz="0" w:space="0" w:color="auto"/>
            <w:right w:val="none" w:sz="0" w:space="0" w:color="auto"/>
          </w:divBdr>
        </w:div>
        <w:div w:id="680552177">
          <w:marLeft w:val="0"/>
          <w:marRight w:val="0"/>
          <w:marTop w:val="0"/>
          <w:marBottom w:val="0"/>
          <w:divBdr>
            <w:top w:val="none" w:sz="0" w:space="0" w:color="auto"/>
            <w:left w:val="none" w:sz="0" w:space="0" w:color="auto"/>
            <w:bottom w:val="none" w:sz="0" w:space="0" w:color="auto"/>
            <w:right w:val="none" w:sz="0" w:space="0" w:color="auto"/>
          </w:divBdr>
        </w:div>
      </w:divsChild>
    </w:div>
    <w:div w:id="635572020">
      <w:bodyDiv w:val="1"/>
      <w:marLeft w:val="0"/>
      <w:marRight w:val="0"/>
      <w:marTop w:val="0"/>
      <w:marBottom w:val="0"/>
      <w:divBdr>
        <w:top w:val="none" w:sz="0" w:space="0" w:color="auto"/>
        <w:left w:val="none" w:sz="0" w:space="0" w:color="auto"/>
        <w:bottom w:val="none" w:sz="0" w:space="0" w:color="auto"/>
        <w:right w:val="none" w:sz="0" w:space="0" w:color="auto"/>
      </w:divBdr>
      <w:divsChild>
        <w:div w:id="1265308572">
          <w:marLeft w:val="0"/>
          <w:marRight w:val="0"/>
          <w:marTop w:val="0"/>
          <w:marBottom w:val="0"/>
          <w:divBdr>
            <w:top w:val="none" w:sz="0" w:space="0" w:color="auto"/>
            <w:left w:val="none" w:sz="0" w:space="0" w:color="auto"/>
            <w:bottom w:val="none" w:sz="0" w:space="0" w:color="auto"/>
            <w:right w:val="none" w:sz="0" w:space="0" w:color="auto"/>
          </w:divBdr>
        </w:div>
        <w:div w:id="1450316860">
          <w:marLeft w:val="0"/>
          <w:marRight w:val="0"/>
          <w:marTop w:val="0"/>
          <w:marBottom w:val="0"/>
          <w:divBdr>
            <w:top w:val="none" w:sz="0" w:space="0" w:color="auto"/>
            <w:left w:val="none" w:sz="0" w:space="0" w:color="auto"/>
            <w:bottom w:val="none" w:sz="0" w:space="0" w:color="auto"/>
            <w:right w:val="none" w:sz="0" w:space="0" w:color="auto"/>
          </w:divBdr>
        </w:div>
        <w:div w:id="1214584333">
          <w:marLeft w:val="0"/>
          <w:marRight w:val="0"/>
          <w:marTop w:val="0"/>
          <w:marBottom w:val="0"/>
          <w:divBdr>
            <w:top w:val="none" w:sz="0" w:space="0" w:color="auto"/>
            <w:left w:val="none" w:sz="0" w:space="0" w:color="auto"/>
            <w:bottom w:val="none" w:sz="0" w:space="0" w:color="auto"/>
            <w:right w:val="none" w:sz="0" w:space="0" w:color="auto"/>
          </w:divBdr>
        </w:div>
        <w:div w:id="1862862461">
          <w:marLeft w:val="0"/>
          <w:marRight w:val="0"/>
          <w:marTop w:val="0"/>
          <w:marBottom w:val="0"/>
          <w:divBdr>
            <w:top w:val="none" w:sz="0" w:space="0" w:color="auto"/>
            <w:left w:val="none" w:sz="0" w:space="0" w:color="auto"/>
            <w:bottom w:val="none" w:sz="0" w:space="0" w:color="auto"/>
            <w:right w:val="none" w:sz="0" w:space="0" w:color="auto"/>
          </w:divBdr>
        </w:div>
        <w:div w:id="1687168019">
          <w:marLeft w:val="0"/>
          <w:marRight w:val="0"/>
          <w:marTop w:val="0"/>
          <w:marBottom w:val="0"/>
          <w:divBdr>
            <w:top w:val="none" w:sz="0" w:space="0" w:color="auto"/>
            <w:left w:val="none" w:sz="0" w:space="0" w:color="auto"/>
            <w:bottom w:val="none" w:sz="0" w:space="0" w:color="auto"/>
            <w:right w:val="none" w:sz="0" w:space="0" w:color="auto"/>
          </w:divBdr>
        </w:div>
        <w:div w:id="2035614477">
          <w:marLeft w:val="0"/>
          <w:marRight w:val="0"/>
          <w:marTop w:val="0"/>
          <w:marBottom w:val="0"/>
          <w:divBdr>
            <w:top w:val="none" w:sz="0" w:space="0" w:color="auto"/>
            <w:left w:val="none" w:sz="0" w:space="0" w:color="auto"/>
            <w:bottom w:val="none" w:sz="0" w:space="0" w:color="auto"/>
            <w:right w:val="none" w:sz="0" w:space="0" w:color="auto"/>
          </w:divBdr>
        </w:div>
        <w:div w:id="184754079">
          <w:marLeft w:val="0"/>
          <w:marRight w:val="0"/>
          <w:marTop w:val="0"/>
          <w:marBottom w:val="0"/>
          <w:divBdr>
            <w:top w:val="none" w:sz="0" w:space="0" w:color="auto"/>
            <w:left w:val="none" w:sz="0" w:space="0" w:color="auto"/>
            <w:bottom w:val="none" w:sz="0" w:space="0" w:color="auto"/>
            <w:right w:val="none" w:sz="0" w:space="0" w:color="auto"/>
          </w:divBdr>
        </w:div>
        <w:div w:id="977609062">
          <w:marLeft w:val="0"/>
          <w:marRight w:val="0"/>
          <w:marTop w:val="0"/>
          <w:marBottom w:val="0"/>
          <w:divBdr>
            <w:top w:val="none" w:sz="0" w:space="0" w:color="auto"/>
            <w:left w:val="none" w:sz="0" w:space="0" w:color="auto"/>
            <w:bottom w:val="none" w:sz="0" w:space="0" w:color="auto"/>
            <w:right w:val="none" w:sz="0" w:space="0" w:color="auto"/>
          </w:divBdr>
        </w:div>
        <w:div w:id="1649243670">
          <w:marLeft w:val="0"/>
          <w:marRight w:val="0"/>
          <w:marTop w:val="0"/>
          <w:marBottom w:val="0"/>
          <w:divBdr>
            <w:top w:val="none" w:sz="0" w:space="0" w:color="auto"/>
            <w:left w:val="none" w:sz="0" w:space="0" w:color="auto"/>
            <w:bottom w:val="none" w:sz="0" w:space="0" w:color="auto"/>
            <w:right w:val="none" w:sz="0" w:space="0" w:color="auto"/>
          </w:divBdr>
        </w:div>
        <w:div w:id="1387410185">
          <w:marLeft w:val="0"/>
          <w:marRight w:val="0"/>
          <w:marTop w:val="0"/>
          <w:marBottom w:val="0"/>
          <w:divBdr>
            <w:top w:val="none" w:sz="0" w:space="0" w:color="auto"/>
            <w:left w:val="none" w:sz="0" w:space="0" w:color="auto"/>
            <w:bottom w:val="none" w:sz="0" w:space="0" w:color="auto"/>
            <w:right w:val="none" w:sz="0" w:space="0" w:color="auto"/>
          </w:divBdr>
        </w:div>
        <w:div w:id="1995404012">
          <w:marLeft w:val="0"/>
          <w:marRight w:val="0"/>
          <w:marTop w:val="0"/>
          <w:marBottom w:val="0"/>
          <w:divBdr>
            <w:top w:val="none" w:sz="0" w:space="0" w:color="auto"/>
            <w:left w:val="none" w:sz="0" w:space="0" w:color="auto"/>
            <w:bottom w:val="none" w:sz="0" w:space="0" w:color="auto"/>
            <w:right w:val="none" w:sz="0" w:space="0" w:color="auto"/>
          </w:divBdr>
        </w:div>
        <w:div w:id="2097360327">
          <w:marLeft w:val="0"/>
          <w:marRight w:val="0"/>
          <w:marTop w:val="0"/>
          <w:marBottom w:val="0"/>
          <w:divBdr>
            <w:top w:val="none" w:sz="0" w:space="0" w:color="auto"/>
            <w:left w:val="none" w:sz="0" w:space="0" w:color="auto"/>
            <w:bottom w:val="none" w:sz="0" w:space="0" w:color="auto"/>
            <w:right w:val="none" w:sz="0" w:space="0" w:color="auto"/>
          </w:divBdr>
        </w:div>
        <w:div w:id="1226793411">
          <w:marLeft w:val="0"/>
          <w:marRight w:val="0"/>
          <w:marTop w:val="0"/>
          <w:marBottom w:val="0"/>
          <w:divBdr>
            <w:top w:val="none" w:sz="0" w:space="0" w:color="auto"/>
            <w:left w:val="none" w:sz="0" w:space="0" w:color="auto"/>
            <w:bottom w:val="none" w:sz="0" w:space="0" w:color="auto"/>
            <w:right w:val="none" w:sz="0" w:space="0" w:color="auto"/>
          </w:divBdr>
        </w:div>
        <w:div w:id="540939237">
          <w:marLeft w:val="0"/>
          <w:marRight w:val="0"/>
          <w:marTop w:val="0"/>
          <w:marBottom w:val="0"/>
          <w:divBdr>
            <w:top w:val="none" w:sz="0" w:space="0" w:color="auto"/>
            <w:left w:val="none" w:sz="0" w:space="0" w:color="auto"/>
            <w:bottom w:val="none" w:sz="0" w:space="0" w:color="auto"/>
            <w:right w:val="none" w:sz="0" w:space="0" w:color="auto"/>
          </w:divBdr>
        </w:div>
        <w:div w:id="1272321260">
          <w:marLeft w:val="0"/>
          <w:marRight w:val="0"/>
          <w:marTop w:val="0"/>
          <w:marBottom w:val="0"/>
          <w:divBdr>
            <w:top w:val="none" w:sz="0" w:space="0" w:color="auto"/>
            <w:left w:val="none" w:sz="0" w:space="0" w:color="auto"/>
            <w:bottom w:val="none" w:sz="0" w:space="0" w:color="auto"/>
            <w:right w:val="none" w:sz="0" w:space="0" w:color="auto"/>
          </w:divBdr>
        </w:div>
        <w:div w:id="1019505664">
          <w:marLeft w:val="0"/>
          <w:marRight w:val="0"/>
          <w:marTop w:val="0"/>
          <w:marBottom w:val="0"/>
          <w:divBdr>
            <w:top w:val="none" w:sz="0" w:space="0" w:color="auto"/>
            <w:left w:val="none" w:sz="0" w:space="0" w:color="auto"/>
            <w:bottom w:val="none" w:sz="0" w:space="0" w:color="auto"/>
            <w:right w:val="none" w:sz="0" w:space="0" w:color="auto"/>
          </w:divBdr>
        </w:div>
        <w:div w:id="1489132035">
          <w:marLeft w:val="0"/>
          <w:marRight w:val="0"/>
          <w:marTop w:val="0"/>
          <w:marBottom w:val="0"/>
          <w:divBdr>
            <w:top w:val="none" w:sz="0" w:space="0" w:color="auto"/>
            <w:left w:val="none" w:sz="0" w:space="0" w:color="auto"/>
            <w:bottom w:val="none" w:sz="0" w:space="0" w:color="auto"/>
            <w:right w:val="none" w:sz="0" w:space="0" w:color="auto"/>
          </w:divBdr>
        </w:div>
        <w:div w:id="1231698699">
          <w:marLeft w:val="0"/>
          <w:marRight w:val="0"/>
          <w:marTop w:val="0"/>
          <w:marBottom w:val="0"/>
          <w:divBdr>
            <w:top w:val="none" w:sz="0" w:space="0" w:color="auto"/>
            <w:left w:val="none" w:sz="0" w:space="0" w:color="auto"/>
            <w:bottom w:val="none" w:sz="0" w:space="0" w:color="auto"/>
            <w:right w:val="none" w:sz="0" w:space="0" w:color="auto"/>
          </w:divBdr>
        </w:div>
        <w:div w:id="763385284">
          <w:marLeft w:val="0"/>
          <w:marRight w:val="0"/>
          <w:marTop w:val="0"/>
          <w:marBottom w:val="0"/>
          <w:divBdr>
            <w:top w:val="none" w:sz="0" w:space="0" w:color="auto"/>
            <w:left w:val="none" w:sz="0" w:space="0" w:color="auto"/>
            <w:bottom w:val="none" w:sz="0" w:space="0" w:color="auto"/>
            <w:right w:val="none" w:sz="0" w:space="0" w:color="auto"/>
          </w:divBdr>
        </w:div>
        <w:div w:id="1391071598">
          <w:marLeft w:val="0"/>
          <w:marRight w:val="0"/>
          <w:marTop w:val="0"/>
          <w:marBottom w:val="0"/>
          <w:divBdr>
            <w:top w:val="none" w:sz="0" w:space="0" w:color="auto"/>
            <w:left w:val="none" w:sz="0" w:space="0" w:color="auto"/>
            <w:bottom w:val="none" w:sz="0" w:space="0" w:color="auto"/>
            <w:right w:val="none" w:sz="0" w:space="0" w:color="auto"/>
          </w:divBdr>
        </w:div>
        <w:div w:id="662512115">
          <w:marLeft w:val="0"/>
          <w:marRight w:val="0"/>
          <w:marTop w:val="0"/>
          <w:marBottom w:val="0"/>
          <w:divBdr>
            <w:top w:val="none" w:sz="0" w:space="0" w:color="auto"/>
            <w:left w:val="none" w:sz="0" w:space="0" w:color="auto"/>
            <w:bottom w:val="none" w:sz="0" w:space="0" w:color="auto"/>
            <w:right w:val="none" w:sz="0" w:space="0" w:color="auto"/>
          </w:divBdr>
        </w:div>
        <w:div w:id="1005090365">
          <w:marLeft w:val="0"/>
          <w:marRight w:val="0"/>
          <w:marTop w:val="0"/>
          <w:marBottom w:val="0"/>
          <w:divBdr>
            <w:top w:val="none" w:sz="0" w:space="0" w:color="auto"/>
            <w:left w:val="none" w:sz="0" w:space="0" w:color="auto"/>
            <w:bottom w:val="none" w:sz="0" w:space="0" w:color="auto"/>
            <w:right w:val="none" w:sz="0" w:space="0" w:color="auto"/>
          </w:divBdr>
        </w:div>
        <w:div w:id="803618235">
          <w:marLeft w:val="0"/>
          <w:marRight w:val="0"/>
          <w:marTop w:val="0"/>
          <w:marBottom w:val="0"/>
          <w:divBdr>
            <w:top w:val="none" w:sz="0" w:space="0" w:color="auto"/>
            <w:left w:val="none" w:sz="0" w:space="0" w:color="auto"/>
            <w:bottom w:val="none" w:sz="0" w:space="0" w:color="auto"/>
            <w:right w:val="none" w:sz="0" w:space="0" w:color="auto"/>
          </w:divBdr>
        </w:div>
        <w:div w:id="1315986650">
          <w:marLeft w:val="0"/>
          <w:marRight w:val="0"/>
          <w:marTop w:val="0"/>
          <w:marBottom w:val="0"/>
          <w:divBdr>
            <w:top w:val="none" w:sz="0" w:space="0" w:color="auto"/>
            <w:left w:val="none" w:sz="0" w:space="0" w:color="auto"/>
            <w:bottom w:val="none" w:sz="0" w:space="0" w:color="auto"/>
            <w:right w:val="none" w:sz="0" w:space="0" w:color="auto"/>
          </w:divBdr>
        </w:div>
        <w:div w:id="1018894806">
          <w:marLeft w:val="0"/>
          <w:marRight w:val="0"/>
          <w:marTop w:val="0"/>
          <w:marBottom w:val="0"/>
          <w:divBdr>
            <w:top w:val="none" w:sz="0" w:space="0" w:color="auto"/>
            <w:left w:val="none" w:sz="0" w:space="0" w:color="auto"/>
            <w:bottom w:val="none" w:sz="0" w:space="0" w:color="auto"/>
            <w:right w:val="none" w:sz="0" w:space="0" w:color="auto"/>
          </w:divBdr>
        </w:div>
        <w:div w:id="1143350869">
          <w:marLeft w:val="0"/>
          <w:marRight w:val="0"/>
          <w:marTop w:val="0"/>
          <w:marBottom w:val="0"/>
          <w:divBdr>
            <w:top w:val="none" w:sz="0" w:space="0" w:color="auto"/>
            <w:left w:val="none" w:sz="0" w:space="0" w:color="auto"/>
            <w:bottom w:val="none" w:sz="0" w:space="0" w:color="auto"/>
            <w:right w:val="none" w:sz="0" w:space="0" w:color="auto"/>
          </w:divBdr>
        </w:div>
        <w:div w:id="269900143">
          <w:marLeft w:val="0"/>
          <w:marRight w:val="0"/>
          <w:marTop w:val="0"/>
          <w:marBottom w:val="0"/>
          <w:divBdr>
            <w:top w:val="none" w:sz="0" w:space="0" w:color="auto"/>
            <w:left w:val="none" w:sz="0" w:space="0" w:color="auto"/>
            <w:bottom w:val="none" w:sz="0" w:space="0" w:color="auto"/>
            <w:right w:val="none" w:sz="0" w:space="0" w:color="auto"/>
          </w:divBdr>
        </w:div>
      </w:divsChild>
    </w:div>
    <w:div w:id="673799378">
      <w:bodyDiv w:val="1"/>
      <w:marLeft w:val="0"/>
      <w:marRight w:val="0"/>
      <w:marTop w:val="0"/>
      <w:marBottom w:val="0"/>
      <w:divBdr>
        <w:top w:val="none" w:sz="0" w:space="0" w:color="auto"/>
        <w:left w:val="none" w:sz="0" w:space="0" w:color="auto"/>
        <w:bottom w:val="none" w:sz="0" w:space="0" w:color="auto"/>
        <w:right w:val="none" w:sz="0" w:space="0" w:color="auto"/>
      </w:divBdr>
      <w:divsChild>
        <w:div w:id="626084835">
          <w:marLeft w:val="0"/>
          <w:marRight w:val="0"/>
          <w:marTop w:val="0"/>
          <w:marBottom w:val="0"/>
          <w:divBdr>
            <w:top w:val="none" w:sz="0" w:space="0" w:color="auto"/>
            <w:left w:val="none" w:sz="0" w:space="0" w:color="auto"/>
            <w:bottom w:val="none" w:sz="0" w:space="0" w:color="auto"/>
            <w:right w:val="none" w:sz="0" w:space="0" w:color="auto"/>
          </w:divBdr>
        </w:div>
        <w:div w:id="1334381180">
          <w:marLeft w:val="0"/>
          <w:marRight w:val="0"/>
          <w:marTop w:val="0"/>
          <w:marBottom w:val="0"/>
          <w:divBdr>
            <w:top w:val="none" w:sz="0" w:space="0" w:color="auto"/>
            <w:left w:val="none" w:sz="0" w:space="0" w:color="auto"/>
            <w:bottom w:val="none" w:sz="0" w:space="0" w:color="auto"/>
            <w:right w:val="none" w:sz="0" w:space="0" w:color="auto"/>
          </w:divBdr>
        </w:div>
        <w:div w:id="933632559">
          <w:marLeft w:val="0"/>
          <w:marRight w:val="0"/>
          <w:marTop w:val="0"/>
          <w:marBottom w:val="0"/>
          <w:divBdr>
            <w:top w:val="none" w:sz="0" w:space="0" w:color="auto"/>
            <w:left w:val="none" w:sz="0" w:space="0" w:color="auto"/>
            <w:bottom w:val="none" w:sz="0" w:space="0" w:color="auto"/>
            <w:right w:val="none" w:sz="0" w:space="0" w:color="auto"/>
          </w:divBdr>
        </w:div>
        <w:div w:id="2127580357">
          <w:marLeft w:val="0"/>
          <w:marRight w:val="0"/>
          <w:marTop w:val="0"/>
          <w:marBottom w:val="0"/>
          <w:divBdr>
            <w:top w:val="none" w:sz="0" w:space="0" w:color="auto"/>
            <w:left w:val="none" w:sz="0" w:space="0" w:color="auto"/>
            <w:bottom w:val="none" w:sz="0" w:space="0" w:color="auto"/>
            <w:right w:val="none" w:sz="0" w:space="0" w:color="auto"/>
          </w:divBdr>
        </w:div>
        <w:div w:id="1371538455">
          <w:marLeft w:val="0"/>
          <w:marRight w:val="0"/>
          <w:marTop w:val="0"/>
          <w:marBottom w:val="0"/>
          <w:divBdr>
            <w:top w:val="none" w:sz="0" w:space="0" w:color="auto"/>
            <w:left w:val="none" w:sz="0" w:space="0" w:color="auto"/>
            <w:bottom w:val="none" w:sz="0" w:space="0" w:color="auto"/>
            <w:right w:val="none" w:sz="0" w:space="0" w:color="auto"/>
          </w:divBdr>
        </w:div>
        <w:div w:id="1872257440">
          <w:marLeft w:val="0"/>
          <w:marRight w:val="0"/>
          <w:marTop w:val="0"/>
          <w:marBottom w:val="0"/>
          <w:divBdr>
            <w:top w:val="none" w:sz="0" w:space="0" w:color="auto"/>
            <w:left w:val="none" w:sz="0" w:space="0" w:color="auto"/>
            <w:bottom w:val="none" w:sz="0" w:space="0" w:color="auto"/>
            <w:right w:val="none" w:sz="0" w:space="0" w:color="auto"/>
          </w:divBdr>
        </w:div>
        <w:div w:id="1318075875">
          <w:marLeft w:val="0"/>
          <w:marRight w:val="0"/>
          <w:marTop w:val="0"/>
          <w:marBottom w:val="0"/>
          <w:divBdr>
            <w:top w:val="none" w:sz="0" w:space="0" w:color="auto"/>
            <w:left w:val="none" w:sz="0" w:space="0" w:color="auto"/>
            <w:bottom w:val="none" w:sz="0" w:space="0" w:color="auto"/>
            <w:right w:val="none" w:sz="0" w:space="0" w:color="auto"/>
          </w:divBdr>
        </w:div>
        <w:div w:id="1290865097">
          <w:marLeft w:val="0"/>
          <w:marRight w:val="0"/>
          <w:marTop w:val="0"/>
          <w:marBottom w:val="0"/>
          <w:divBdr>
            <w:top w:val="none" w:sz="0" w:space="0" w:color="auto"/>
            <w:left w:val="none" w:sz="0" w:space="0" w:color="auto"/>
            <w:bottom w:val="none" w:sz="0" w:space="0" w:color="auto"/>
            <w:right w:val="none" w:sz="0" w:space="0" w:color="auto"/>
          </w:divBdr>
        </w:div>
        <w:div w:id="2078699469">
          <w:marLeft w:val="0"/>
          <w:marRight w:val="0"/>
          <w:marTop w:val="0"/>
          <w:marBottom w:val="0"/>
          <w:divBdr>
            <w:top w:val="none" w:sz="0" w:space="0" w:color="auto"/>
            <w:left w:val="none" w:sz="0" w:space="0" w:color="auto"/>
            <w:bottom w:val="none" w:sz="0" w:space="0" w:color="auto"/>
            <w:right w:val="none" w:sz="0" w:space="0" w:color="auto"/>
          </w:divBdr>
        </w:div>
      </w:divsChild>
    </w:div>
    <w:div w:id="800416144">
      <w:bodyDiv w:val="1"/>
      <w:marLeft w:val="0"/>
      <w:marRight w:val="0"/>
      <w:marTop w:val="0"/>
      <w:marBottom w:val="0"/>
      <w:divBdr>
        <w:top w:val="none" w:sz="0" w:space="0" w:color="auto"/>
        <w:left w:val="none" w:sz="0" w:space="0" w:color="auto"/>
        <w:bottom w:val="none" w:sz="0" w:space="0" w:color="auto"/>
        <w:right w:val="none" w:sz="0" w:space="0" w:color="auto"/>
      </w:divBdr>
      <w:divsChild>
        <w:div w:id="1287153837">
          <w:marLeft w:val="0"/>
          <w:marRight w:val="0"/>
          <w:marTop w:val="0"/>
          <w:marBottom w:val="0"/>
          <w:divBdr>
            <w:top w:val="none" w:sz="0" w:space="0" w:color="auto"/>
            <w:left w:val="none" w:sz="0" w:space="0" w:color="auto"/>
            <w:bottom w:val="none" w:sz="0" w:space="0" w:color="auto"/>
            <w:right w:val="none" w:sz="0" w:space="0" w:color="auto"/>
          </w:divBdr>
        </w:div>
        <w:div w:id="1554580355">
          <w:marLeft w:val="0"/>
          <w:marRight w:val="0"/>
          <w:marTop w:val="0"/>
          <w:marBottom w:val="0"/>
          <w:divBdr>
            <w:top w:val="none" w:sz="0" w:space="0" w:color="auto"/>
            <w:left w:val="none" w:sz="0" w:space="0" w:color="auto"/>
            <w:bottom w:val="none" w:sz="0" w:space="0" w:color="auto"/>
            <w:right w:val="none" w:sz="0" w:space="0" w:color="auto"/>
          </w:divBdr>
        </w:div>
        <w:div w:id="1363703513">
          <w:marLeft w:val="0"/>
          <w:marRight w:val="0"/>
          <w:marTop w:val="0"/>
          <w:marBottom w:val="0"/>
          <w:divBdr>
            <w:top w:val="none" w:sz="0" w:space="0" w:color="auto"/>
            <w:left w:val="none" w:sz="0" w:space="0" w:color="auto"/>
            <w:bottom w:val="none" w:sz="0" w:space="0" w:color="auto"/>
            <w:right w:val="none" w:sz="0" w:space="0" w:color="auto"/>
          </w:divBdr>
        </w:div>
        <w:div w:id="103160006">
          <w:marLeft w:val="0"/>
          <w:marRight w:val="0"/>
          <w:marTop w:val="0"/>
          <w:marBottom w:val="0"/>
          <w:divBdr>
            <w:top w:val="none" w:sz="0" w:space="0" w:color="auto"/>
            <w:left w:val="none" w:sz="0" w:space="0" w:color="auto"/>
            <w:bottom w:val="none" w:sz="0" w:space="0" w:color="auto"/>
            <w:right w:val="none" w:sz="0" w:space="0" w:color="auto"/>
          </w:divBdr>
        </w:div>
        <w:div w:id="1138912047">
          <w:marLeft w:val="0"/>
          <w:marRight w:val="0"/>
          <w:marTop w:val="0"/>
          <w:marBottom w:val="0"/>
          <w:divBdr>
            <w:top w:val="none" w:sz="0" w:space="0" w:color="auto"/>
            <w:left w:val="none" w:sz="0" w:space="0" w:color="auto"/>
            <w:bottom w:val="none" w:sz="0" w:space="0" w:color="auto"/>
            <w:right w:val="none" w:sz="0" w:space="0" w:color="auto"/>
          </w:divBdr>
        </w:div>
        <w:div w:id="67382852">
          <w:marLeft w:val="0"/>
          <w:marRight w:val="0"/>
          <w:marTop w:val="0"/>
          <w:marBottom w:val="0"/>
          <w:divBdr>
            <w:top w:val="none" w:sz="0" w:space="0" w:color="auto"/>
            <w:left w:val="none" w:sz="0" w:space="0" w:color="auto"/>
            <w:bottom w:val="none" w:sz="0" w:space="0" w:color="auto"/>
            <w:right w:val="none" w:sz="0" w:space="0" w:color="auto"/>
          </w:divBdr>
        </w:div>
        <w:div w:id="1897888894">
          <w:marLeft w:val="0"/>
          <w:marRight w:val="0"/>
          <w:marTop w:val="0"/>
          <w:marBottom w:val="0"/>
          <w:divBdr>
            <w:top w:val="none" w:sz="0" w:space="0" w:color="auto"/>
            <w:left w:val="none" w:sz="0" w:space="0" w:color="auto"/>
            <w:bottom w:val="none" w:sz="0" w:space="0" w:color="auto"/>
            <w:right w:val="none" w:sz="0" w:space="0" w:color="auto"/>
          </w:divBdr>
        </w:div>
        <w:div w:id="739255898">
          <w:marLeft w:val="0"/>
          <w:marRight w:val="0"/>
          <w:marTop w:val="0"/>
          <w:marBottom w:val="0"/>
          <w:divBdr>
            <w:top w:val="none" w:sz="0" w:space="0" w:color="auto"/>
            <w:left w:val="none" w:sz="0" w:space="0" w:color="auto"/>
            <w:bottom w:val="none" w:sz="0" w:space="0" w:color="auto"/>
            <w:right w:val="none" w:sz="0" w:space="0" w:color="auto"/>
          </w:divBdr>
        </w:div>
        <w:div w:id="800655513">
          <w:marLeft w:val="0"/>
          <w:marRight w:val="0"/>
          <w:marTop w:val="0"/>
          <w:marBottom w:val="0"/>
          <w:divBdr>
            <w:top w:val="none" w:sz="0" w:space="0" w:color="auto"/>
            <w:left w:val="none" w:sz="0" w:space="0" w:color="auto"/>
            <w:bottom w:val="none" w:sz="0" w:space="0" w:color="auto"/>
            <w:right w:val="none" w:sz="0" w:space="0" w:color="auto"/>
          </w:divBdr>
        </w:div>
        <w:div w:id="1711496740">
          <w:marLeft w:val="0"/>
          <w:marRight w:val="0"/>
          <w:marTop w:val="0"/>
          <w:marBottom w:val="0"/>
          <w:divBdr>
            <w:top w:val="none" w:sz="0" w:space="0" w:color="auto"/>
            <w:left w:val="none" w:sz="0" w:space="0" w:color="auto"/>
            <w:bottom w:val="none" w:sz="0" w:space="0" w:color="auto"/>
            <w:right w:val="none" w:sz="0" w:space="0" w:color="auto"/>
          </w:divBdr>
        </w:div>
      </w:divsChild>
    </w:div>
    <w:div w:id="870651728">
      <w:bodyDiv w:val="1"/>
      <w:marLeft w:val="0"/>
      <w:marRight w:val="0"/>
      <w:marTop w:val="0"/>
      <w:marBottom w:val="0"/>
      <w:divBdr>
        <w:top w:val="none" w:sz="0" w:space="0" w:color="auto"/>
        <w:left w:val="none" w:sz="0" w:space="0" w:color="auto"/>
        <w:bottom w:val="none" w:sz="0" w:space="0" w:color="auto"/>
        <w:right w:val="none" w:sz="0" w:space="0" w:color="auto"/>
      </w:divBdr>
      <w:divsChild>
        <w:div w:id="326246549">
          <w:marLeft w:val="0"/>
          <w:marRight w:val="0"/>
          <w:marTop w:val="0"/>
          <w:marBottom w:val="0"/>
          <w:divBdr>
            <w:top w:val="none" w:sz="0" w:space="0" w:color="auto"/>
            <w:left w:val="none" w:sz="0" w:space="0" w:color="auto"/>
            <w:bottom w:val="none" w:sz="0" w:space="0" w:color="auto"/>
            <w:right w:val="none" w:sz="0" w:space="0" w:color="auto"/>
          </w:divBdr>
        </w:div>
        <w:div w:id="399598794">
          <w:marLeft w:val="0"/>
          <w:marRight w:val="0"/>
          <w:marTop w:val="0"/>
          <w:marBottom w:val="0"/>
          <w:divBdr>
            <w:top w:val="none" w:sz="0" w:space="0" w:color="auto"/>
            <w:left w:val="none" w:sz="0" w:space="0" w:color="auto"/>
            <w:bottom w:val="none" w:sz="0" w:space="0" w:color="auto"/>
            <w:right w:val="none" w:sz="0" w:space="0" w:color="auto"/>
          </w:divBdr>
        </w:div>
        <w:div w:id="1372534640">
          <w:marLeft w:val="0"/>
          <w:marRight w:val="0"/>
          <w:marTop w:val="0"/>
          <w:marBottom w:val="0"/>
          <w:divBdr>
            <w:top w:val="none" w:sz="0" w:space="0" w:color="auto"/>
            <w:left w:val="none" w:sz="0" w:space="0" w:color="auto"/>
            <w:bottom w:val="none" w:sz="0" w:space="0" w:color="auto"/>
            <w:right w:val="none" w:sz="0" w:space="0" w:color="auto"/>
          </w:divBdr>
        </w:div>
        <w:div w:id="1335259298">
          <w:marLeft w:val="0"/>
          <w:marRight w:val="0"/>
          <w:marTop w:val="0"/>
          <w:marBottom w:val="0"/>
          <w:divBdr>
            <w:top w:val="none" w:sz="0" w:space="0" w:color="auto"/>
            <w:left w:val="none" w:sz="0" w:space="0" w:color="auto"/>
            <w:bottom w:val="none" w:sz="0" w:space="0" w:color="auto"/>
            <w:right w:val="none" w:sz="0" w:space="0" w:color="auto"/>
          </w:divBdr>
        </w:div>
        <w:div w:id="345406011">
          <w:marLeft w:val="0"/>
          <w:marRight w:val="0"/>
          <w:marTop w:val="0"/>
          <w:marBottom w:val="0"/>
          <w:divBdr>
            <w:top w:val="none" w:sz="0" w:space="0" w:color="auto"/>
            <w:left w:val="none" w:sz="0" w:space="0" w:color="auto"/>
            <w:bottom w:val="none" w:sz="0" w:space="0" w:color="auto"/>
            <w:right w:val="none" w:sz="0" w:space="0" w:color="auto"/>
          </w:divBdr>
        </w:div>
        <w:div w:id="1315257233">
          <w:marLeft w:val="0"/>
          <w:marRight w:val="0"/>
          <w:marTop w:val="0"/>
          <w:marBottom w:val="0"/>
          <w:divBdr>
            <w:top w:val="none" w:sz="0" w:space="0" w:color="auto"/>
            <w:left w:val="none" w:sz="0" w:space="0" w:color="auto"/>
            <w:bottom w:val="none" w:sz="0" w:space="0" w:color="auto"/>
            <w:right w:val="none" w:sz="0" w:space="0" w:color="auto"/>
          </w:divBdr>
        </w:div>
        <w:div w:id="893396138">
          <w:marLeft w:val="0"/>
          <w:marRight w:val="0"/>
          <w:marTop w:val="0"/>
          <w:marBottom w:val="0"/>
          <w:divBdr>
            <w:top w:val="none" w:sz="0" w:space="0" w:color="auto"/>
            <w:left w:val="none" w:sz="0" w:space="0" w:color="auto"/>
            <w:bottom w:val="none" w:sz="0" w:space="0" w:color="auto"/>
            <w:right w:val="none" w:sz="0" w:space="0" w:color="auto"/>
          </w:divBdr>
        </w:div>
        <w:div w:id="627007524">
          <w:marLeft w:val="0"/>
          <w:marRight w:val="0"/>
          <w:marTop w:val="0"/>
          <w:marBottom w:val="0"/>
          <w:divBdr>
            <w:top w:val="none" w:sz="0" w:space="0" w:color="auto"/>
            <w:left w:val="none" w:sz="0" w:space="0" w:color="auto"/>
            <w:bottom w:val="none" w:sz="0" w:space="0" w:color="auto"/>
            <w:right w:val="none" w:sz="0" w:space="0" w:color="auto"/>
          </w:divBdr>
        </w:div>
        <w:div w:id="1807695647">
          <w:marLeft w:val="0"/>
          <w:marRight w:val="0"/>
          <w:marTop w:val="0"/>
          <w:marBottom w:val="0"/>
          <w:divBdr>
            <w:top w:val="none" w:sz="0" w:space="0" w:color="auto"/>
            <w:left w:val="none" w:sz="0" w:space="0" w:color="auto"/>
            <w:bottom w:val="none" w:sz="0" w:space="0" w:color="auto"/>
            <w:right w:val="none" w:sz="0" w:space="0" w:color="auto"/>
          </w:divBdr>
        </w:div>
      </w:divsChild>
    </w:div>
    <w:div w:id="949315963">
      <w:bodyDiv w:val="1"/>
      <w:marLeft w:val="0"/>
      <w:marRight w:val="0"/>
      <w:marTop w:val="0"/>
      <w:marBottom w:val="0"/>
      <w:divBdr>
        <w:top w:val="none" w:sz="0" w:space="0" w:color="auto"/>
        <w:left w:val="none" w:sz="0" w:space="0" w:color="auto"/>
        <w:bottom w:val="none" w:sz="0" w:space="0" w:color="auto"/>
        <w:right w:val="none" w:sz="0" w:space="0" w:color="auto"/>
      </w:divBdr>
      <w:divsChild>
        <w:div w:id="1594778635">
          <w:marLeft w:val="0"/>
          <w:marRight w:val="0"/>
          <w:marTop w:val="0"/>
          <w:marBottom w:val="0"/>
          <w:divBdr>
            <w:top w:val="none" w:sz="0" w:space="0" w:color="auto"/>
            <w:left w:val="none" w:sz="0" w:space="0" w:color="auto"/>
            <w:bottom w:val="none" w:sz="0" w:space="0" w:color="auto"/>
            <w:right w:val="none" w:sz="0" w:space="0" w:color="auto"/>
          </w:divBdr>
        </w:div>
        <w:div w:id="609632906">
          <w:marLeft w:val="0"/>
          <w:marRight w:val="0"/>
          <w:marTop w:val="0"/>
          <w:marBottom w:val="0"/>
          <w:divBdr>
            <w:top w:val="none" w:sz="0" w:space="0" w:color="auto"/>
            <w:left w:val="none" w:sz="0" w:space="0" w:color="auto"/>
            <w:bottom w:val="none" w:sz="0" w:space="0" w:color="auto"/>
            <w:right w:val="none" w:sz="0" w:space="0" w:color="auto"/>
          </w:divBdr>
        </w:div>
        <w:div w:id="1382290097">
          <w:marLeft w:val="0"/>
          <w:marRight w:val="0"/>
          <w:marTop w:val="0"/>
          <w:marBottom w:val="0"/>
          <w:divBdr>
            <w:top w:val="none" w:sz="0" w:space="0" w:color="auto"/>
            <w:left w:val="none" w:sz="0" w:space="0" w:color="auto"/>
            <w:bottom w:val="none" w:sz="0" w:space="0" w:color="auto"/>
            <w:right w:val="none" w:sz="0" w:space="0" w:color="auto"/>
          </w:divBdr>
        </w:div>
        <w:div w:id="1006909212">
          <w:marLeft w:val="0"/>
          <w:marRight w:val="0"/>
          <w:marTop w:val="0"/>
          <w:marBottom w:val="0"/>
          <w:divBdr>
            <w:top w:val="none" w:sz="0" w:space="0" w:color="auto"/>
            <w:left w:val="none" w:sz="0" w:space="0" w:color="auto"/>
            <w:bottom w:val="none" w:sz="0" w:space="0" w:color="auto"/>
            <w:right w:val="none" w:sz="0" w:space="0" w:color="auto"/>
          </w:divBdr>
        </w:div>
        <w:div w:id="859660986">
          <w:marLeft w:val="0"/>
          <w:marRight w:val="0"/>
          <w:marTop w:val="0"/>
          <w:marBottom w:val="0"/>
          <w:divBdr>
            <w:top w:val="none" w:sz="0" w:space="0" w:color="auto"/>
            <w:left w:val="none" w:sz="0" w:space="0" w:color="auto"/>
            <w:bottom w:val="none" w:sz="0" w:space="0" w:color="auto"/>
            <w:right w:val="none" w:sz="0" w:space="0" w:color="auto"/>
          </w:divBdr>
        </w:div>
        <w:div w:id="188375682">
          <w:marLeft w:val="0"/>
          <w:marRight w:val="0"/>
          <w:marTop w:val="0"/>
          <w:marBottom w:val="0"/>
          <w:divBdr>
            <w:top w:val="none" w:sz="0" w:space="0" w:color="auto"/>
            <w:left w:val="none" w:sz="0" w:space="0" w:color="auto"/>
            <w:bottom w:val="none" w:sz="0" w:space="0" w:color="auto"/>
            <w:right w:val="none" w:sz="0" w:space="0" w:color="auto"/>
          </w:divBdr>
        </w:div>
        <w:div w:id="1200893175">
          <w:marLeft w:val="0"/>
          <w:marRight w:val="0"/>
          <w:marTop w:val="0"/>
          <w:marBottom w:val="0"/>
          <w:divBdr>
            <w:top w:val="none" w:sz="0" w:space="0" w:color="auto"/>
            <w:left w:val="none" w:sz="0" w:space="0" w:color="auto"/>
            <w:bottom w:val="none" w:sz="0" w:space="0" w:color="auto"/>
            <w:right w:val="none" w:sz="0" w:space="0" w:color="auto"/>
          </w:divBdr>
        </w:div>
        <w:div w:id="939607685">
          <w:marLeft w:val="0"/>
          <w:marRight w:val="0"/>
          <w:marTop w:val="0"/>
          <w:marBottom w:val="0"/>
          <w:divBdr>
            <w:top w:val="none" w:sz="0" w:space="0" w:color="auto"/>
            <w:left w:val="none" w:sz="0" w:space="0" w:color="auto"/>
            <w:bottom w:val="none" w:sz="0" w:space="0" w:color="auto"/>
            <w:right w:val="none" w:sz="0" w:space="0" w:color="auto"/>
          </w:divBdr>
        </w:div>
        <w:div w:id="158733934">
          <w:marLeft w:val="0"/>
          <w:marRight w:val="0"/>
          <w:marTop w:val="0"/>
          <w:marBottom w:val="0"/>
          <w:divBdr>
            <w:top w:val="none" w:sz="0" w:space="0" w:color="auto"/>
            <w:left w:val="none" w:sz="0" w:space="0" w:color="auto"/>
            <w:bottom w:val="none" w:sz="0" w:space="0" w:color="auto"/>
            <w:right w:val="none" w:sz="0" w:space="0" w:color="auto"/>
          </w:divBdr>
        </w:div>
      </w:divsChild>
    </w:div>
    <w:div w:id="1095370845">
      <w:bodyDiv w:val="1"/>
      <w:marLeft w:val="0"/>
      <w:marRight w:val="0"/>
      <w:marTop w:val="0"/>
      <w:marBottom w:val="0"/>
      <w:divBdr>
        <w:top w:val="none" w:sz="0" w:space="0" w:color="auto"/>
        <w:left w:val="none" w:sz="0" w:space="0" w:color="auto"/>
        <w:bottom w:val="none" w:sz="0" w:space="0" w:color="auto"/>
        <w:right w:val="none" w:sz="0" w:space="0" w:color="auto"/>
      </w:divBdr>
      <w:divsChild>
        <w:div w:id="140657283">
          <w:marLeft w:val="0"/>
          <w:marRight w:val="0"/>
          <w:marTop w:val="0"/>
          <w:marBottom w:val="0"/>
          <w:divBdr>
            <w:top w:val="none" w:sz="0" w:space="0" w:color="auto"/>
            <w:left w:val="none" w:sz="0" w:space="0" w:color="auto"/>
            <w:bottom w:val="none" w:sz="0" w:space="0" w:color="auto"/>
            <w:right w:val="none" w:sz="0" w:space="0" w:color="auto"/>
          </w:divBdr>
        </w:div>
        <w:div w:id="675036279">
          <w:marLeft w:val="0"/>
          <w:marRight w:val="0"/>
          <w:marTop w:val="0"/>
          <w:marBottom w:val="0"/>
          <w:divBdr>
            <w:top w:val="none" w:sz="0" w:space="0" w:color="auto"/>
            <w:left w:val="none" w:sz="0" w:space="0" w:color="auto"/>
            <w:bottom w:val="none" w:sz="0" w:space="0" w:color="auto"/>
            <w:right w:val="none" w:sz="0" w:space="0" w:color="auto"/>
          </w:divBdr>
        </w:div>
        <w:div w:id="1311247664">
          <w:marLeft w:val="0"/>
          <w:marRight w:val="0"/>
          <w:marTop w:val="0"/>
          <w:marBottom w:val="0"/>
          <w:divBdr>
            <w:top w:val="none" w:sz="0" w:space="0" w:color="auto"/>
            <w:left w:val="none" w:sz="0" w:space="0" w:color="auto"/>
            <w:bottom w:val="none" w:sz="0" w:space="0" w:color="auto"/>
            <w:right w:val="none" w:sz="0" w:space="0" w:color="auto"/>
          </w:divBdr>
        </w:div>
        <w:div w:id="2082629753">
          <w:marLeft w:val="0"/>
          <w:marRight w:val="0"/>
          <w:marTop w:val="0"/>
          <w:marBottom w:val="0"/>
          <w:divBdr>
            <w:top w:val="none" w:sz="0" w:space="0" w:color="auto"/>
            <w:left w:val="none" w:sz="0" w:space="0" w:color="auto"/>
            <w:bottom w:val="none" w:sz="0" w:space="0" w:color="auto"/>
            <w:right w:val="none" w:sz="0" w:space="0" w:color="auto"/>
          </w:divBdr>
        </w:div>
        <w:div w:id="458451036">
          <w:marLeft w:val="0"/>
          <w:marRight w:val="0"/>
          <w:marTop w:val="0"/>
          <w:marBottom w:val="0"/>
          <w:divBdr>
            <w:top w:val="none" w:sz="0" w:space="0" w:color="auto"/>
            <w:left w:val="none" w:sz="0" w:space="0" w:color="auto"/>
            <w:bottom w:val="none" w:sz="0" w:space="0" w:color="auto"/>
            <w:right w:val="none" w:sz="0" w:space="0" w:color="auto"/>
          </w:divBdr>
        </w:div>
        <w:div w:id="115830666">
          <w:marLeft w:val="0"/>
          <w:marRight w:val="0"/>
          <w:marTop w:val="0"/>
          <w:marBottom w:val="0"/>
          <w:divBdr>
            <w:top w:val="none" w:sz="0" w:space="0" w:color="auto"/>
            <w:left w:val="none" w:sz="0" w:space="0" w:color="auto"/>
            <w:bottom w:val="none" w:sz="0" w:space="0" w:color="auto"/>
            <w:right w:val="none" w:sz="0" w:space="0" w:color="auto"/>
          </w:divBdr>
        </w:div>
        <w:div w:id="870923052">
          <w:marLeft w:val="0"/>
          <w:marRight w:val="0"/>
          <w:marTop w:val="0"/>
          <w:marBottom w:val="0"/>
          <w:divBdr>
            <w:top w:val="none" w:sz="0" w:space="0" w:color="auto"/>
            <w:left w:val="none" w:sz="0" w:space="0" w:color="auto"/>
            <w:bottom w:val="none" w:sz="0" w:space="0" w:color="auto"/>
            <w:right w:val="none" w:sz="0" w:space="0" w:color="auto"/>
          </w:divBdr>
        </w:div>
        <w:div w:id="2027051019">
          <w:marLeft w:val="0"/>
          <w:marRight w:val="0"/>
          <w:marTop w:val="0"/>
          <w:marBottom w:val="0"/>
          <w:divBdr>
            <w:top w:val="none" w:sz="0" w:space="0" w:color="auto"/>
            <w:left w:val="none" w:sz="0" w:space="0" w:color="auto"/>
            <w:bottom w:val="none" w:sz="0" w:space="0" w:color="auto"/>
            <w:right w:val="none" w:sz="0" w:space="0" w:color="auto"/>
          </w:divBdr>
        </w:div>
        <w:div w:id="873495000">
          <w:marLeft w:val="0"/>
          <w:marRight w:val="0"/>
          <w:marTop w:val="0"/>
          <w:marBottom w:val="0"/>
          <w:divBdr>
            <w:top w:val="none" w:sz="0" w:space="0" w:color="auto"/>
            <w:left w:val="none" w:sz="0" w:space="0" w:color="auto"/>
            <w:bottom w:val="none" w:sz="0" w:space="0" w:color="auto"/>
            <w:right w:val="none" w:sz="0" w:space="0" w:color="auto"/>
          </w:divBdr>
        </w:div>
        <w:div w:id="327489650">
          <w:marLeft w:val="0"/>
          <w:marRight w:val="0"/>
          <w:marTop w:val="0"/>
          <w:marBottom w:val="0"/>
          <w:divBdr>
            <w:top w:val="none" w:sz="0" w:space="0" w:color="auto"/>
            <w:left w:val="none" w:sz="0" w:space="0" w:color="auto"/>
            <w:bottom w:val="none" w:sz="0" w:space="0" w:color="auto"/>
            <w:right w:val="none" w:sz="0" w:space="0" w:color="auto"/>
          </w:divBdr>
        </w:div>
        <w:div w:id="1809055957">
          <w:marLeft w:val="0"/>
          <w:marRight w:val="0"/>
          <w:marTop w:val="0"/>
          <w:marBottom w:val="0"/>
          <w:divBdr>
            <w:top w:val="none" w:sz="0" w:space="0" w:color="auto"/>
            <w:left w:val="none" w:sz="0" w:space="0" w:color="auto"/>
            <w:bottom w:val="none" w:sz="0" w:space="0" w:color="auto"/>
            <w:right w:val="none" w:sz="0" w:space="0" w:color="auto"/>
          </w:divBdr>
        </w:div>
        <w:div w:id="1738623167">
          <w:marLeft w:val="0"/>
          <w:marRight w:val="0"/>
          <w:marTop w:val="0"/>
          <w:marBottom w:val="0"/>
          <w:divBdr>
            <w:top w:val="none" w:sz="0" w:space="0" w:color="auto"/>
            <w:left w:val="none" w:sz="0" w:space="0" w:color="auto"/>
            <w:bottom w:val="none" w:sz="0" w:space="0" w:color="auto"/>
            <w:right w:val="none" w:sz="0" w:space="0" w:color="auto"/>
          </w:divBdr>
        </w:div>
        <w:div w:id="1520777851">
          <w:marLeft w:val="0"/>
          <w:marRight w:val="0"/>
          <w:marTop w:val="0"/>
          <w:marBottom w:val="0"/>
          <w:divBdr>
            <w:top w:val="none" w:sz="0" w:space="0" w:color="auto"/>
            <w:left w:val="none" w:sz="0" w:space="0" w:color="auto"/>
            <w:bottom w:val="none" w:sz="0" w:space="0" w:color="auto"/>
            <w:right w:val="none" w:sz="0" w:space="0" w:color="auto"/>
          </w:divBdr>
        </w:div>
        <w:div w:id="164102655">
          <w:marLeft w:val="0"/>
          <w:marRight w:val="0"/>
          <w:marTop w:val="0"/>
          <w:marBottom w:val="0"/>
          <w:divBdr>
            <w:top w:val="none" w:sz="0" w:space="0" w:color="auto"/>
            <w:left w:val="none" w:sz="0" w:space="0" w:color="auto"/>
            <w:bottom w:val="none" w:sz="0" w:space="0" w:color="auto"/>
            <w:right w:val="none" w:sz="0" w:space="0" w:color="auto"/>
          </w:divBdr>
        </w:div>
        <w:div w:id="174997911">
          <w:marLeft w:val="0"/>
          <w:marRight w:val="0"/>
          <w:marTop w:val="0"/>
          <w:marBottom w:val="0"/>
          <w:divBdr>
            <w:top w:val="none" w:sz="0" w:space="0" w:color="auto"/>
            <w:left w:val="none" w:sz="0" w:space="0" w:color="auto"/>
            <w:bottom w:val="none" w:sz="0" w:space="0" w:color="auto"/>
            <w:right w:val="none" w:sz="0" w:space="0" w:color="auto"/>
          </w:divBdr>
        </w:div>
        <w:div w:id="1678461788">
          <w:marLeft w:val="0"/>
          <w:marRight w:val="0"/>
          <w:marTop w:val="0"/>
          <w:marBottom w:val="0"/>
          <w:divBdr>
            <w:top w:val="none" w:sz="0" w:space="0" w:color="auto"/>
            <w:left w:val="none" w:sz="0" w:space="0" w:color="auto"/>
            <w:bottom w:val="none" w:sz="0" w:space="0" w:color="auto"/>
            <w:right w:val="none" w:sz="0" w:space="0" w:color="auto"/>
          </w:divBdr>
        </w:div>
        <w:div w:id="432436805">
          <w:marLeft w:val="0"/>
          <w:marRight w:val="0"/>
          <w:marTop w:val="0"/>
          <w:marBottom w:val="0"/>
          <w:divBdr>
            <w:top w:val="none" w:sz="0" w:space="0" w:color="auto"/>
            <w:left w:val="none" w:sz="0" w:space="0" w:color="auto"/>
            <w:bottom w:val="none" w:sz="0" w:space="0" w:color="auto"/>
            <w:right w:val="none" w:sz="0" w:space="0" w:color="auto"/>
          </w:divBdr>
        </w:div>
        <w:div w:id="1393310416">
          <w:marLeft w:val="0"/>
          <w:marRight w:val="0"/>
          <w:marTop w:val="0"/>
          <w:marBottom w:val="0"/>
          <w:divBdr>
            <w:top w:val="none" w:sz="0" w:space="0" w:color="auto"/>
            <w:left w:val="none" w:sz="0" w:space="0" w:color="auto"/>
            <w:bottom w:val="none" w:sz="0" w:space="0" w:color="auto"/>
            <w:right w:val="none" w:sz="0" w:space="0" w:color="auto"/>
          </w:divBdr>
        </w:div>
      </w:divsChild>
    </w:div>
    <w:div w:id="1249997320">
      <w:bodyDiv w:val="1"/>
      <w:marLeft w:val="0"/>
      <w:marRight w:val="0"/>
      <w:marTop w:val="0"/>
      <w:marBottom w:val="0"/>
      <w:divBdr>
        <w:top w:val="none" w:sz="0" w:space="0" w:color="auto"/>
        <w:left w:val="none" w:sz="0" w:space="0" w:color="auto"/>
        <w:bottom w:val="none" w:sz="0" w:space="0" w:color="auto"/>
        <w:right w:val="none" w:sz="0" w:space="0" w:color="auto"/>
      </w:divBdr>
      <w:divsChild>
        <w:div w:id="631836087">
          <w:marLeft w:val="0"/>
          <w:marRight w:val="0"/>
          <w:marTop w:val="0"/>
          <w:marBottom w:val="0"/>
          <w:divBdr>
            <w:top w:val="none" w:sz="0" w:space="0" w:color="auto"/>
            <w:left w:val="none" w:sz="0" w:space="0" w:color="auto"/>
            <w:bottom w:val="none" w:sz="0" w:space="0" w:color="auto"/>
            <w:right w:val="none" w:sz="0" w:space="0" w:color="auto"/>
          </w:divBdr>
        </w:div>
        <w:div w:id="725757333">
          <w:marLeft w:val="0"/>
          <w:marRight w:val="0"/>
          <w:marTop w:val="0"/>
          <w:marBottom w:val="0"/>
          <w:divBdr>
            <w:top w:val="none" w:sz="0" w:space="0" w:color="auto"/>
            <w:left w:val="none" w:sz="0" w:space="0" w:color="auto"/>
            <w:bottom w:val="none" w:sz="0" w:space="0" w:color="auto"/>
            <w:right w:val="none" w:sz="0" w:space="0" w:color="auto"/>
          </w:divBdr>
        </w:div>
        <w:div w:id="926881955">
          <w:marLeft w:val="0"/>
          <w:marRight w:val="0"/>
          <w:marTop w:val="0"/>
          <w:marBottom w:val="0"/>
          <w:divBdr>
            <w:top w:val="none" w:sz="0" w:space="0" w:color="auto"/>
            <w:left w:val="none" w:sz="0" w:space="0" w:color="auto"/>
            <w:bottom w:val="none" w:sz="0" w:space="0" w:color="auto"/>
            <w:right w:val="none" w:sz="0" w:space="0" w:color="auto"/>
          </w:divBdr>
        </w:div>
        <w:div w:id="840924683">
          <w:marLeft w:val="0"/>
          <w:marRight w:val="0"/>
          <w:marTop w:val="0"/>
          <w:marBottom w:val="0"/>
          <w:divBdr>
            <w:top w:val="none" w:sz="0" w:space="0" w:color="auto"/>
            <w:left w:val="none" w:sz="0" w:space="0" w:color="auto"/>
            <w:bottom w:val="none" w:sz="0" w:space="0" w:color="auto"/>
            <w:right w:val="none" w:sz="0" w:space="0" w:color="auto"/>
          </w:divBdr>
        </w:div>
        <w:div w:id="716198000">
          <w:marLeft w:val="0"/>
          <w:marRight w:val="0"/>
          <w:marTop w:val="0"/>
          <w:marBottom w:val="0"/>
          <w:divBdr>
            <w:top w:val="none" w:sz="0" w:space="0" w:color="auto"/>
            <w:left w:val="none" w:sz="0" w:space="0" w:color="auto"/>
            <w:bottom w:val="none" w:sz="0" w:space="0" w:color="auto"/>
            <w:right w:val="none" w:sz="0" w:space="0" w:color="auto"/>
          </w:divBdr>
        </w:div>
        <w:div w:id="1865897389">
          <w:marLeft w:val="0"/>
          <w:marRight w:val="0"/>
          <w:marTop w:val="0"/>
          <w:marBottom w:val="0"/>
          <w:divBdr>
            <w:top w:val="none" w:sz="0" w:space="0" w:color="auto"/>
            <w:left w:val="none" w:sz="0" w:space="0" w:color="auto"/>
            <w:bottom w:val="none" w:sz="0" w:space="0" w:color="auto"/>
            <w:right w:val="none" w:sz="0" w:space="0" w:color="auto"/>
          </w:divBdr>
        </w:div>
        <w:div w:id="1802844343">
          <w:marLeft w:val="0"/>
          <w:marRight w:val="0"/>
          <w:marTop w:val="0"/>
          <w:marBottom w:val="0"/>
          <w:divBdr>
            <w:top w:val="none" w:sz="0" w:space="0" w:color="auto"/>
            <w:left w:val="none" w:sz="0" w:space="0" w:color="auto"/>
            <w:bottom w:val="none" w:sz="0" w:space="0" w:color="auto"/>
            <w:right w:val="none" w:sz="0" w:space="0" w:color="auto"/>
          </w:divBdr>
        </w:div>
        <w:div w:id="1537884178">
          <w:marLeft w:val="0"/>
          <w:marRight w:val="0"/>
          <w:marTop w:val="0"/>
          <w:marBottom w:val="0"/>
          <w:divBdr>
            <w:top w:val="none" w:sz="0" w:space="0" w:color="auto"/>
            <w:left w:val="none" w:sz="0" w:space="0" w:color="auto"/>
            <w:bottom w:val="none" w:sz="0" w:space="0" w:color="auto"/>
            <w:right w:val="none" w:sz="0" w:space="0" w:color="auto"/>
          </w:divBdr>
        </w:div>
        <w:div w:id="277373124">
          <w:marLeft w:val="0"/>
          <w:marRight w:val="0"/>
          <w:marTop w:val="0"/>
          <w:marBottom w:val="0"/>
          <w:divBdr>
            <w:top w:val="none" w:sz="0" w:space="0" w:color="auto"/>
            <w:left w:val="none" w:sz="0" w:space="0" w:color="auto"/>
            <w:bottom w:val="none" w:sz="0" w:space="0" w:color="auto"/>
            <w:right w:val="none" w:sz="0" w:space="0" w:color="auto"/>
          </w:divBdr>
        </w:div>
        <w:div w:id="1369181258">
          <w:marLeft w:val="0"/>
          <w:marRight w:val="0"/>
          <w:marTop w:val="0"/>
          <w:marBottom w:val="0"/>
          <w:divBdr>
            <w:top w:val="none" w:sz="0" w:space="0" w:color="auto"/>
            <w:left w:val="none" w:sz="0" w:space="0" w:color="auto"/>
            <w:bottom w:val="none" w:sz="0" w:space="0" w:color="auto"/>
            <w:right w:val="none" w:sz="0" w:space="0" w:color="auto"/>
          </w:divBdr>
        </w:div>
        <w:div w:id="1828009401">
          <w:marLeft w:val="0"/>
          <w:marRight w:val="0"/>
          <w:marTop w:val="0"/>
          <w:marBottom w:val="0"/>
          <w:divBdr>
            <w:top w:val="none" w:sz="0" w:space="0" w:color="auto"/>
            <w:left w:val="none" w:sz="0" w:space="0" w:color="auto"/>
            <w:bottom w:val="none" w:sz="0" w:space="0" w:color="auto"/>
            <w:right w:val="none" w:sz="0" w:space="0" w:color="auto"/>
          </w:divBdr>
        </w:div>
        <w:div w:id="311957359">
          <w:marLeft w:val="0"/>
          <w:marRight w:val="0"/>
          <w:marTop w:val="0"/>
          <w:marBottom w:val="0"/>
          <w:divBdr>
            <w:top w:val="none" w:sz="0" w:space="0" w:color="auto"/>
            <w:left w:val="none" w:sz="0" w:space="0" w:color="auto"/>
            <w:bottom w:val="none" w:sz="0" w:space="0" w:color="auto"/>
            <w:right w:val="none" w:sz="0" w:space="0" w:color="auto"/>
          </w:divBdr>
        </w:div>
        <w:div w:id="280067638">
          <w:marLeft w:val="0"/>
          <w:marRight w:val="0"/>
          <w:marTop w:val="0"/>
          <w:marBottom w:val="0"/>
          <w:divBdr>
            <w:top w:val="none" w:sz="0" w:space="0" w:color="auto"/>
            <w:left w:val="none" w:sz="0" w:space="0" w:color="auto"/>
            <w:bottom w:val="none" w:sz="0" w:space="0" w:color="auto"/>
            <w:right w:val="none" w:sz="0" w:space="0" w:color="auto"/>
          </w:divBdr>
        </w:div>
        <w:div w:id="402798295">
          <w:marLeft w:val="0"/>
          <w:marRight w:val="0"/>
          <w:marTop w:val="0"/>
          <w:marBottom w:val="0"/>
          <w:divBdr>
            <w:top w:val="none" w:sz="0" w:space="0" w:color="auto"/>
            <w:left w:val="none" w:sz="0" w:space="0" w:color="auto"/>
            <w:bottom w:val="none" w:sz="0" w:space="0" w:color="auto"/>
            <w:right w:val="none" w:sz="0" w:space="0" w:color="auto"/>
          </w:divBdr>
        </w:div>
        <w:div w:id="18091803">
          <w:marLeft w:val="0"/>
          <w:marRight w:val="0"/>
          <w:marTop w:val="0"/>
          <w:marBottom w:val="0"/>
          <w:divBdr>
            <w:top w:val="none" w:sz="0" w:space="0" w:color="auto"/>
            <w:left w:val="none" w:sz="0" w:space="0" w:color="auto"/>
            <w:bottom w:val="none" w:sz="0" w:space="0" w:color="auto"/>
            <w:right w:val="none" w:sz="0" w:space="0" w:color="auto"/>
          </w:divBdr>
        </w:div>
        <w:div w:id="440690017">
          <w:marLeft w:val="0"/>
          <w:marRight w:val="0"/>
          <w:marTop w:val="0"/>
          <w:marBottom w:val="0"/>
          <w:divBdr>
            <w:top w:val="none" w:sz="0" w:space="0" w:color="auto"/>
            <w:left w:val="none" w:sz="0" w:space="0" w:color="auto"/>
            <w:bottom w:val="none" w:sz="0" w:space="0" w:color="auto"/>
            <w:right w:val="none" w:sz="0" w:space="0" w:color="auto"/>
          </w:divBdr>
        </w:div>
        <w:div w:id="1911234140">
          <w:marLeft w:val="0"/>
          <w:marRight w:val="0"/>
          <w:marTop w:val="0"/>
          <w:marBottom w:val="0"/>
          <w:divBdr>
            <w:top w:val="none" w:sz="0" w:space="0" w:color="auto"/>
            <w:left w:val="none" w:sz="0" w:space="0" w:color="auto"/>
            <w:bottom w:val="none" w:sz="0" w:space="0" w:color="auto"/>
            <w:right w:val="none" w:sz="0" w:space="0" w:color="auto"/>
          </w:divBdr>
        </w:div>
        <w:div w:id="1345278643">
          <w:marLeft w:val="0"/>
          <w:marRight w:val="0"/>
          <w:marTop w:val="0"/>
          <w:marBottom w:val="0"/>
          <w:divBdr>
            <w:top w:val="none" w:sz="0" w:space="0" w:color="auto"/>
            <w:left w:val="none" w:sz="0" w:space="0" w:color="auto"/>
            <w:bottom w:val="none" w:sz="0" w:space="0" w:color="auto"/>
            <w:right w:val="none" w:sz="0" w:space="0" w:color="auto"/>
          </w:divBdr>
        </w:div>
        <w:div w:id="1212426159">
          <w:marLeft w:val="0"/>
          <w:marRight w:val="0"/>
          <w:marTop w:val="0"/>
          <w:marBottom w:val="0"/>
          <w:divBdr>
            <w:top w:val="none" w:sz="0" w:space="0" w:color="auto"/>
            <w:left w:val="none" w:sz="0" w:space="0" w:color="auto"/>
            <w:bottom w:val="none" w:sz="0" w:space="0" w:color="auto"/>
            <w:right w:val="none" w:sz="0" w:space="0" w:color="auto"/>
          </w:divBdr>
        </w:div>
        <w:div w:id="2142377222">
          <w:marLeft w:val="0"/>
          <w:marRight w:val="0"/>
          <w:marTop w:val="0"/>
          <w:marBottom w:val="0"/>
          <w:divBdr>
            <w:top w:val="none" w:sz="0" w:space="0" w:color="auto"/>
            <w:left w:val="none" w:sz="0" w:space="0" w:color="auto"/>
            <w:bottom w:val="none" w:sz="0" w:space="0" w:color="auto"/>
            <w:right w:val="none" w:sz="0" w:space="0" w:color="auto"/>
          </w:divBdr>
        </w:div>
        <w:div w:id="343555702">
          <w:marLeft w:val="0"/>
          <w:marRight w:val="0"/>
          <w:marTop w:val="0"/>
          <w:marBottom w:val="0"/>
          <w:divBdr>
            <w:top w:val="none" w:sz="0" w:space="0" w:color="auto"/>
            <w:left w:val="none" w:sz="0" w:space="0" w:color="auto"/>
            <w:bottom w:val="none" w:sz="0" w:space="0" w:color="auto"/>
            <w:right w:val="none" w:sz="0" w:space="0" w:color="auto"/>
          </w:divBdr>
        </w:div>
        <w:div w:id="1536112852">
          <w:marLeft w:val="0"/>
          <w:marRight w:val="0"/>
          <w:marTop w:val="0"/>
          <w:marBottom w:val="0"/>
          <w:divBdr>
            <w:top w:val="none" w:sz="0" w:space="0" w:color="auto"/>
            <w:left w:val="none" w:sz="0" w:space="0" w:color="auto"/>
            <w:bottom w:val="none" w:sz="0" w:space="0" w:color="auto"/>
            <w:right w:val="none" w:sz="0" w:space="0" w:color="auto"/>
          </w:divBdr>
        </w:div>
        <w:div w:id="889003314">
          <w:marLeft w:val="0"/>
          <w:marRight w:val="0"/>
          <w:marTop w:val="0"/>
          <w:marBottom w:val="0"/>
          <w:divBdr>
            <w:top w:val="none" w:sz="0" w:space="0" w:color="auto"/>
            <w:left w:val="none" w:sz="0" w:space="0" w:color="auto"/>
            <w:bottom w:val="none" w:sz="0" w:space="0" w:color="auto"/>
            <w:right w:val="none" w:sz="0" w:space="0" w:color="auto"/>
          </w:divBdr>
        </w:div>
        <w:div w:id="153879978">
          <w:marLeft w:val="0"/>
          <w:marRight w:val="0"/>
          <w:marTop w:val="0"/>
          <w:marBottom w:val="0"/>
          <w:divBdr>
            <w:top w:val="none" w:sz="0" w:space="0" w:color="auto"/>
            <w:left w:val="none" w:sz="0" w:space="0" w:color="auto"/>
            <w:bottom w:val="none" w:sz="0" w:space="0" w:color="auto"/>
            <w:right w:val="none" w:sz="0" w:space="0" w:color="auto"/>
          </w:divBdr>
        </w:div>
        <w:div w:id="1132551010">
          <w:marLeft w:val="0"/>
          <w:marRight w:val="0"/>
          <w:marTop w:val="0"/>
          <w:marBottom w:val="0"/>
          <w:divBdr>
            <w:top w:val="none" w:sz="0" w:space="0" w:color="auto"/>
            <w:left w:val="none" w:sz="0" w:space="0" w:color="auto"/>
            <w:bottom w:val="none" w:sz="0" w:space="0" w:color="auto"/>
            <w:right w:val="none" w:sz="0" w:space="0" w:color="auto"/>
          </w:divBdr>
        </w:div>
        <w:div w:id="1428690530">
          <w:marLeft w:val="0"/>
          <w:marRight w:val="0"/>
          <w:marTop w:val="0"/>
          <w:marBottom w:val="0"/>
          <w:divBdr>
            <w:top w:val="none" w:sz="0" w:space="0" w:color="auto"/>
            <w:left w:val="none" w:sz="0" w:space="0" w:color="auto"/>
            <w:bottom w:val="none" w:sz="0" w:space="0" w:color="auto"/>
            <w:right w:val="none" w:sz="0" w:space="0" w:color="auto"/>
          </w:divBdr>
        </w:div>
        <w:div w:id="725106956">
          <w:marLeft w:val="0"/>
          <w:marRight w:val="0"/>
          <w:marTop w:val="0"/>
          <w:marBottom w:val="0"/>
          <w:divBdr>
            <w:top w:val="none" w:sz="0" w:space="0" w:color="auto"/>
            <w:left w:val="none" w:sz="0" w:space="0" w:color="auto"/>
            <w:bottom w:val="none" w:sz="0" w:space="0" w:color="auto"/>
            <w:right w:val="none" w:sz="0" w:space="0" w:color="auto"/>
          </w:divBdr>
        </w:div>
        <w:div w:id="349793106">
          <w:marLeft w:val="0"/>
          <w:marRight w:val="0"/>
          <w:marTop w:val="0"/>
          <w:marBottom w:val="0"/>
          <w:divBdr>
            <w:top w:val="none" w:sz="0" w:space="0" w:color="auto"/>
            <w:left w:val="none" w:sz="0" w:space="0" w:color="auto"/>
            <w:bottom w:val="none" w:sz="0" w:space="0" w:color="auto"/>
            <w:right w:val="none" w:sz="0" w:space="0" w:color="auto"/>
          </w:divBdr>
        </w:div>
        <w:div w:id="1163853951">
          <w:marLeft w:val="0"/>
          <w:marRight w:val="0"/>
          <w:marTop w:val="0"/>
          <w:marBottom w:val="0"/>
          <w:divBdr>
            <w:top w:val="none" w:sz="0" w:space="0" w:color="auto"/>
            <w:left w:val="none" w:sz="0" w:space="0" w:color="auto"/>
            <w:bottom w:val="none" w:sz="0" w:space="0" w:color="auto"/>
            <w:right w:val="none" w:sz="0" w:space="0" w:color="auto"/>
          </w:divBdr>
        </w:div>
        <w:div w:id="233973537">
          <w:marLeft w:val="0"/>
          <w:marRight w:val="0"/>
          <w:marTop w:val="0"/>
          <w:marBottom w:val="0"/>
          <w:divBdr>
            <w:top w:val="none" w:sz="0" w:space="0" w:color="auto"/>
            <w:left w:val="none" w:sz="0" w:space="0" w:color="auto"/>
            <w:bottom w:val="none" w:sz="0" w:space="0" w:color="auto"/>
            <w:right w:val="none" w:sz="0" w:space="0" w:color="auto"/>
          </w:divBdr>
        </w:div>
        <w:div w:id="1710258535">
          <w:marLeft w:val="0"/>
          <w:marRight w:val="0"/>
          <w:marTop w:val="0"/>
          <w:marBottom w:val="0"/>
          <w:divBdr>
            <w:top w:val="none" w:sz="0" w:space="0" w:color="auto"/>
            <w:left w:val="none" w:sz="0" w:space="0" w:color="auto"/>
            <w:bottom w:val="none" w:sz="0" w:space="0" w:color="auto"/>
            <w:right w:val="none" w:sz="0" w:space="0" w:color="auto"/>
          </w:divBdr>
        </w:div>
        <w:div w:id="237712126">
          <w:marLeft w:val="0"/>
          <w:marRight w:val="0"/>
          <w:marTop w:val="0"/>
          <w:marBottom w:val="0"/>
          <w:divBdr>
            <w:top w:val="none" w:sz="0" w:space="0" w:color="auto"/>
            <w:left w:val="none" w:sz="0" w:space="0" w:color="auto"/>
            <w:bottom w:val="none" w:sz="0" w:space="0" w:color="auto"/>
            <w:right w:val="none" w:sz="0" w:space="0" w:color="auto"/>
          </w:divBdr>
        </w:div>
        <w:div w:id="1565674578">
          <w:marLeft w:val="0"/>
          <w:marRight w:val="0"/>
          <w:marTop w:val="0"/>
          <w:marBottom w:val="0"/>
          <w:divBdr>
            <w:top w:val="none" w:sz="0" w:space="0" w:color="auto"/>
            <w:left w:val="none" w:sz="0" w:space="0" w:color="auto"/>
            <w:bottom w:val="none" w:sz="0" w:space="0" w:color="auto"/>
            <w:right w:val="none" w:sz="0" w:space="0" w:color="auto"/>
          </w:divBdr>
        </w:div>
        <w:div w:id="1189833346">
          <w:marLeft w:val="0"/>
          <w:marRight w:val="0"/>
          <w:marTop w:val="0"/>
          <w:marBottom w:val="0"/>
          <w:divBdr>
            <w:top w:val="none" w:sz="0" w:space="0" w:color="auto"/>
            <w:left w:val="none" w:sz="0" w:space="0" w:color="auto"/>
            <w:bottom w:val="none" w:sz="0" w:space="0" w:color="auto"/>
            <w:right w:val="none" w:sz="0" w:space="0" w:color="auto"/>
          </w:divBdr>
        </w:div>
        <w:div w:id="829715619">
          <w:marLeft w:val="0"/>
          <w:marRight w:val="0"/>
          <w:marTop w:val="0"/>
          <w:marBottom w:val="0"/>
          <w:divBdr>
            <w:top w:val="none" w:sz="0" w:space="0" w:color="auto"/>
            <w:left w:val="none" w:sz="0" w:space="0" w:color="auto"/>
            <w:bottom w:val="none" w:sz="0" w:space="0" w:color="auto"/>
            <w:right w:val="none" w:sz="0" w:space="0" w:color="auto"/>
          </w:divBdr>
        </w:div>
      </w:divsChild>
    </w:div>
    <w:div w:id="1271352034">
      <w:bodyDiv w:val="1"/>
      <w:marLeft w:val="0"/>
      <w:marRight w:val="0"/>
      <w:marTop w:val="0"/>
      <w:marBottom w:val="0"/>
      <w:divBdr>
        <w:top w:val="none" w:sz="0" w:space="0" w:color="auto"/>
        <w:left w:val="none" w:sz="0" w:space="0" w:color="auto"/>
        <w:bottom w:val="none" w:sz="0" w:space="0" w:color="auto"/>
        <w:right w:val="none" w:sz="0" w:space="0" w:color="auto"/>
      </w:divBdr>
      <w:divsChild>
        <w:div w:id="408356775">
          <w:marLeft w:val="0"/>
          <w:marRight w:val="0"/>
          <w:marTop w:val="0"/>
          <w:marBottom w:val="0"/>
          <w:divBdr>
            <w:top w:val="none" w:sz="0" w:space="0" w:color="auto"/>
            <w:left w:val="none" w:sz="0" w:space="0" w:color="auto"/>
            <w:bottom w:val="none" w:sz="0" w:space="0" w:color="auto"/>
            <w:right w:val="none" w:sz="0" w:space="0" w:color="auto"/>
          </w:divBdr>
        </w:div>
        <w:div w:id="647511552">
          <w:marLeft w:val="0"/>
          <w:marRight w:val="0"/>
          <w:marTop w:val="0"/>
          <w:marBottom w:val="0"/>
          <w:divBdr>
            <w:top w:val="none" w:sz="0" w:space="0" w:color="auto"/>
            <w:left w:val="none" w:sz="0" w:space="0" w:color="auto"/>
            <w:bottom w:val="none" w:sz="0" w:space="0" w:color="auto"/>
            <w:right w:val="none" w:sz="0" w:space="0" w:color="auto"/>
          </w:divBdr>
        </w:div>
        <w:div w:id="863832563">
          <w:marLeft w:val="0"/>
          <w:marRight w:val="0"/>
          <w:marTop w:val="0"/>
          <w:marBottom w:val="0"/>
          <w:divBdr>
            <w:top w:val="none" w:sz="0" w:space="0" w:color="auto"/>
            <w:left w:val="none" w:sz="0" w:space="0" w:color="auto"/>
            <w:bottom w:val="none" w:sz="0" w:space="0" w:color="auto"/>
            <w:right w:val="none" w:sz="0" w:space="0" w:color="auto"/>
          </w:divBdr>
        </w:div>
        <w:div w:id="882793435">
          <w:marLeft w:val="0"/>
          <w:marRight w:val="0"/>
          <w:marTop w:val="0"/>
          <w:marBottom w:val="0"/>
          <w:divBdr>
            <w:top w:val="none" w:sz="0" w:space="0" w:color="auto"/>
            <w:left w:val="none" w:sz="0" w:space="0" w:color="auto"/>
            <w:bottom w:val="none" w:sz="0" w:space="0" w:color="auto"/>
            <w:right w:val="none" w:sz="0" w:space="0" w:color="auto"/>
          </w:divBdr>
        </w:div>
        <w:div w:id="332611862">
          <w:marLeft w:val="0"/>
          <w:marRight w:val="0"/>
          <w:marTop w:val="0"/>
          <w:marBottom w:val="0"/>
          <w:divBdr>
            <w:top w:val="none" w:sz="0" w:space="0" w:color="auto"/>
            <w:left w:val="none" w:sz="0" w:space="0" w:color="auto"/>
            <w:bottom w:val="none" w:sz="0" w:space="0" w:color="auto"/>
            <w:right w:val="none" w:sz="0" w:space="0" w:color="auto"/>
          </w:divBdr>
        </w:div>
        <w:div w:id="409743317">
          <w:marLeft w:val="0"/>
          <w:marRight w:val="0"/>
          <w:marTop w:val="0"/>
          <w:marBottom w:val="0"/>
          <w:divBdr>
            <w:top w:val="none" w:sz="0" w:space="0" w:color="auto"/>
            <w:left w:val="none" w:sz="0" w:space="0" w:color="auto"/>
            <w:bottom w:val="none" w:sz="0" w:space="0" w:color="auto"/>
            <w:right w:val="none" w:sz="0" w:space="0" w:color="auto"/>
          </w:divBdr>
        </w:div>
        <w:div w:id="452555547">
          <w:marLeft w:val="0"/>
          <w:marRight w:val="0"/>
          <w:marTop w:val="0"/>
          <w:marBottom w:val="0"/>
          <w:divBdr>
            <w:top w:val="none" w:sz="0" w:space="0" w:color="auto"/>
            <w:left w:val="none" w:sz="0" w:space="0" w:color="auto"/>
            <w:bottom w:val="none" w:sz="0" w:space="0" w:color="auto"/>
            <w:right w:val="none" w:sz="0" w:space="0" w:color="auto"/>
          </w:divBdr>
        </w:div>
        <w:div w:id="868836815">
          <w:marLeft w:val="0"/>
          <w:marRight w:val="0"/>
          <w:marTop w:val="0"/>
          <w:marBottom w:val="0"/>
          <w:divBdr>
            <w:top w:val="none" w:sz="0" w:space="0" w:color="auto"/>
            <w:left w:val="none" w:sz="0" w:space="0" w:color="auto"/>
            <w:bottom w:val="none" w:sz="0" w:space="0" w:color="auto"/>
            <w:right w:val="none" w:sz="0" w:space="0" w:color="auto"/>
          </w:divBdr>
        </w:div>
        <w:div w:id="1719552749">
          <w:marLeft w:val="0"/>
          <w:marRight w:val="0"/>
          <w:marTop w:val="0"/>
          <w:marBottom w:val="0"/>
          <w:divBdr>
            <w:top w:val="none" w:sz="0" w:space="0" w:color="auto"/>
            <w:left w:val="none" w:sz="0" w:space="0" w:color="auto"/>
            <w:bottom w:val="none" w:sz="0" w:space="0" w:color="auto"/>
            <w:right w:val="none" w:sz="0" w:space="0" w:color="auto"/>
          </w:divBdr>
        </w:div>
        <w:div w:id="100608824">
          <w:marLeft w:val="0"/>
          <w:marRight w:val="0"/>
          <w:marTop w:val="0"/>
          <w:marBottom w:val="0"/>
          <w:divBdr>
            <w:top w:val="none" w:sz="0" w:space="0" w:color="auto"/>
            <w:left w:val="none" w:sz="0" w:space="0" w:color="auto"/>
            <w:bottom w:val="none" w:sz="0" w:space="0" w:color="auto"/>
            <w:right w:val="none" w:sz="0" w:space="0" w:color="auto"/>
          </w:divBdr>
        </w:div>
        <w:div w:id="325015521">
          <w:marLeft w:val="0"/>
          <w:marRight w:val="0"/>
          <w:marTop w:val="0"/>
          <w:marBottom w:val="0"/>
          <w:divBdr>
            <w:top w:val="none" w:sz="0" w:space="0" w:color="auto"/>
            <w:left w:val="none" w:sz="0" w:space="0" w:color="auto"/>
            <w:bottom w:val="none" w:sz="0" w:space="0" w:color="auto"/>
            <w:right w:val="none" w:sz="0" w:space="0" w:color="auto"/>
          </w:divBdr>
        </w:div>
        <w:div w:id="5060457">
          <w:marLeft w:val="0"/>
          <w:marRight w:val="0"/>
          <w:marTop w:val="0"/>
          <w:marBottom w:val="0"/>
          <w:divBdr>
            <w:top w:val="none" w:sz="0" w:space="0" w:color="auto"/>
            <w:left w:val="none" w:sz="0" w:space="0" w:color="auto"/>
            <w:bottom w:val="none" w:sz="0" w:space="0" w:color="auto"/>
            <w:right w:val="none" w:sz="0" w:space="0" w:color="auto"/>
          </w:divBdr>
        </w:div>
        <w:div w:id="1568033624">
          <w:marLeft w:val="0"/>
          <w:marRight w:val="0"/>
          <w:marTop w:val="0"/>
          <w:marBottom w:val="0"/>
          <w:divBdr>
            <w:top w:val="none" w:sz="0" w:space="0" w:color="auto"/>
            <w:left w:val="none" w:sz="0" w:space="0" w:color="auto"/>
            <w:bottom w:val="none" w:sz="0" w:space="0" w:color="auto"/>
            <w:right w:val="none" w:sz="0" w:space="0" w:color="auto"/>
          </w:divBdr>
        </w:div>
        <w:div w:id="238832992">
          <w:marLeft w:val="0"/>
          <w:marRight w:val="0"/>
          <w:marTop w:val="0"/>
          <w:marBottom w:val="0"/>
          <w:divBdr>
            <w:top w:val="none" w:sz="0" w:space="0" w:color="auto"/>
            <w:left w:val="none" w:sz="0" w:space="0" w:color="auto"/>
            <w:bottom w:val="none" w:sz="0" w:space="0" w:color="auto"/>
            <w:right w:val="none" w:sz="0" w:space="0" w:color="auto"/>
          </w:divBdr>
        </w:div>
        <w:div w:id="99031481">
          <w:marLeft w:val="0"/>
          <w:marRight w:val="0"/>
          <w:marTop w:val="0"/>
          <w:marBottom w:val="0"/>
          <w:divBdr>
            <w:top w:val="none" w:sz="0" w:space="0" w:color="auto"/>
            <w:left w:val="none" w:sz="0" w:space="0" w:color="auto"/>
            <w:bottom w:val="none" w:sz="0" w:space="0" w:color="auto"/>
            <w:right w:val="none" w:sz="0" w:space="0" w:color="auto"/>
          </w:divBdr>
        </w:div>
        <w:div w:id="1565140131">
          <w:marLeft w:val="0"/>
          <w:marRight w:val="0"/>
          <w:marTop w:val="0"/>
          <w:marBottom w:val="0"/>
          <w:divBdr>
            <w:top w:val="none" w:sz="0" w:space="0" w:color="auto"/>
            <w:left w:val="none" w:sz="0" w:space="0" w:color="auto"/>
            <w:bottom w:val="none" w:sz="0" w:space="0" w:color="auto"/>
            <w:right w:val="none" w:sz="0" w:space="0" w:color="auto"/>
          </w:divBdr>
        </w:div>
        <w:div w:id="594023809">
          <w:marLeft w:val="0"/>
          <w:marRight w:val="0"/>
          <w:marTop w:val="0"/>
          <w:marBottom w:val="0"/>
          <w:divBdr>
            <w:top w:val="none" w:sz="0" w:space="0" w:color="auto"/>
            <w:left w:val="none" w:sz="0" w:space="0" w:color="auto"/>
            <w:bottom w:val="none" w:sz="0" w:space="0" w:color="auto"/>
            <w:right w:val="none" w:sz="0" w:space="0" w:color="auto"/>
          </w:divBdr>
        </w:div>
        <w:div w:id="1909069247">
          <w:marLeft w:val="0"/>
          <w:marRight w:val="0"/>
          <w:marTop w:val="0"/>
          <w:marBottom w:val="0"/>
          <w:divBdr>
            <w:top w:val="none" w:sz="0" w:space="0" w:color="auto"/>
            <w:left w:val="none" w:sz="0" w:space="0" w:color="auto"/>
            <w:bottom w:val="none" w:sz="0" w:space="0" w:color="auto"/>
            <w:right w:val="none" w:sz="0" w:space="0" w:color="auto"/>
          </w:divBdr>
        </w:div>
      </w:divsChild>
    </w:div>
    <w:div w:id="1280338117">
      <w:bodyDiv w:val="1"/>
      <w:marLeft w:val="0"/>
      <w:marRight w:val="0"/>
      <w:marTop w:val="0"/>
      <w:marBottom w:val="0"/>
      <w:divBdr>
        <w:top w:val="none" w:sz="0" w:space="0" w:color="auto"/>
        <w:left w:val="none" w:sz="0" w:space="0" w:color="auto"/>
        <w:bottom w:val="none" w:sz="0" w:space="0" w:color="auto"/>
        <w:right w:val="none" w:sz="0" w:space="0" w:color="auto"/>
      </w:divBdr>
      <w:divsChild>
        <w:div w:id="810832378">
          <w:marLeft w:val="0"/>
          <w:marRight w:val="0"/>
          <w:marTop w:val="0"/>
          <w:marBottom w:val="0"/>
          <w:divBdr>
            <w:top w:val="none" w:sz="0" w:space="0" w:color="auto"/>
            <w:left w:val="none" w:sz="0" w:space="0" w:color="auto"/>
            <w:bottom w:val="none" w:sz="0" w:space="0" w:color="auto"/>
            <w:right w:val="none" w:sz="0" w:space="0" w:color="auto"/>
          </w:divBdr>
        </w:div>
        <w:div w:id="55010654">
          <w:marLeft w:val="0"/>
          <w:marRight w:val="0"/>
          <w:marTop w:val="0"/>
          <w:marBottom w:val="0"/>
          <w:divBdr>
            <w:top w:val="none" w:sz="0" w:space="0" w:color="auto"/>
            <w:left w:val="none" w:sz="0" w:space="0" w:color="auto"/>
            <w:bottom w:val="none" w:sz="0" w:space="0" w:color="auto"/>
            <w:right w:val="none" w:sz="0" w:space="0" w:color="auto"/>
          </w:divBdr>
        </w:div>
        <w:div w:id="1561742421">
          <w:marLeft w:val="0"/>
          <w:marRight w:val="0"/>
          <w:marTop w:val="0"/>
          <w:marBottom w:val="0"/>
          <w:divBdr>
            <w:top w:val="none" w:sz="0" w:space="0" w:color="auto"/>
            <w:left w:val="none" w:sz="0" w:space="0" w:color="auto"/>
            <w:bottom w:val="none" w:sz="0" w:space="0" w:color="auto"/>
            <w:right w:val="none" w:sz="0" w:space="0" w:color="auto"/>
          </w:divBdr>
        </w:div>
        <w:div w:id="43873729">
          <w:marLeft w:val="0"/>
          <w:marRight w:val="0"/>
          <w:marTop w:val="0"/>
          <w:marBottom w:val="0"/>
          <w:divBdr>
            <w:top w:val="none" w:sz="0" w:space="0" w:color="auto"/>
            <w:left w:val="none" w:sz="0" w:space="0" w:color="auto"/>
            <w:bottom w:val="none" w:sz="0" w:space="0" w:color="auto"/>
            <w:right w:val="none" w:sz="0" w:space="0" w:color="auto"/>
          </w:divBdr>
        </w:div>
        <w:div w:id="22051523">
          <w:marLeft w:val="0"/>
          <w:marRight w:val="0"/>
          <w:marTop w:val="0"/>
          <w:marBottom w:val="0"/>
          <w:divBdr>
            <w:top w:val="none" w:sz="0" w:space="0" w:color="auto"/>
            <w:left w:val="none" w:sz="0" w:space="0" w:color="auto"/>
            <w:bottom w:val="none" w:sz="0" w:space="0" w:color="auto"/>
            <w:right w:val="none" w:sz="0" w:space="0" w:color="auto"/>
          </w:divBdr>
        </w:div>
        <w:div w:id="1104808992">
          <w:marLeft w:val="0"/>
          <w:marRight w:val="0"/>
          <w:marTop w:val="0"/>
          <w:marBottom w:val="0"/>
          <w:divBdr>
            <w:top w:val="none" w:sz="0" w:space="0" w:color="auto"/>
            <w:left w:val="none" w:sz="0" w:space="0" w:color="auto"/>
            <w:bottom w:val="none" w:sz="0" w:space="0" w:color="auto"/>
            <w:right w:val="none" w:sz="0" w:space="0" w:color="auto"/>
          </w:divBdr>
        </w:div>
        <w:div w:id="1170364754">
          <w:marLeft w:val="0"/>
          <w:marRight w:val="0"/>
          <w:marTop w:val="0"/>
          <w:marBottom w:val="0"/>
          <w:divBdr>
            <w:top w:val="none" w:sz="0" w:space="0" w:color="auto"/>
            <w:left w:val="none" w:sz="0" w:space="0" w:color="auto"/>
            <w:bottom w:val="none" w:sz="0" w:space="0" w:color="auto"/>
            <w:right w:val="none" w:sz="0" w:space="0" w:color="auto"/>
          </w:divBdr>
        </w:div>
        <w:div w:id="876283634">
          <w:marLeft w:val="0"/>
          <w:marRight w:val="0"/>
          <w:marTop w:val="0"/>
          <w:marBottom w:val="0"/>
          <w:divBdr>
            <w:top w:val="none" w:sz="0" w:space="0" w:color="auto"/>
            <w:left w:val="none" w:sz="0" w:space="0" w:color="auto"/>
            <w:bottom w:val="none" w:sz="0" w:space="0" w:color="auto"/>
            <w:right w:val="none" w:sz="0" w:space="0" w:color="auto"/>
          </w:divBdr>
        </w:div>
        <w:div w:id="2115514256">
          <w:marLeft w:val="0"/>
          <w:marRight w:val="0"/>
          <w:marTop w:val="0"/>
          <w:marBottom w:val="0"/>
          <w:divBdr>
            <w:top w:val="none" w:sz="0" w:space="0" w:color="auto"/>
            <w:left w:val="none" w:sz="0" w:space="0" w:color="auto"/>
            <w:bottom w:val="none" w:sz="0" w:space="0" w:color="auto"/>
            <w:right w:val="none" w:sz="0" w:space="0" w:color="auto"/>
          </w:divBdr>
        </w:div>
        <w:div w:id="778836806">
          <w:marLeft w:val="0"/>
          <w:marRight w:val="0"/>
          <w:marTop w:val="0"/>
          <w:marBottom w:val="0"/>
          <w:divBdr>
            <w:top w:val="none" w:sz="0" w:space="0" w:color="auto"/>
            <w:left w:val="none" w:sz="0" w:space="0" w:color="auto"/>
            <w:bottom w:val="none" w:sz="0" w:space="0" w:color="auto"/>
            <w:right w:val="none" w:sz="0" w:space="0" w:color="auto"/>
          </w:divBdr>
        </w:div>
        <w:div w:id="580063615">
          <w:marLeft w:val="0"/>
          <w:marRight w:val="0"/>
          <w:marTop w:val="0"/>
          <w:marBottom w:val="0"/>
          <w:divBdr>
            <w:top w:val="none" w:sz="0" w:space="0" w:color="auto"/>
            <w:left w:val="none" w:sz="0" w:space="0" w:color="auto"/>
            <w:bottom w:val="none" w:sz="0" w:space="0" w:color="auto"/>
            <w:right w:val="none" w:sz="0" w:space="0" w:color="auto"/>
          </w:divBdr>
        </w:div>
        <w:div w:id="1303734782">
          <w:marLeft w:val="0"/>
          <w:marRight w:val="0"/>
          <w:marTop w:val="0"/>
          <w:marBottom w:val="0"/>
          <w:divBdr>
            <w:top w:val="none" w:sz="0" w:space="0" w:color="auto"/>
            <w:left w:val="none" w:sz="0" w:space="0" w:color="auto"/>
            <w:bottom w:val="none" w:sz="0" w:space="0" w:color="auto"/>
            <w:right w:val="none" w:sz="0" w:space="0" w:color="auto"/>
          </w:divBdr>
        </w:div>
        <w:div w:id="1786924176">
          <w:marLeft w:val="0"/>
          <w:marRight w:val="0"/>
          <w:marTop w:val="0"/>
          <w:marBottom w:val="0"/>
          <w:divBdr>
            <w:top w:val="none" w:sz="0" w:space="0" w:color="auto"/>
            <w:left w:val="none" w:sz="0" w:space="0" w:color="auto"/>
            <w:bottom w:val="none" w:sz="0" w:space="0" w:color="auto"/>
            <w:right w:val="none" w:sz="0" w:space="0" w:color="auto"/>
          </w:divBdr>
        </w:div>
      </w:divsChild>
    </w:div>
    <w:div w:id="1288851262">
      <w:bodyDiv w:val="1"/>
      <w:marLeft w:val="0"/>
      <w:marRight w:val="0"/>
      <w:marTop w:val="0"/>
      <w:marBottom w:val="0"/>
      <w:divBdr>
        <w:top w:val="none" w:sz="0" w:space="0" w:color="auto"/>
        <w:left w:val="none" w:sz="0" w:space="0" w:color="auto"/>
        <w:bottom w:val="none" w:sz="0" w:space="0" w:color="auto"/>
        <w:right w:val="none" w:sz="0" w:space="0" w:color="auto"/>
      </w:divBdr>
      <w:divsChild>
        <w:div w:id="2088529994">
          <w:marLeft w:val="0"/>
          <w:marRight w:val="0"/>
          <w:marTop w:val="0"/>
          <w:marBottom w:val="0"/>
          <w:divBdr>
            <w:top w:val="none" w:sz="0" w:space="0" w:color="auto"/>
            <w:left w:val="none" w:sz="0" w:space="0" w:color="auto"/>
            <w:bottom w:val="none" w:sz="0" w:space="0" w:color="auto"/>
            <w:right w:val="none" w:sz="0" w:space="0" w:color="auto"/>
          </w:divBdr>
        </w:div>
        <w:div w:id="2117402635">
          <w:marLeft w:val="0"/>
          <w:marRight w:val="0"/>
          <w:marTop w:val="0"/>
          <w:marBottom w:val="0"/>
          <w:divBdr>
            <w:top w:val="none" w:sz="0" w:space="0" w:color="auto"/>
            <w:left w:val="none" w:sz="0" w:space="0" w:color="auto"/>
            <w:bottom w:val="none" w:sz="0" w:space="0" w:color="auto"/>
            <w:right w:val="none" w:sz="0" w:space="0" w:color="auto"/>
          </w:divBdr>
        </w:div>
        <w:div w:id="963386648">
          <w:marLeft w:val="0"/>
          <w:marRight w:val="0"/>
          <w:marTop w:val="0"/>
          <w:marBottom w:val="0"/>
          <w:divBdr>
            <w:top w:val="none" w:sz="0" w:space="0" w:color="auto"/>
            <w:left w:val="none" w:sz="0" w:space="0" w:color="auto"/>
            <w:bottom w:val="none" w:sz="0" w:space="0" w:color="auto"/>
            <w:right w:val="none" w:sz="0" w:space="0" w:color="auto"/>
          </w:divBdr>
        </w:div>
        <w:div w:id="642782552">
          <w:marLeft w:val="0"/>
          <w:marRight w:val="0"/>
          <w:marTop w:val="0"/>
          <w:marBottom w:val="0"/>
          <w:divBdr>
            <w:top w:val="none" w:sz="0" w:space="0" w:color="auto"/>
            <w:left w:val="none" w:sz="0" w:space="0" w:color="auto"/>
            <w:bottom w:val="none" w:sz="0" w:space="0" w:color="auto"/>
            <w:right w:val="none" w:sz="0" w:space="0" w:color="auto"/>
          </w:divBdr>
        </w:div>
        <w:div w:id="1319924466">
          <w:marLeft w:val="0"/>
          <w:marRight w:val="0"/>
          <w:marTop w:val="0"/>
          <w:marBottom w:val="0"/>
          <w:divBdr>
            <w:top w:val="none" w:sz="0" w:space="0" w:color="auto"/>
            <w:left w:val="none" w:sz="0" w:space="0" w:color="auto"/>
            <w:bottom w:val="none" w:sz="0" w:space="0" w:color="auto"/>
            <w:right w:val="none" w:sz="0" w:space="0" w:color="auto"/>
          </w:divBdr>
        </w:div>
        <w:div w:id="1283805711">
          <w:marLeft w:val="0"/>
          <w:marRight w:val="0"/>
          <w:marTop w:val="0"/>
          <w:marBottom w:val="0"/>
          <w:divBdr>
            <w:top w:val="none" w:sz="0" w:space="0" w:color="auto"/>
            <w:left w:val="none" w:sz="0" w:space="0" w:color="auto"/>
            <w:bottom w:val="none" w:sz="0" w:space="0" w:color="auto"/>
            <w:right w:val="none" w:sz="0" w:space="0" w:color="auto"/>
          </w:divBdr>
        </w:div>
        <w:div w:id="899825380">
          <w:marLeft w:val="0"/>
          <w:marRight w:val="0"/>
          <w:marTop w:val="0"/>
          <w:marBottom w:val="0"/>
          <w:divBdr>
            <w:top w:val="none" w:sz="0" w:space="0" w:color="auto"/>
            <w:left w:val="none" w:sz="0" w:space="0" w:color="auto"/>
            <w:bottom w:val="none" w:sz="0" w:space="0" w:color="auto"/>
            <w:right w:val="none" w:sz="0" w:space="0" w:color="auto"/>
          </w:divBdr>
        </w:div>
        <w:div w:id="1120610237">
          <w:marLeft w:val="0"/>
          <w:marRight w:val="0"/>
          <w:marTop w:val="0"/>
          <w:marBottom w:val="0"/>
          <w:divBdr>
            <w:top w:val="none" w:sz="0" w:space="0" w:color="auto"/>
            <w:left w:val="none" w:sz="0" w:space="0" w:color="auto"/>
            <w:bottom w:val="none" w:sz="0" w:space="0" w:color="auto"/>
            <w:right w:val="none" w:sz="0" w:space="0" w:color="auto"/>
          </w:divBdr>
        </w:div>
        <w:div w:id="350841288">
          <w:marLeft w:val="0"/>
          <w:marRight w:val="0"/>
          <w:marTop w:val="0"/>
          <w:marBottom w:val="0"/>
          <w:divBdr>
            <w:top w:val="none" w:sz="0" w:space="0" w:color="auto"/>
            <w:left w:val="none" w:sz="0" w:space="0" w:color="auto"/>
            <w:bottom w:val="none" w:sz="0" w:space="0" w:color="auto"/>
            <w:right w:val="none" w:sz="0" w:space="0" w:color="auto"/>
          </w:divBdr>
        </w:div>
        <w:div w:id="1393892222">
          <w:marLeft w:val="0"/>
          <w:marRight w:val="0"/>
          <w:marTop w:val="0"/>
          <w:marBottom w:val="0"/>
          <w:divBdr>
            <w:top w:val="none" w:sz="0" w:space="0" w:color="auto"/>
            <w:left w:val="none" w:sz="0" w:space="0" w:color="auto"/>
            <w:bottom w:val="none" w:sz="0" w:space="0" w:color="auto"/>
            <w:right w:val="none" w:sz="0" w:space="0" w:color="auto"/>
          </w:divBdr>
        </w:div>
        <w:div w:id="780690798">
          <w:marLeft w:val="0"/>
          <w:marRight w:val="0"/>
          <w:marTop w:val="0"/>
          <w:marBottom w:val="0"/>
          <w:divBdr>
            <w:top w:val="none" w:sz="0" w:space="0" w:color="auto"/>
            <w:left w:val="none" w:sz="0" w:space="0" w:color="auto"/>
            <w:bottom w:val="none" w:sz="0" w:space="0" w:color="auto"/>
            <w:right w:val="none" w:sz="0" w:space="0" w:color="auto"/>
          </w:divBdr>
        </w:div>
        <w:div w:id="1326132960">
          <w:marLeft w:val="0"/>
          <w:marRight w:val="0"/>
          <w:marTop w:val="0"/>
          <w:marBottom w:val="0"/>
          <w:divBdr>
            <w:top w:val="none" w:sz="0" w:space="0" w:color="auto"/>
            <w:left w:val="none" w:sz="0" w:space="0" w:color="auto"/>
            <w:bottom w:val="none" w:sz="0" w:space="0" w:color="auto"/>
            <w:right w:val="none" w:sz="0" w:space="0" w:color="auto"/>
          </w:divBdr>
        </w:div>
        <w:div w:id="1361398074">
          <w:marLeft w:val="0"/>
          <w:marRight w:val="0"/>
          <w:marTop w:val="0"/>
          <w:marBottom w:val="0"/>
          <w:divBdr>
            <w:top w:val="none" w:sz="0" w:space="0" w:color="auto"/>
            <w:left w:val="none" w:sz="0" w:space="0" w:color="auto"/>
            <w:bottom w:val="none" w:sz="0" w:space="0" w:color="auto"/>
            <w:right w:val="none" w:sz="0" w:space="0" w:color="auto"/>
          </w:divBdr>
        </w:div>
        <w:div w:id="1440486628">
          <w:marLeft w:val="0"/>
          <w:marRight w:val="0"/>
          <w:marTop w:val="0"/>
          <w:marBottom w:val="0"/>
          <w:divBdr>
            <w:top w:val="none" w:sz="0" w:space="0" w:color="auto"/>
            <w:left w:val="none" w:sz="0" w:space="0" w:color="auto"/>
            <w:bottom w:val="none" w:sz="0" w:space="0" w:color="auto"/>
            <w:right w:val="none" w:sz="0" w:space="0" w:color="auto"/>
          </w:divBdr>
        </w:div>
        <w:div w:id="1910655106">
          <w:marLeft w:val="0"/>
          <w:marRight w:val="0"/>
          <w:marTop w:val="0"/>
          <w:marBottom w:val="0"/>
          <w:divBdr>
            <w:top w:val="none" w:sz="0" w:space="0" w:color="auto"/>
            <w:left w:val="none" w:sz="0" w:space="0" w:color="auto"/>
            <w:bottom w:val="none" w:sz="0" w:space="0" w:color="auto"/>
            <w:right w:val="none" w:sz="0" w:space="0" w:color="auto"/>
          </w:divBdr>
        </w:div>
        <w:div w:id="1071656564">
          <w:marLeft w:val="0"/>
          <w:marRight w:val="0"/>
          <w:marTop w:val="0"/>
          <w:marBottom w:val="0"/>
          <w:divBdr>
            <w:top w:val="none" w:sz="0" w:space="0" w:color="auto"/>
            <w:left w:val="none" w:sz="0" w:space="0" w:color="auto"/>
            <w:bottom w:val="none" w:sz="0" w:space="0" w:color="auto"/>
            <w:right w:val="none" w:sz="0" w:space="0" w:color="auto"/>
          </w:divBdr>
        </w:div>
        <w:div w:id="559483293">
          <w:marLeft w:val="0"/>
          <w:marRight w:val="0"/>
          <w:marTop w:val="0"/>
          <w:marBottom w:val="0"/>
          <w:divBdr>
            <w:top w:val="none" w:sz="0" w:space="0" w:color="auto"/>
            <w:left w:val="none" w:sz="0" w:space="0" w:color="auto"/>
            <w:bottom w:val="none" w:sz="0" w:space="0" w:color="auto"/>
            <w:right w:val="none" w:sz="0" w:space="0" w:color="auto"/>
          </w:divBdr>
        </w:div>
        <w:div w:id="1558541895">
          <w:marLeft w:val="0"/>
          <w:marRight w:val="0"/>
          <w:marTop w:val="0"/>
          <w:marBottom w:val="0"/>
          <w:divBdr>
            <w:top w:val="none" w:sz="0" w:space="0" w:color="auto"/>
            <w:left w:val="none" w:sz="0" w:space="0" w:color="auto"/>
            <w:bottom w:val="none" w:sz="0" w:space="0" w:color="auto"/>
            <w:right w:val="none" w:sz="0" w:space="0" w:color="auto"/>
          </w:divBdr>
        </w:div>
        <w:div w:id="569730379">
          <w:marLeft w:val="0"/>
          <w:marRight w:val="0"/>
          <w:marTop w:val="0"/>
          <w:marBottom w:val="0"/>
          <w:divBdr>
            <w:top w:val="none" w:sz="0" w:space="0" w:color="auto"/>
            <w:left w:val="none" w:sz="0" w:space="0" w:color="auto"/>
            <w:bottom w:val="none" w:sz="0" w:space="0" w:color="auto"/>
            <w:right w:val="none" w:sz="0" w:space="0" w:color="auto"/>
          </w:divBdr>
        </w:div>
        <w:div w:id="660936070">
          <w:marLeft w:val="0"/>
          <w:marRight w:val="0"/>
          <w:marTop w:val="0"/>
          <w:marBottom w:val="0"/>
          <w:divBdr>
            <w:top w:val="none" w:sz="0" w:space="0" w:color="auto"/>
            <w:left w:val="none" w:sz="0" w:space="0" w:color="auto"/>
            <w:bottom w:val="none" w:sz="0" w:space="0" w:color="auto"/>
            <w:right w:val="none" w:sz="0" w:space="0" w:color="auto"/>
          </w:divBdr>
        </w:div>
        <w:div w:id="987124586">
          <w:marLeft w:val="0"/>
          <w:marRight w:val="0"/>
          <w:marTop w:val="0"/>
          <w:marBottom w:val="0"/>
          <w:divBdr>
            <w:top w:val="none" w:sz="0" w:space="0" w:color="auto"/>
            <w:left w:val="none" w:sz="0" w:space="0" w:color="auto"/>
            <w:bottom w:val="none" w:sz="0" w:space="0" w:color="auto"/>
            <w:right w:val="none" w:sz="0" w:space="0" w:color="auto"/>
          </w:divBdr>
        </w:div>
        <w:div w:id="783116590">
          <w:marLeft w:val="0"/>
          <w:marRight w:val="0"/>
          <w:marTop w:val="0"/>
          <w:marBottom w:val="0"/>
          <w:divBdr>
            <w:top w:val="none" w:sz="0" w:space="0" w:color="auto"/>
            <w:left w:val="none" w:sz="0" w:space="0" w:color="auto"/>
            <w:bottom w:val="none" w:sz="0" w:space="0" w:color="auto"/>
            <w:right w:val="none" w:sz="0" w:space="0" w:color="auto"/>
          </w:divBdr>
        </w:div>
        <w:div w:id="914512903">
          <w:marLeft w:val="0"/>
          <w:marRight w:val="0"/>
          <w:marTop w:val="0"/>
          <w:marBottom w:val="0"/>
          <w:divBdr>
            <w:top w:val="none" w:sz="0" w:space="0" w:color="auto"/>
            <w:left w:val="none" w:sz="0" w:space="0" w:color="auto"/>
            <w:bottom w:val="none" w:sz="0" w:space="0" w:color="auto"/>
            <w:right w:val="none" w:sz="0" w:space="0" w:color="auto"/>
          </w:divBdr>
        </w:div>
        <w:div w:id="652222832">
          <w:marLeft w:val="0"/>
          <w:marRight w:val="0"/>
          <w:marTop w:val="0"/>
          <w:marBottom w:val="0"/>
          <w:divBdr>
            <w:top w:val="none" w:sz="0" w:space="0" w:color="auto"/>
            <w:left w:val="none" w:sz="0" w:space="0" w:color="auto"/>
            <w:bottom w:val="none" w:sz="0" w:space="0" w:color="auto"/>
            <w:right w:val="none" w:sz="0" w:space="0" w:color="auto"/>
          </w:divBdr>
        </w:div>
        <w:div w:id="1603563093">
          <w:marLeft w:val="0"/>
          <w:marRight w:val="0"/>
          <w:marTop w:val="0"/>
          <w:marBottom w:val="0"/>
          <w:divBdr>
            <w:top w:val="none" w:sz="0" w:space="0" w:color="auto"/>
            <w:left w:val="none" w:sz="0" w:space="0" w:color="auto"/>
            <w:bottom w:val="none" w:sz="0" w:space="0" w:color="auto"/>
            <w:right w:val="none" w:sz="0" w:space="0" w:color="auto"/>
          </w:divBdr>
        </w:div>
        <w:div w:id="1343165838">
          <w:marLeft w:val="0"/>
          <w:marRight w:val="0"/>
          <w:marTop w:val="0"/>
          <w:marBottom w:val="0"/>
          <w:divBdr>
            <w:top w:val="none" w:sz="0" w:space="0" w:color="auto"/>
            <w:left w:val="none" w:sz="0" w:space="0" w:color="auto"/>
            <w:bottom w:val="none" w:sz="0" w:space="0" w:color="auto"/>
            <w:right w:val="none" w:sz="0" w:space="0" w:color="auto"/>
          </w:divBdr>
        </w:div>
        <w:div w:id="147210414">
          <w:marLeft w:val="0"/>
          <w:marRight w:val="0"/>
          <w:marTop w:val="0"/>
          <w:marBottom w:val="0"/>
          <w:divBdr>
            <w:top w:val="none" w:sz="0" w:space="0" w:color="auto"/>
            <w:left w:val="none" w:sz="0" w:space="0" w:color="auto"/>
            <w:bottom w:val="none" w:sz="0" w:space="0" w:color="auto"/>
            <w:right w:val="none" w:sz="0" w:space="0" w:color="auto"/>
          </w:divBdr>
        </w:div>
        <w:div w:id="1693918338">
          <w:marLeft w:val="0"/>
          <w:marRight w:val="0"/>
          <w:marTop w:val="0"/>
          <w:marBottom w:val="0"/>
          <w:divBdr>
            <w:top w:val="none" w:sz="0" w:space="0" w:color="auto"/>
            <w:left w:val="none" w:sz="0" w:space="0" w:color="auto"/>
            <w:bottom w:val="none" w:sz="0" w:space="0" w:color="auto"/>
            <w:right w:val="none" w:sz="0" w:space="0" w:color="auto"/>
          </w:divBdr>
        </w:div>
        <w:div w:id="464395735">
          <w:marLeft w:val="0"/>
          <w:marRight w:val="0"/>
          <w:marTop w:val="0"/>
          <w:marBottom w:val="0"/>
          <w:divBdr>
            <w:top w:val="none" w:sz="0" w:space="0" w:color="auto"/>
            <w:left w:val="none" w:sz="0" w:space="0" w:color="auto"/>
            <w:bottom w:val="none" w:sz="0" w:space="0" w:color="auto"/>
            <w:right w:val="none" w:sz="0" w:space="0" w:color="auto"/>
          </w:divBdr>
        </w:div>
        <w:div w:id="1106314552">
          <w:marLeft w:val="0"/>
          <w:marRight w:val="0"/>
          <w:marTop w:val="0"/>
          <w:marBottom w:val="0"/>
          <w:divBdr>
            <w:top w:val="none" w:sz="0" w:space="0" w:color="auto"/>
            <w:left w:val="none" w:sz="0" w:space="0" w:color="auto"/>
            <w:bottom w:val="none" w:sz="0" w:space="0" w:color="auto"/>
            <w:right w:val="none" w:sz="0" w:space="0" w:color="auto"/>
          </w:divBdr>
        </w:div>
        <w:div w:id="1027096353">
          <w:marLeft w:val="0"/>
          <w:marRight w:val="0"/>
          <w:marTop w:val="0"/>
          <w:marBottom w:val="0"/>
          <w:divBdr>
            <w:top w:val="none" w:sz="0" w:space="0" w:color="auto"/>
            <w:left w:val="none" w:sz="0" w:space="0" w:color="auto"/>
            <w:bottom w:val="none" w:sz="0" w:space="0" w:color="auto"/>
            <w:right w:val="none" w:sz="0" w:space="0" w:color="auto"/>
          </w:divBdr>
        </w:div>
        <w:div w:id="1960725189">
          <w:marLeft w:val="0"/>
          <w:marRight w:val="0"/>
          <w:marTop w:val="0"/>
          <w:marBottom w:val="0"/>
          <w:divBdr>
            <w:top w:val="none" w:sz="0" w:space="0" w:color="auto"/>
            <w:left w:val="none" w:sz="0" w:space="0" w:color="auto"/>
            <w:bottom w:val="none" w:sz="0" w:space="0" w:color="auto"/>
            <w:right w:val="none" w:sz="0" w:space="0" w:color="auto"/>
          </w:divBdr>
        </w:div>
        <w:div w:id="340010304">
          <w:marLeft w:val="0"/>
          <w:marRight w:val="0"/>
          <w:marTop w:val="0"/>
          <w:marBottom w:val="0"/>
          <w:divBdr>
            <w:top w:val="none" w:sz="0" w:space="0" w:color="auto"/>
            <w:left w:val="none" w:sz="0" w:space="0" w:color="auto"/>
            <w:bottom w:val="none" w:sz="0" w:space="0" w:color="auto"/>
            <w:right w:val="none" w:sz="0" w:space="0" w:color="auto"/>
          </w:divBdr>
        </w:div>
        <w:div w:id="334115046">
          <w:marLeft w:val="0"/>
          <w:marRight w:val="0"/>
          <w:marTop w:val="0"/>
          <w:marBottom w:val="0"/>
          <w:divBdr>
            <w:top w:val="none" w:sz="0" w:space="0" w:color="auto"/>
            <w:left w:val="none" w:sz="0" w:space="0" w:color="auto"/>
            <w:bottom w:val="none" w:sz="0" w:space="0" w:color="auto"/>
            <w:right w:val="none" w:sz="0" w:space="0" w:color="auto"/>
          </w:divBdr>
        </w:div>
        <w:div w:id="2008288466">
          <w:marLeft w:val="0"/>
          <w:marRight w:val="0"/>
          <w:marTop w:val="0"/>
          <w:marBottom w:val="0"/>
          <w:divBdr>
            <w:top w:val="none" w:sz="0" w:space="0" w:color="auto"/>
            <w:left w:val="none" w:sz="0" w:space="0" w:color="auto"/>
            <w:bottom w:val="none" w:sz="0" w:space="0" w:color="auto"/>
            <w:right w:val="none" w:sz="0" w:space="0" w:color="auto"/>
          </w:divBdr>
        </w:div>
        <w:div w:id="1613316305">
          <w:marLeft w:val="0"/>
          <w:marRight w:val="0"/>
          <w:marTop w:val="0"/>
          <w:marBottom w:val="0"/>
          <w:divBdr>
            <w:top w:val="none" w:sz="0" w:space="0" w:color="auto"/>
            <w:left w:val="none" w:sz="0" w:space="0" w:color="auto"/>
            <w:bottom w:val="none" w:sz="0" w:space="0" w:color="auto"/>
            <w:right w:val="none" w:sz="0" w:space="0" w:color="auto"/>
          </w:divBdr>
        </w:div>
        <w:div w:id="1046880829">
          <w:marLeft w:val="0"/>
          <w:marRight w:val="0"/>
          <w:marTop w:val="0"/>
          <w:marBottom w:val="0"/>
          <w:divBdr>
            <w:top w:val="none" w:sz="0" w:space="0" w:color="auto"/>
            <w:left w:val="none" w:sz="0" w:space="0" w:color="auto"/>
            <w:bottom w:val="none" w:sz="0" w:space="0" w:color="auto"/>
            <w:right w:val="none" w:sz="0" w:space="0" w:color="auto"/>
          </w:divBdr>
        </w:div>
      </w:divsChild>
    </w:div>
    <w:div w:id="1310859633">
      <w:bodyDiv w:val="1"/>
      <w:marLeft w:val="0"/>
      <w:marRight w:val="0"/>
      <w:marTop w:val="0"/>
      <w:marBottom w:val="0"/>
      <w:divBdr>
        <w:top w:val="none" w:sz="0" w:space="0" w:color="auto"/>
        <w:left w:val="none" w:sz="0" w:space="0" w:color="auto"/>
        <w:bottom w:val="none" w:sz="0" w:space="0" w:color="auto"/>
        <w:right w:val="none" w:sz="0" w:space="0" w:color="auto"/>
      </w:divBdr>
      <w:divsChild>
        <w:div w:id="76640564">
          <w:marLeft w:val="0"/>
          <w:marRight w:val="0"/>
          <w:marTop w:val="0"/>
          <w:marBottom w:val="0"/>
          <w:divBdr>
            <w:top w:val="none" w:sz="0" w:space="0" w:color="auto"/>
            <w:left w:val="none" w:sz="0" w:space="0" w:color="auto"/>
            <w:bottom w:val="none" w:sz="0" w:space="0" w:color="auto"/>
            <w:right w:val="none" w:sz="0" w:space="0" w:color="auto"/>
          </w:divBdr>
        </w:div>
        <w:div w:id="225380871">
          <w:marLeft w:val="0"/>
          <w:marRight w:val="0"/>
          <w:marTop w:val="0"/>
          <w:marBottom w:val="0"/>
          <w:divBdr>
            <w:top w:val="none" w:sz="0" w:space="0" w:color="auto"/>
            <w:left w:val="none" w:sz="0" w:space="0" w:color="auto"/>
            <w:bottom w:val="none" w:sz="0" w:space="0" w:color="auto"/>
            <w:right w:val="none" w:sz="0" w:space="0" w:color="auto"/>
          </w:divBdr>
        </w:div>
        <w:div w:id="1012031469">
          <w:marLeft w:val="0"/>
          <w:marRight w:val="0"/>
          <w:marTop w:val="0"/>
          <w:marBottom w:val="0"/>
          <w:divBdr>
            <w:top w:val="none" w:sz="0" w:space="0" w:color="auto"/>
            <w:left w:val="none" w:sz="0" w:space="0" w:color="auto"/>
            <w:bottom w:val="none" w:sz="0" w:space="0" w:color="auto"/>
            <w:right w:val="none" w:sz="0" w:space="0" w:color="auto"/>
          </w:divBdr>
        </w:div>
        <w:div w:id="927808849">
          <w:marLeft w:val="0"/>
          <w:marRight w:val="0"/>
          <w:marTop w:val="0"/>
          <w:marBottom w:val="0"/>
          <w:divBdr>
            <w:top w:val="none" w:sz="0" w:space="0" w:color="auto"/>
            <w:left w:val="none" w:sz="0" w:space="0" w:color="auto"/>
            <w:bottom w:val="none" w:sz="0" w:space="0" w:color="auto"/>
            <w:right w:val="none" w:sz="0" w:space="0" w:color="auto"/>
          </w:divBdr>
        </w:div>
        <w:div w:id="2109887043">
          <w:marLeft w:val="0"/>
          <w:marRight w:val="0"/>
          <w:marTop w:val="0"/>
          <w:marBottom w:val="0"/>
          <w:divBdr>
            <w:top w:val="none" w:sz="0" w:space="0" w:color="auto"/>
            <w:left w:val="none" w:sz="0" w:space="0" w:color="auto"/>
            <w:bottom w:val="none" w:sz="0" w:space="0" w:color="auto"/>
            <w:right w:val="none" w:sz="0" w:space="0" w:color="auto"/>
          </w:divBdr>
        </w:div>
        <w:div w:id="1743329326">
          <w:marLeft w:val="0"/>
          <w:marRight w:val="0"/>
          <w:marTop w:val="0"/>
          <w:marBottom w:val="0"/>
          <w:divBdr>
            <w:top w:val="none" w:sz="0" w:space="0" w:color="auto"/>
            <w:left w:val="none" w:sz="0" w:space="0" w:color="auto"/>
            <w:bottom w:val="none" w:sz="0" w:space="0" w:color="auto"/>
            <w:right w:val="none" w:sz="0" w:space="0" w:color="auto"/>
          </w:divBdr>
        </w:div>
        <w:div w:id="664550609">
          <w:marLeft w:val="0"/>
          <w:marRight w:val="0"/>
          <w:marTop w:val="0"/>
          <w:marBottom w:val="0"/>
          <w:divBdr>
            <w:top w:val="none" w:sz="0" w:space="0" w:color="auto"/>
            <w:left w:val="none" w:sz="0" w:space="0" w:color="auto"/>
            <w:bottom w:val="none" w:sz="0" w:space="0" w:color="auto"/>
            <w:right w:val="none" w:sz="0" w:space="0" w:color="auto"/>
          </w:divBdr>
        </w:div>
        <w:div w:id="747730393">
          <w:marLeft w:val="0"/>
          <w:marRight w:val="0"/>
          <w:marTop w:val="0"/>
          <w:marBottom w:val="0"/>
          <w:divBdr>
            <w:top w:val="none" w:sz="0" w:space="0" w:color="auto"/>
            <w:left w:val="none" w:sz="0" w:space="0" w:color="auto"/>
            <w:bottom w:val="none" w:sz="0" w:space="0" w:color="auto"/>
            <w:right w:val="none" w:sz="0" w:space="0" w:color="auto"/>
          </w:divBdr>
        </w:div>
        <w:div w:id="210729704">
          <w:marLeft w:val="0"/>
          <w:marRight w:val="0"/>
          <w:marTop w:val="0"/>
          <w:marBottom w:val="0"/>
          <w:divBdr>
            <w:top w:val="none" w:sz="0" w:space="0" w:color="auto"/>
            <w:left w:val="none" w:sz="0" w:space="0" w:color="auto"/>
            <w:bottom w:val="none" w:sz="0" w:space="0" w:color="auto"/>
            <w:right w:val="none" w:sz="0" w:space="0" w:color="auto"/>
          </w:divBdr>
        </w:div>
        <w:div w:id="854729274">
          <w:marLeft w:val="0"/>
          <w:marRight w:val="0"/>
          <w:marTop w:val="0"/>
          <w:marBottom w:val="0"/>
          <w:divBdr>
            <w:top w:val="none" w:sz="0" w:space="0" w:color="auto"/>
            <w:left w:val="none" w:sz="0" w:space="0" w:color="auto"/>
            <w:bottom w:val="none" w:sz="0" w:space="0" w:color="auto"/>
            <w:right w:val="none" w:sz="0" w:space="0" w:color="auto"/>
          </w:divBdr>
        </w:div>
        <w:div w:id="700281924">
          <w:marLeft w:val="0"/>
          <w:marRight w:val="0"/>
          <w:marTop w:val="0"/>
          <w:marBottom w:val="0"/>
          <w:divBdr>
            <w:top w:val="none" w:sz="0" w:space="0" w:color="auto"/>
            <w:left w:val="none" w:sz="0" w:space="0" w:color="auto"/>
            <w:bottom w:val="none" w:sz="0" w:space="0" w:color="auto"/>
            <w:right w:val="none" w:sz="0" w:space="0" w:color="auto"/>
          </w:divBdr>
        </w:div>
        <w:div w:id="1282372768">
          <w:marLeft w:val="0"/>
          <w:marRight w:val="0"/>
          <w:marTop w:val="0"/>
          <w:marBottom w:val="0"/>
          <w:divBdr>
            <w:top w:val="none" w:sz="0" w:space="0" w:color="auto"/>
            <w:left w:val="none" w:sz="0" w:space="0" w:color="auto"/>
            <w:bottom w:val="none" w:sz="0" w:space="0" w:color="auto"/>
            <w:right w:val="none" w:sz="0" w:space="0" w:color="auto"/>
          </w:divBdr>
        </w:div>
      </w:divsChild>
    </w:div>
    <w:div w:id="1435705928">
      <w:bodyDiv w:val="1"/>
      <w:marLeft w:val="0"/>
      <w:marRight w:val="0"/>
      <w:marTop w:val="0"/>
      <w:marBottom w:val="0"/>
      <w:divBdr>
        <w:top w:val="none" w:sz="0" w:space="0" w:color="auto"/>
        <w:left w:val="none" w:sz="0" w:space="0" w:color="auto"/>
        <w:bottom w:val="none" w:sz="0" w:space="0" w:color="auto"/>
        <w:right w:val="none" w:sz="0" w:space="0" w:color="auto"/>
      </w:divBdr>
      <w:divsChild>
        <w:div w:id="696388182">
          <w:marLeft w:val="0"/>
          <w:marRight w:val="0"/>
          <w:marTop w:val="0"/>
          <w:marBottom w:val="0"/>
          <w:divBdr>
            <w:top w:val="none" w:sz="0" w:space="0" w:color="auto"/>
            <w:left w:val="none" w:sz="0" w:space="0" w:color="auto"/>
            <w:bottom w:val="none" w:sz="0" w:space="0" w:color="auto"/>
            <w:right w:val="none" w:sz="0" w:space="0" w:color="auto"/>
          </w:divBdr>
        </w:div>
        <w:div w:id="2121995436">
          <w:marLeft w:val="0"/>
          <w:marRight w:val="0"/>
          <w:marTop w:val="0"/>
          <w:marBottom w:val="0"/>
          <w:divBdr>
            <w:top w:val="none" w:sz="0" w:space="0" w:color="auto"/>
            <w:left w:val="none" w:sz="0" w:space="0" w:color="auto"/>
            <w:bottom w:val="none" w:sz="0" w:space="0" w:color="auto"/>
            <w:right w:val="none" w:sz="0" w:space="0" w:color="auto"/>
          </w:divBdr>
        </w:div>
        <w:div w:id="132141713">
          <w:marLeft w:val="0"/>
          <w:marRight w:val="0"/>
          <w:marTop w:val="0"/>
          <w:marBottom w:val="0"/>
          <w:divBdr>
            <w:top w:val="none" w:sz="0" w:space="0" w:color="auto"/>
            <w:left w:val="none" w:sz="0" w:space="0" w:color="auto"/>
            <w:bottom w:val="none" w:sz="0" w:space="0" w:color="auto"/>
            <w:right w:val="none" w:sz="0" w:space="0" w:color="auto"/>
          </w:divBdr>
        </w:div>
        <w:div w:id="1082070224">
          <w:marLeft w:val="0"/>
          <w:marRight w:val="0"/>
          <w:marTop w:val="0"/>
          <w:marBottom w:val="0"/>
          <w:divBdr>
            <w:top w:val="none" w:sz="0" w:space="0" w:color="auto"/>
            <w:left w:val="none" w:sz="0" w:space="0" w:color="auto"/>
            <w:bottom w:val="none" w:sz="0" w:space="0" w:color="auto"/>
            <w:right w:val="none" w:sz="0" w:space="0" w:color="auto"/>
          </w:divBdr>
        </w:div>
        <w:div w:id="1790081492">
          <w:marLeft w:val="0"/>
          <w:marRight w:val="0"/>
          <w:marTop w:val="0"/>
          <w:marBottom w:val="0"/>
          <w:divBdr>
            <w:top w:val="none" w:sz="0" w:space="0" w:color="auto"/>
            <w:left w:val="none" w:sz="0" w:space="0" w:color="auto"/>
            <w:bottom w:val="none" w:sz="0" w:space="0" w:color="auto"/>
            <w:right w:val="none" w:sz="0" w:space="0" w:color="auto"/>
          </w:divBdr>
        </w:div>
        <w:div w:id="1241790571">
          <w:marLeft w:val="0"/>
          <w:marRight w:val="0"/>
          <w:marTop w:val="0"/>
          <w:marBottom w:val="0"/>
          <w:divBdr>
            <w:top w:val="none" w:sz="0" w:space="0" w:color="auto"/>
            <w:left w:val="none" w:sz="0" w:space="0" w:color="auto"/>
            <w:bottom w:val="none" w:sz="0" w:space="0" w:color="auto"/>
            <w:right w:val="none" w:sz="0" w:space="0" w:color="auto"/>
          </w:divBdr>
        </w:div>
        <w:div w:id="114981423">
          <w:marLeft w:val="0"/>
          <w:marRight w:val="0"/>
          <w:marTop w:val="0"/>
          <w:marBottom w:val="0"/>
          <w:divBdr>
            <w:top w:val="none" w:sz="0" w:space="0" w:color="auto"/>
            <w:left w:val="none" w:sz="0" w:space="0" w:color="auto"/>
            <w:bottom w:val="none" w:sz="0" w:space="0" w:color="auto"/>
            <w:right w:val="none" w:sz="0" w:space="0" w:color="auto"/>
          </w:divBdr>
        </w:div>
        <w:div w:id="38668286">
          <w:marLeft w:val="0"/>
          <w:marRight w:val="0"/>
          <w:marTop w:val="0"/>
          <w:marBottom w:val="0"/>
          <w:divBdr>
            <w:top w:val="none" w:sz="0" w:space="0" w:color="auto"/>
            <w:left w:val="none" w:sz="0" w:space="0" w:color="auto"/>
            <w:bottom w:val="none" w:sz="0" w:space="0" w:color="auto"/>
            <w:right w:val="none" w:sz="0" w:space="0" w:color="auto"/>
          </w:divBdr>
        </w:div>
        <w:div w:id="697779514">
          <w:marLeft w:val="0"/>
          <w:marRight w:val="0"/>
          <w:marTop w:val="0"/>
          <w:marBottom w:val="0"/>
          <w:divBdr>
            <w:top w:val="none" w:sz="0" w:space="0" w:color="auto"/>
            <w:left w:val="none" w:sz="0" w:space="0" w:color="auto"/>
            <w:bottom w:val="none" w:sz="0" w:space="0" w:color="auto"/>
            <w:right w:val="none" w:sz="0" w:space="0" w:color="auto"/>
          </w:divBdr>
        </w:div>
      </w:divsChild>
    </w:div>
    <w:div w:id="1562518507">
      <w:bodyDiv w:val="1"/>
      <w:marLeft w:val="0"/>
      <w:marRight w:val="0"/>
      <w:marTop w:val="0"/>
      <w:marBottom w:val="0"/>
      <w:divBdr>
        <w:top w:val="none" w:sz="0" w:space="0" w:color="auto"/>
        <w:left w:val="none" w:sz="0" w:space="0" w:color="auto"/>
        <w:bottom w:val="none" w:sz="0" w:space="0" w:color="auto"/>
        <w:right w:val="none" w:sz="0" w:space="0" w:color="auto"/>
      </w:divBdr>
      <w:divsChild>
        <w:div w:id="1643342926">
          <w:marLeft w:val="0"/>
          <w:marRight w:val="0"/>
          <w:marTop w:val="0"/>
          <w:marBottom w:val="0"/>
          <w:divBdr>
            <w:top w:val="none" w:sz="0" w:space="0" w:color="auto"/>
            <w:left w:val="none" w:sz="0" w:space="0" w:color="auto"/>
            <w:bottom w:val="none" w:sz="0" w:space="0" w:color="auto"/>
            <w:right w:val="none" w:sz="0" w:space="0" w:color="auto"/>
          </w:divBdr>
        </w:div>
        <w:div w:id="623317843">
          <w:marLeft w:val="0"/>
          <w:marRight w:val="0"/>
          <w:marTop w:val="0"/>
          <w:marBottom w:val="0"/>
          <w:divBdr>
            <w:top w:val="none" w:sz="0" w:space="0" w:color="auto"/>
            <w:left w:val="none" w:sz="0" w:space="0" w:color="auto"/>
            <w:bottom w:val="none" w:sz="0" w:space="0" w:color="auto"/>
            <w:right w:val="none" w:sz="0" w:space="0" w:color="auto"/>
          </w:divBdr>
        </w:div>
        <w:div w:id="1616600307">
          <w:marLeft w:val="0"/>
          <w:marRight w:val="0"/>
          <w:marTop w:val="0"/>
          <w:marBottom w:val="0"/>
          <w:divBdr>
            <w:top w:val="none" w:sz="0" w:space="0" w:color="auto"/>
            <w:left w:val="none" w:sz="0" w:space="0" w:color="auto"/>
            <w:bottom w:val="none" w:sz="0" w:space="0" w:color="auto"/>
            <w:right w:val="none" w:sz="0" w:space="0" w:color="auto"/>
          </w:divBdr>
        </w:div>
        <w:div w:id="64840013">
          <w:marLeft w:val="0"/>
          <w:marRight w:val="0"/>
          <w:marTop w:val="0"/>
          <w:marBottom w:val="0"/>
          <w:divBdr>
            <w:top w:val="none" w:sz="0" w:space="0" w:color="auto"/>
            <w:left w:val="none" w:sz="0" w:space="0" w:color="auto"/>
            <w:bottom w:val="none" w:sz="0" w:space="0" w:color="auto"/>
            <w:right w:val="none" w:sz="0" w:space="0" w:color="auto"/>
          </w:divBdr>
        </w:div>
        <w:div w:id="1886987573">
          <w:marLeft w:val="0"/>
          <w:marRight w:val="0"/>
          <w:marTop w:val="0"/>
          <w:marBottom w:val="0"/>
          <w:divBdr>
            <w:top w:val="none" w:sz="0" w:space="0" w:color="auto"/>
            <w:left w:val="none" w:sz="0" w:space="0" w:color="auto"/>
            <w:bottom w:val="none" w:sz="0" w:space="0" w:color="auto"/>
            <w:right w:val="none" w:sz="0" w:space="0" w:color="auto"/>
          </w:divBdr>
        </w:div>
        <w:div w:id="1943103872">
          <w:marLeft w:val="0"/>
          <w:marRight w:val="0"/>
          <w:marTop w:val="0"/>
          <w:marBottom w:val="0"/>
          <w:divBdr>
            <w:top w:val="none" w:sz="0" w:space="0" w:color="auto"/>
            <w:left w:val="none" w:sz="0" w:space="0" w:color="auto"/>
            <w:bottom w:val="none" w:sz="0" w:space="0" w:color="auto"/>
            <w:right w:val="none" w:sz="0" w:space="0" w:color="auto"/>
          </w:divBdr>
        </w:div>
        <w:div w:id="2110393138">
          <w:marLeft w:val="0"/>
          <w:marRight w:val="0"/>
          <w:marTop w:val="0"/>
          <w:marBottom w:val="0"/>
          <w:divBdr>
            <w:top w:val="none" w:sz="0" w:space="0" w:color="auto"/>
            <w:left w:val="none" w:sz="0" w:space="0" w:color="auto"/>
            <w:bottom w:val="none" w:sz="0" w:space="0" w:color="auto"/>
            <w:right w:val="none" w:sz="0" w:space="0" w:color="auto"/>
          </w:divBdr>
        </w:div>
        <w:div w:id="436173544">
          <w:marLeft w:val="0"/>
          <w:marRight w:val="0"/>
          <w:marTop w:val="0"/>
          <w:marBottom w:val="0"/>
          <w:divBdr>
            <w:top w:val="none" w:sz="0" w:space="0" w:color="auto"/>
            <w:left w:val="none" w:sz="0" w:space="0" w:color="auto"/>
            <w:bottom w:val="none" w:sz="0" w:space="0" w:color="auto"/>
            <w:right w:val="none" w:sz="0" w:space="0" w:color="auto"/>
          </w:divBdr>
        </w:div>
        <w:div w:id="1245458236">
          <w:marLeft w:val="0"/>
          <w:marRight w:val="0"/>
          <w:marTop w:val="0"/>
          <w:marBottom w:val="0"/>
          <w:divBdr>
            <w:top w:val="none" w:sz="0" w:space="0" w:color="auto"/>
            <w:left w:val="none" w:sz="0" w:space="0" w:color="auto"/>
            <w:bottom w:val="none" w:sz="0" w:space="0" w:color="auto"/>
            <w:right w:val="none" w:sz="0" w:space="0" w:color="auto"/>
          </w:divBdr>
        </w:div>
        <w:div w:id="597952639">
          <w:marLeft w:val="0"/>
          <w:marRight w:val="0"/>
          <w:marTop w:val="0"/>
          <w:marBottom w:val="0"/>
          <w:divBdr>
            <w:top w:val="none" w:sz="0" w:space="0" w:color="auto"/>
            <w:left w:val="none" w:sz="0" w:space="0" w:color="auto"/>
            <w:bottom w:val="none" w:sz="0" w:space="0" w:color="auto"/>
            <w:right w:val="none" w:sz="0" w:space="0" w:color="auto"/>
          </w:divBdr>
        </w:div>
        <w:div w:id="1843011686">
          <w:marLeft w:val="0"/>
          <w:marRight w:val="0"/>
          <w:marTop w:val="0"/>
          <w:marBottom w:val="0"/>
          <w:divBdr>
            <w:top w:val="none" w:sz="0" w:space="0" w:color="auto"/>
            <w:left w:val="none" w:sz="0" w:space="0" w:color="auto"/>
            <w:bottom w:val="none" w:sz="0" w:space="0" w:color="auto"/>
            <w:right w:val="none" w:sz="0" w:space="0" w:color="auto"/>
          </w:divBdr>
        </w:div>
        <w:div w:id="1914775745">
          <w:marLeft w:val="0"/>
          <w:marRight w:val="0"/>
          <w:marTop w:val="0"/>
          <w:marBottom w:val="0"/>
          <w:divBdr>
            <w:top w:val="none" w:sz="0" w:space="0" w:color="auto"/>
            <w:left w:val="none" w:sz="0" w:space="0" w:color="auto"/>
            <w:bottom w:val="none" w:sz="0" w:space="0" w:color="auto"/>
            <w:right w:val="none" w:sz="0" w:space="0" w:color="auto"/>
          </w:divBdr>
        </w:div>
        <w:div w:id="33428811">
          <w:marLeft w:val="0"/>
          <w:marRight w:val="0"/>
          <w:marTop w:val="0"/>
          <w:marBottom w:val="0"/>
          <w:divBdr>
            <w:top w:val="none" w:sz="0" w:space="0" w:color="auto"/>
            <w:left w:val="none" w:sz="0" w:space="0" w:color="auto"/>
            <w:bottom w:val="none" w:sz="0" w:space="0" w:color="auto"/>
            <w:right w:val="none" w:sz="0" w:space="0" w:color="auto"/>
          </w:divBdr>
        </w:div>
        <w:div w:id="2090038005">
          <w:marLeft w:val="0"/>
          <w:marRight w:val="0"/>
          <w:marTop w:val="0"/>
          <w:marBottom w:val="0"/>
          <w:divBdr>
            <w:top w:val="none" w:sz="0" w:space="0" w:color="auto"/>
            <w:left w:val="none" w:sz="0" w:space="0" w:color="auto"/>
            <w:bottom w:val="none" w:sz="0" w:space="0" w:color="auto"/>
            <w:right w:val="none" w:sz="0" w:space="0" w:color="auto"/>
          </w:divBdr>
        </w:div>
        <w:div w:id="1175194237">
          <w:marLeft w:val="0"/>
          <w:marRight w:val="0"/>
          <w:marTop w:val="0"/>
          <w:marBottom w:val="0"/>
          <w:divBdr>
            <w:top w:val="none" w:sz="0" w:space="0" w:color="auto"/>
            <w:left w:val="none" w:sz="0" w:space="0" w:color="auto"/>
            <w:bottom w:val="none" w:sz="0" w:space="0" w:color="auto"/>
            <w:right w:val="none" w:sz="0" w:space="0" w:color="auto"/>
          </w:divBdr>
        </w:div>
        <w:div w:id="1782262602">
          <w:marLeft w:val="0"/>
          <w:marRight w:val="0"/>
          <w:marTop w:val="0"/>
          <w:marBottom w:val="0"/>
          <w:divBdr>
            <w:top w:val="none" w:sz="0" w:space="0" w:color="auto"/>
            <w:left w:val="none" w:sz="0" w:space="0" w:color="auto"/>
            <w:bottom w:val="none" w:sz="0" w:space="0" w:color="auto"/>
            <w:right w:val="none" w:sz="0" w:space="0" w:color="auto"/>
          </w:divBdr>
        </w:div>
        <w:div w:id="1083070408">
          <w:marLeft w:val="0"/>
          <w:marRight w:val="0"/>
          <w:marTop w:val="0"/>
          <w:marBottom w:val="0"/>
          <w:divBdr>
            <w:top w:val="none" w:sz="0" w:space="0" w:color="auto"/>
            <w:left w:val="none" w:sz="0" w:space="0" w:color="auto"/>
            <w:bottom w:val="none" w:sz="0" w:space="0" w:color="auto"/>
            <w:right w:val="none" w:sz="0" w:space="0" w:color="auto"/>
          </w:divBdr>
        </w:div>
        <w:div w:id="587496865">
          <w:marLeft w:val="0"/>
          <w:marRight w:val="0"/>
          <w:marTop w:val="0"/>
          <w:marBottom w:val="0"/>
          <w:divBdr>
            <w:top w:val="none" w:sz="0" w:space="0" w:color="auto"/>
            <w:left w:val="none" w:sz="0" w:space="0" w:color="auto"/>
            <w:bottom w:val="none" w:sz="0" w:space="0" w:color="auto"/>
            <w:right w:val="none" w:sz="0" w:space="0" w:color="auto"/>
          </w:divBdr>
        </w:div>
        <w:div w:id="1144810559">
          <w:marLeft w:val="0"/>
          <w:marRight w:val="0"/>
          <w:marTop w:val="0"/>
          <w:marBottom w:val="0"/>
          <w:divBdr>
            <w:top w:val="none" w:sz="0" w:space="0" w:color="auto"/>
            <w:left w:val="none" w:sz="0" w:space="0" w:color="auto"/>
            <w:bottom w:val="none" w:sz="0" w:space="0" w:color="auto"/>
            <w:right w:val="none" w:sz="0" w:space="0" w:color="auto"/>
          </w:divBdr>
        </w:div>
        <w:div w:id="1431587474">
          <w:marLeft w:val="0"/>
          <w:marRight w:val="0"/>
          <w:marTop w:val="0"/>
          <w:marBottom w:val="0"/>
          <w:divBdr>
            <w:top w:val="none" w:sz="0" w:space="0" w:color="auto"/>
            <w:left w:val="none" w:sz="0" w:space="0" w:color="auto"/>
            <w:bottom w:val="none" w:sz="0" w:space="0" w:color="auto"/>
            <w:right w:val="none" w:sz="0" w:space="0" w:color="auto"/>
          </w:divBdr>
        </w:div>
        <w:div w:id="1582911786">
          <w:marLeft w:val="0"/>
          <w:marRight w:val="0"/>
          <w:marTop w:val="0"/>
          <w:marBottom w:val="0"/>
          <w:divBdr>
            <w:top w:val="none" w:sz="0" w:space="0" w:color="auto"/>
            <w:left w:val="none" w:sz="0" w:space="0" w:color="auto"/>
            <w:bottom w:val="none" w:sz="0" w:space="0" w:color="auto"/>
            <w:right w:val="none" w:sz="0" w:space="0" w:color="auto"/>
          </w:divBdr>
        </w:div>
        <w:div w:id="1540824538">
          <w:marLeft w:val="0"/>
          <w:marRight w:val="0"/>
          <w:marTop w:val="0"/>
          <w:marBottom w:val="0"/>
          <w:divBdr>
            <w:top w:val="none" w:sz="0" w:space="0" w:color="auto"/>
            <w:left w:val="none" w:sz="0" w:space="0" w:color="auto"/>
            <w:bottom w:val="none" w:sz="0" w:space="0" w:color="auto"/>
            <w:right w:val="none" w:sz="0" w:space="0" w:color="auto"/>
          </w:divBdr>
        </w:div>
        <w:div w:id="1476415189">
          <w:marLeft w:val="0"/>
          <w:marRight w:val="0"/>
          <w:marTop w:val="0"/>
          <w:marBottom w:val="0"/>
          <w:divBdr>
            <w:top w:val="none" w:sz="0" w:space="0" w:color="auto"/>
            <w:left w:val="none" w:sz="0" w:space="0" w:color="auto"/>
            <w:bottom w:val="none" w:sz="0" w:space="0" w:color="auto"/>
            <w:right w:val="none" w:sz="0" w:space="0" w:color="auto"/>
          </w:divBdr>
        </w:div>
        <w:div w:id="1932085364">
          <w:marLeft w:val="0"/>
          <w:marRight w:val="0"/>
          <w:marTop w:val="0"/>
          <w:marBottom w:val="0"/>
          <w:divBdr>
            <w:top w:val="none" w:sz="0" w:space="0" w:color="auto"/>
            <w:left w:val="none" w:sz="0" w:space="0" w:color="auto"/>
            <w:bottom w:val="none" w:sz="0" w:space="0" w:color="auto"/>
            <w:right w:val="none" w:sz="0" w:space="0" w:color="auto"/>
          </w:divBdr>
        </w:div>
        <w:div w:id="928856519">
          <w:marLeft w:val="0"/>
          <w:marRight w:val="0"/>
          <w:marTop w:val="0"/>
          <w:marBottom w:val="0"/>
          <w:divBdr>
            <w:top w:val="none" w:sz="0" w:space="0" w:color="auto"/>
            <w:left w:val="none" w:sz="0" w:space="0" w:color="auto"/>
            <w:bottom w:val="none" w:sz="0" w:space="0" w:color="auto"/>
            <w:right w:val="none" w:sz="0" w:space="0" w:color="auto"/>
          </w:divBdr>
        </w:div>
        <w:div w:id="541287167">
          <w:marLeft w:val="0"/>
          <w:marRight w:val="0"/>
          <w:marTop w:val="0"/>
          <w:marBottom w:val="0"/>
          <w:divBdr>
            <w:top w:val="none" w:sz="0" w:space="0" w:color="auto"/>
            <w:left w:val="none" w:sz="0" w:space="0" w:color="auto"/>
            <w:bottom w:val="none" w:sz="0" w:space="0" w:color="auto"/>
            <w:right w:val="none" w:sz="0" w:space="0" w:color="auto"/>
          </w:divBdr>
        </w:div>
        <w:div w:id="1797873635">
          <w:marLeft w:val="0"/>
          <w:marRight w:val="0"/>
          <w:marTop w:val="0"/>
          <w:marBottom w:val="0"/>
          <w:divBdr>
            <w:top w:val="none" w:sz="0" w:space="0" w:color="auto"/>
            <w:left w:val="none" w:sz="0" w:space="0" w:color="auto"/>
            <w:bottom w:val="none" w:sz="0" w:space="0" w:color="auto"/>
            <w:right w:val="none" w:sz="0" w:space="0" w:color="auto"/>
          </w:divBdr>
        </w:div>
        <w:div w:id="708068244">
          <w:marLeft w:val="0"/>
          <w:marRight w:val="0"/>
          <w:marTop w:val="0"/>
          <w:marBottom w:val="0"/>
          <w:divBdr>
            <w:top w:val="none" w:sz="0" w:space="0" w:color="auto"/>
            <w:left w:val="none" w:sz="0" w:space="0" w:color="auto"/>
            <w:bottom w:val="none" w:sz="0" w:space="0" w:color="auto"/>
            <w:right w:val="none" w:sz="0" w:space="0" w:color="auto"/>
          </w:divBdr>
        </w:div>
        <w:div w:id="283270159">
          <w:marLeft w:val="0"/>
          <w:marRight w:val="0"/>
          <w:marTop w:val="0"/>
          <w:marBottom w:val="0"/>
          <w:divBdr>
            <w:top w:val="none" w:sz="0" w:space="0" w:color="auto"/>
            <w:left w:val="none" w:sz="0" w:space="0" w:color="auto"/>
            <w:bottom w:val="none" w:sz="0" w:space="0" w:color="auto"/>
            <w:right w:val="none" w:sz="0" w:space="0" w:color="auto"/>
          </w:divBdr>
        </w:div>
        <w:div w:id="1177813339">
          <w:marLeft w:val="0"/>
          <w:marRight w:val="0"/>
          <w:marTop w:val="0"/>
          <w:marBottom w:val="0"/>
          <w:divBdr>
            <w:top w:val="none" w:sz="0" w:space="0" w:color="auto"/>
            <w:left w:val="none" w:sz="0" w:space="0" w:color="auto"/>
            <w:bottom w:val="none" w:sz="0" w:space="0" w:color="auto"/>
            <w:right w:val="none" w:sz="0" w:space="0" w:color="auto"/>
          </w:divBdr>
        </w:div>
        <w:div w:id="2116558254">
          <w:marLeft w:val="0"/>
          <w:marRight w:val="0"/>
          <w:marTop w:val="0"/>
          <w:marBottom w:val="0"/>
          <w:divBdr>
            <w:top w:val="none" w:sz="0" w:space="0" w:color="auto"/>
            <w:left w:val="none" w:sz="0" w:space="0" w:color="auto"/>
            <w:bottom w:val="none" w:sz="0" w:space="0" w:color="auto"/>
            <w:right w:val="none" w:sz="0" w:space="0" w:color="auto"/>
          </w:divBdr>
        </w:div>
        <w:div w:id="1021279621">
          <w:marLeft w:val="0"/>
          <w:marRight w:val="0"/>
          <w:marTop w:val="0"/>
          <w:marBottom w:val="0"/>
          <w:divBdr>
            <w:top w:val="none" w:sz="0" w:space="0" w:color="auto"/>
            <w:left w:val="none" w:sz="0" w:space="0" w:color="auto"/>
            <w:bottom w:val="none" w:sz="0" w:space="0" w:color="auto"/>
            <w:right w:val="none" w:sz="0" w:space="0" w:color="auto"/>
          </w:divBdr>
        </w:div>
        <w:div w:id="336542770">
          <w:marLeft w:val="0"/>
          <w:marRight w:val="0"/>
          <w:marTop w:val="0"/>
          <w:marBottom w:val="0"/>
          <w:divBdr>
            <w:top w:val="none" w:sz="0" w:space="0" w:color="auto"/>
            <w:left w:val="none" w:sz="0" w:space="0" w:color="auto"/>
            <w:bottom w:val="none" w:sz="0" w:space="0" w:color="auto"/>
            <w:right w:val="none" w:sz="0" w:space="0" w:color="auto"/>
          </w:divBdr>
        </w:div>
        <w:div w:id="1741518668">
          <w:marLeft w:val="0"/>
          <w:marRight w:val="0"/>
          <w:marTop w:val="0"/>
          <w:marBottom w:val="0"/>
          <w:divBdr>
            <w:top w:val="none" w:sz="0" w:space="0" w:color="auto"/>
            <w:left w:val="none" w:sz="0" w:space="0" w:color="auto"/>
            <w:bottom w:val="none" w:sz="0" w:space="0" w:color="auto"/>
            <w:right w:val="none" w:sz="0" w:space="0" w:color="auto"/>
          </w:divBdr>
        </w:div>
        <w:div w:id="1015419761">
          <w:marLeft w:val="0"/>
          <w:marRight w:val="0"/>
          <w:marTop w:val="0"/>
          <w:marBottom w:val="0"/>
          <w:divBdr>
            <w:top w:val="none" w:sz="0" w:space="0" w:color="auto"/>
            <w:left w:val="none" w:sz="0" w:space="0" w:color="auto"/>
            <w:bottom w:val="none" w:sz="0" w:space="0" w:color="auto"/>
            <w:right w:val="none" w:sz="0" w:space="0" w:color="auto"/>
          </w:divBdr>
        </w:div>
        <w:div w:id="1747192391">
          <w:marLeft w:val="0"/>
          <w:marRight w:val="0"/>
          <w:marTop w:val="0"/>
          <w:marBottom w:val="0"/>
          <w:divBdr>
            <w:top w:val="none" w:sz="0" w:space="0" w:color="auto"/>
            <w:left w:val="none" w:sz="0" w:space="0" w:color="auto"/>
            <w:bottom w:val="none" w:sz="0" w:space="0" w:color="auto"/>
            <w:right w:val="none" w:sz="0" w:space="0" w:color="auto"/>
          </w:divBdr>
        </w:div>
        <w:div w:id="1452750479">
          <w:marLeft w:val="0"/>
          <w:marRight w:val="0"/>
          <w:marTop w:val="0"/>
          <w:marBottom w:val="0"/>
          <w:divBdr>
            <w:top w:val="none" w:sz="0" w:space="0" w:color="auto"/>
            <w:left w:val="none" w:sz="0" w:space="0" w:color="auto"/>
            <w:bottom w:val="none" w:sz="0" w:space="0" w:color="auto"/>
            <w:right w:val="none" w:sz="0" w:space="0" w:color="auto"/>
          </w:divBdr>
        </w:div>
      </w:divsChild>
    </w:div>
    <w:div w:id="1619219463">
      <w:bodyDiv w:val="1"/>
      <w:marLeft w:val="0"/>
      <w:marRight w:val="0"/>
      <w:marTop w:val="0"/>
      <w:marBottom w:val="0"/>
      <w:divBdr>
        <w:top w:val="none" w:sz="0" w:space="0" w:color="auto"/>
        <w:left w:val="none" w:sz="0" w:space="0" w:color="auto"/>
        <w:bottom w:val="none" w:sz="0" w:space="0" w:color="auto"/>
        <w:right w:val="none" w:sz="0" w:space="0" w:color="auto"/>
      </w:divBdr>
      <w:divsChild>
        <w:div w:id="450243583">
          <w:marLeft w:val="0"/>
          <w:marRight w:val="0"/>
          <w:marTop w:val="0"/>
          <w:marBottom w:val="0"/>
          <w:divBdr>
            <w:top w:val="none" w:sz="0" w:space="0" w:color="auto"/>
            <w:left w:val="none" w:sz="0" w:space="0" w:color="auto"/>
            <w:bottom w:val="none" w:sz="0" w:space="0" w:color="auto"/>
            <w:right w:val="none" w:sz="0" w:space="0" w:color="auto"/>
          </w:divBdr>
        </w:div>
        <w:div w:id="1601063660">
          <w:marLeft w:val="0"/>
          <w:marRight w:val="0"/>
          <w:marTop w:val="0"/>
          <w:marBottom w:val="0"/>
          <w:divBdr>
            <w:top w:val="none" w:sz="0" w:space="0" w:color="auto"/>
            <w:left w:val="none" w:sz="0" w:space="0" w:color="auto"/>
            <w:bottom w:val="none" w:sz="0" w:space="0" w:color="auto"/>
            <w:right w:val="none" w:sz="0" w:space="0" w:color="auto"/>
          </w:divBdr>
        </w:div>
        <w:div w:id="1674069258">
          <w:marLeft w:val="0"/>
          <w:marRight w:val="0"/>
          <w:marTop w:val="0"/>
          <w:marBottom w:val="0"/>
          <w:divBdr>
            <w:top w:val="none" w:sz="0" w:space="0" w:color="auto"/>
            <w:left w:val="none" w:sz="0" w:space="0" w:color="auto"/>
            <w:bottom w:val="none" w:sz="0" w:space="0" w:color="auto"/>
            <w:right w:val="none" w:sz="0" w:space="0" w:color="auto"/>
          </w:divBdr>
        </w:div>
        <w:div w:id="2056850539">
          <w:marLeft w:val="0"/>
          <w:marRight w:val="0"/>
          <w:marTop w:val="0"/>
          <w:marBottom w:val="0"/>
          <w:divBdr>
            <w:top w:val="none" w:sz="0" w:space="0" w:color="auto"/>
            <w:left w:val="none" w:sz="0" w:space="0" w:color="auto"/>
            <w:bottom w:val="none" w:sz="0" w:space="0" w:color="auto"/>
            <w:right w:val="none" w:sz="0" w:space="0" w:color="auto"/>
          </w:divBdr>
        </w:div>
        <w:div w:id="1107627315">
          <w:marLeft w:val="0"/>
          <w:marRight w:val="0"/>
          <w:marTop w:val="0"/>
          <w:marBottom w:val="0"/>
          <w:divBdr>
            <w:top w:val="none" w:sz="0" w:space="0" w:color="auto"/>
            <w:left w:val="none" w:sz="0" w:space="0" w:color="auto"/>
            <w:bottom w:val="none" w:sz="0" w:space="0" w:color="auto"/>
            <w:right w:val="none" w:sz="0" w:space="0" w:color="auto"/>
          </w:divBdr>
        </w:div>
        <w:div w:id="1498686946">
          <w:marLeft w:val="0"/>
          <w:marRight w:val="0"/>
          <w:marTop w:val="0"/>
          <w:marBottom w:val="0"/>
          <w:divBdr>
            <w:top w:val="none" w:sz="0" w:space="0" w:color="auto"/>
            <w:left w:val="none" w:sz="0" w:space="0" w:color="auto"/>
            <w:bottom w:val="none" w:sz="0" w:space="0" w:color="auto"/>
            <w:right w:val="none" w:sz="0" w:space="0" w:color="auto"/>
          </w:divBdr>
        </w:div>
        <w:div w:id="642085087">
          <w:marLeft w:val="0"/>
          <w:marRight w:val="0"/>
          <w:marTop w:val="0"/>
          <w:marBottom w:val="0"/>
          <w:divBdr>
            <w:top w:val="none" w:sz="0" w:space="0" w:color="auto"/>
            <w:left w:val="none" w:sz="0" w:space="0" w:color="auto"/>
            <w:bottom w:val="none" w:sz="0" w:space="0" w:color="auto"/>
            <w:right w:val="none" w:sz="0" w:space="0" w:color="auto"/>
          </w:divBdr>
        </w:div>
      </w:divsChild>
    </w:div>
    <w:div w:id="1883445285">
      <w:bodyDiv w:val="1"/>
      <w:marLeft w:val="0"/>
      <w:marRight w:val="0"/>
      <w:marTop w:val="0"/>
      <w:marBottom w:val="0"/>
      <w:divBdr>
        <w:top w:val="none" w:sz="0" w:space="0" w:color="auto"/>
        <w:left w:val="none" w:sz="0" w:space="0" w:color="auto"/>
        <w:bottom w:val="none" w:sz="0" w:space="0" w:color="auto"/>
        <w:right w:val="none" w:sz="0" w:space="0" w:color="auto"/>
      </w:divBdr>
      <w:divsChild>
        <w:div w:id="627971984">
          <w:marLeft w:val="0"/>
          <w:marRight w:val="0"/>
          <w:marTop w:val="0"/>
          <w:marBottom w:val="0"/>
          <w:divBdr>
            <w:top w:val="none" w:sz="0" w:space="0" w:color="auto"/>
            <w:left w:val="none" w:sz="0" w:space="0" w:color="auto"/>
            <w:bottom w:val="none" w:sz="0" w:space="0" w:color="auto"/>
            <w:right w:val="none" w:sz="0" w:space="0" w:color="auto"/>
          </w:divBdr>
        </w:div>
        <w:div w:id="35735758">
          <w:marLeft w:val="0"/>
          <w:marRight w:val="0"/>
          <w:marTop w:val="0"/>
          <w:marBottom w:val="0"/>
          <w:divBdr>
            <w:top w:val="none" w:sz="0" w:space="0" w:color="auto"/>
            <w:left w:val="none" w:sz="0" w:space="0" w:color="auto"/>
            <w:bottom w:val="none" w:sz="0" w:space="0" w:color="auto"/>
            <w:right w:val="none" w:sz="0" w:space="0" w:color="auto"/>
          </w:divBdr>
        </w:div>
        <w:div w:id="444006618">
          <w:marLeft w:val="0"/>
          <w:marRight w:val="0"/>
          <w:marTop w:val="0"/>
          <w:marBottom w:val="0"/>
          <w:divBdr>
            <w:top w:val="none" w:sz="0" w:space="0" w:color="auto"/>
            <w:left w:val="none" w:sz="0" w:space="0" w:color="auto"/>
            <w:bottom w:val="none" w:sz="0" w:space="0" w:color="auto"/>
            <w:right w:val="none" w:sz="0" w:space="0" w:color="auto"/>
          </w:divBdr>
        </w:div>
        <w:div w:id="756051029">
          <w:marLeft w:val="0"/>
          <w:marRight w:val="0"/>
          <w:marTop w:val="0"/>
          <w:marBottom w:val="0"/>
          <w:divBdr>
            <w:top w:val="none" w:sz="0" w:space="0" w:color="auto"/>
            <w:left w:val="none" w:sz="0" w:space="0" w:color="auto"/>
            <w:bottom w:val="none" w:sz="0" w:space="0" w:color="auto"/>
            <w:right w:val="none" w:sz="0" w:space="0" w:color="auto"/>
          </w:divBdr>
        </w:div>
        <w:div w:id="832259708">
          <w:marLeft w:val="0"/>
          <w:marRight w:val="0"/>
          <w:marTop w:val="0"/>
          <w:marBottom w:val="0"/>
          <w:divBdr>
            <w:top w:val="none" w:sz="0" w:space="0" w:color="auto"/>
            <w:left w:val="none" w:sz="0" w:space="0" w:color="auto"/>
            <w:bottom w:val="none" w:sz="0" w:space="0" w:color="auto"/>
            <w:right w:val="none" w:sz="0" w:space="0" w:color="auto"/>
          </w:divBdr>
        </w:div>
        <w:div w:id="610550128">
          <w:marLeft w:val="0"/>
          <w:marRight w:val="0"/>
          <w:marTop w:val="0"/>
          <w:marBottom w:val="0"/>
          <w:divBdr>
            <w:top w:val="none" w:sz="0" w:space="0" w:color="auto"/>
            <w:left w:val="none" w:sz="0" w:space="0" w:color="auto"/>
            <w:bottom w:val="none" w:sz="0" w:space="0" w:color="auto"/>
            <w:right w:val="none" w:sz="0" w:space="0" w:color="auto"/>
          </w:divBdr>
        </w:div>
        <w:div w:id="2106412534">
          <w:marLeft w:val="0"/>
          <w:marRight w:val="0"/>
          <w:marTop w:val="0"/>
          <w:marBottom w:val="0"/>
          <w:divBdr>
            <w:top w:val="none" w:sz="0" w:space="0" w:color="auto"/>
            <w:left w:val="none" w:sz="0" w:space="0" w:color="auto"/>
            <w:bottom w:val="none" w:sz="0" w:space="0" w:color="auto"/>
            <w:right w:val="none" w:sz="0" w:space="0" w:color="auto"/>
          </w:divBdr>
        </w:div>
        <w:div w:id="1786583543">
          <w:marLeft w:val="0"/>
          <w:marRight w:val="0"/>
          <w:marTop w:val="0"/>
          <w:marBottom w:val="0"/>
          <w:divBdr>
            <w:top w:val="none" w:sz="0" w:space="0" w:color="auto"/>
            <w:left w:val="none" w:sz="0" w:space="0" w:color="auto"/>
            <w:bottom w:val="none" w:sz="0" w:space="0" w:color="auto"/>
            <w:right w:val="none" w:sz="0" w:space="0" w:color="auto"/>
          </w:divBdr>
        </w:div>
        <w:div w:id="760294677">
          <w:marLeft w:val="0"/>
          <w:marRight w:val="0"/>
          <w:marTop w:val="0"/>
          <w:marBottom w:val="0"/>
          <w:divBdr>
            <w:top w:val="none" w:sz="0" w:space="0" w:color="auto"/>
            <w:left w:val="none" w:sz="0" w:space="0" w:color="auto"/>
            <w:bottom w:val="none" w:sz="0" w:space="0" w:color="auto"/>
            <w:right w:val="none" w:sz="0" w:space="0" w:color="auto"/>
          </w:divBdr>
        </w:div>
        <w:div w:id="535773478">
          <w:marLeft w:val="0"/>
          <w:marRight w:val="0"/>
          <w:marTop w:val="0"/>
          <w:marBottom w:val="0"/>
          <w:divBdr>
            <w:top w:val="none" w:sz="0" w:space="0" w:color="auto"/>
            <w:left w:val="none" w:sz="0" w:space="0" w:color="auto"/>
            <w:bottom w:val="none" w:sz="0" w:space="0" w:color="auto"/>
            <w:right w:val="none" w:sz="0" w:space="0" w:color="auto"/>
          </w:divBdr>
        </w:div>
        <w:div w:id="1918901650">
          <w:marLeft w:val="0"/>
          <w:marRight w:val="0"/>
          <w:marTop w:val="0"/>
          <w:marBottom w:val="0"/>
          <w:divBdr>
            <w:top w:val="none" w:sz="0" w:space="0" w:color="auto"/>
            <w:left w:val="none" w:sz="0" w:space="0" w:color="auto"/>
            <w:bottom w:val="none" w:sz="0" w:space="0" w:color="auto"/>
            <w:right w:val="none" w:sz="0" w:space="0" w:color="auto"/>
          </w:divBdr>
        </w:div>
        <w:div w:id="1784684647">
          <w:marLeft w:val="0"/>
          <w:marRight w:val="0"/>
          <w:marTop w:val="0"/>
          <w:marBottom w:val="0"/>
          <w:divBdr>
            <w:top w:val="none" w:sz="0" w:space="0" w:color="auto"/>
            <w:left w:val="none" w:sz="0" w:space="0" w:color="auto"/>
            <w:bottom w:val="none" w:sz="0" w:space="0" w:color="auto"/>
            <w:right w:val="none" w:sz="0" w:space="0" w:color="auto"/>
          </w:divBdr>
        </w:div>
        <w:div w:id="862863591">
          <w:marLeft w:val="0"/>
          <w:marRight w:val="0"/>
          <w:marTop w:val="0"/>
          <w:marBottom w:val="0"/>
          <w:divBdr>
            <w:top w:val="none" w:sz="0" w:space="0" w:color="auto"/>
            <w:left w:val="none" w:sz="0" w:space="0" w:color="auto"/>
            <w:bottom w:val="none" w:sz="0" w:space="0" w:color="auto"/>
            <w:right w:val="none" w:sz="0" w:space="0" w:color="auto"/>
          </w:divBdr>
        </w:div>
        <w:div w:id="113601641">
          <w:marLeft w:val="0"/>
          <w:marRight w:val="0"/>
          <w:marTop w:val="0"/>
          <w:marBottom w:val="0"/>
          <w:divBdr>
            <w:top w:val="none" w:sz="0" w:space="0" w:color="auto"/>
            <w:left w:val="none" w:sz="0" w:space="0" w:color="auto"/>
            <w:bottom w:val="none" w:sz="0" w:space="0" w:color="auto"/>
            <w:right w:val="none" w:sz="0" w:space="0" w:color="auto"/>
          </w:divBdr>
        </w:div>
        <w:div w:id="856775133">
          <w:marLeft w:val="0"/>
          <w:marRight w:val="0"/>
          <w:marTop w:val="0"/>
          <w:marBottom w:val="0"/>
          <w:divBdr>
            <w:top w:val="none" w:sz="0" w:space="0" w:color="auto"/>
            <w:left w:val="none" w:sz="0" w:space="0" w:color="auto"/>
            <w:bottom w:val="none" w:sz="0" w:space="0" w:color="auto"/>
            <w:right w:val="none" w:sz="0" w:space="0" w:color="auto"/>
          </w:divBdr>
        </w:div>
        <w:div w:id="564948441">
          <w:marLeft w:val="0"/>
          <w:marRight w:val="0"/>
          <w:marTop w:val="0"/>
          <w:marBottom w:val="0"/>
          <w:divBdr>
            <w:top w:val="none" w:sz="0" w:space="0" w:color="auto"/>
            <w:left w:val="none" w:sz="0" w:space="0" w:color="auto"/>
            <w:bottom w:val="none" w:sz="0" w:space="0" w:color="auto"/>
            <w:right w:val="none" w:sz="0" w:space="0" w:color="auto"/>
          </w:divBdr>
        </w:div>
        <w:div w:id="1354649527">
          <w:marLeft w:val="0"/>
          <w:marRight w:val="0"/>
          <w:marTop w:val="0"/>
          <w:marBottom w:val="0"/>
          <w:divBdr>
            <w:top w:val="none" w:sz="0" w:space="0" w:color="auto"/>
            <w:left w:val="none" w:sz="0" w:space="0" w:color="auto"/>
            <w:bottom w:val="none" w:sz="0" w:space="0" w:color="auto"/>
            <w:right w:val="none" w:sz="0" w:space="0" w:color="auto"/>
          </w:divBdr>
        </w:div>
        <w:div w:id="1236550667">
          <w:marLeft w:val="0"/>
          <w:marRight w:val="0"/>
          <w:marTop w:val="0"/>
          <w:marBottom w:val="0"/>
          <w:divBdr>
            <w:top w:val="none" w:sz="0" w:space="0" w:color="auto"/>
            <w:left w:val="none" w:sz="0" w:space="0" w:color="auto"/>
            <w:bottom w:val="none" w:sz="0" w:space="0" w:color="auto"/>
            <w:right w:val="none" w:sz="0" w:space="0" w:color="auto"/>
          </w:divBdr>
        </w:div>
        <w:div w:id="1677537955">
          <w:marLeft w:val="0"/>
          <w:marRight w:val="0"/>
          <w:marTop w:val="0"/>
          <w:marBottom w:val="0"/>
          <w:divBdr>
            <w:top w:val="none" w:sz="0" w:space="0" w:color="auto"/>
            <w:left w:val="none" w:sz="0" w:space="0" w:color="auto"/>
            <w:bottom w:val="none" w:sz="0" w:space="0" w:color="auto"/>
            <w:right w:val="none" w:sz="0" w:space="0" w:color="auto"/>
          </w:divBdr>
        </w:div>
        <w:div w:id="810824341">
          <w:marLeft w:val="0"/>
          <w:marRight w:val="0"/>
          <w:marTop w:val="0"/>
          <w:marBottom w:val="0"/>
          <w:divBdr>
            <w:top w:val="none" w:sz="0" w:space="0" w:color="auto"/>
            <w:left w:val="none" w:sz="0" w:space="0" w:color="auto"/>
            <w:bottom w:val="none" w:sz="0" w:space="0" w:color="auto"/>
            <w:right w:val="none" w:sz="0" w:space="0" w:color="auto"/>
          </w:divBdr>
        </w:div>
        <w:div w:id="464927793">
          <w:marLeft w:val="0"/>
          <w:marRight w:val="0"/>
          <w:marTop w:val="0"/>
          <w:marBottom w:val="0"/>
          <w:divBdr>
            <w:top w:val="none" w:sz="0" w:space="0" w:color="auto"/>
            <w:left w:val="none" w:sz="0" w:space="0" w:color="auto"/>
            <w:bottom w:val="none" w:sz="0" w:space="0" w:color="auto"/>
            <w:right w:val="none" w:sz="0" w:space="0" w:color="auto"/>
          </w:divBdr>
        </w:div>
        <w:div w:id="733968993">
          <w:marLeft w:val="0"/>
          <w:marRight w:val="0"/>
          <w:marTop w:val="0"/>
          <w:marBottom w:val="0"/>
          <w:divBdr>
            <w:top w:val="none" w:sz="0" w:space="0" w:color="auto"/>
            <w:left w:val="none" w:sz="0" w:space="0" w:color="auto"/>
            <w:bottom w:val="none" w:sz="0" w:space="0" w:color="auto"/>
            <w:right w:val="none" w:sz="0" w:space="0" w:color="auto"/>
          </w:divBdr>
        </w:div>
        <w:div w:id="222453454">
          <w:marLeft w:val="0"/>
          <w:marRight w:val="0"/>
          <w:marTop w:val="0"/>
          <w:marBottom w:val="0"/>
          <w:divBdr>
            <w:top w:val="none" w:sz="0" w:space="0" w:color="auto"/>
            <w:left w:val="none" w:sz="0" w:space="0" w:color="auto"/>
            <w:bottom w:val="none" w:sz="0" w:space="0" w:color="auto"/>
            <w:right w:val="none" w:sz="0" w:space="0" w:color="auto"/>
          </w:divBdr>
        </w:div>
        <w:div w:id="786461940">
          <w:marLeft w:val="0"/>
          <w:marRight w:val="0"/>
          <w:marTop w:val="0"/>
          <w:marBottom w:val="0"/>
          <w:divBdr>
            <w:top w:val="none" w:sz="0" w:space="0" w:color="auto"/>
            <w:left w:val="none" w:sz="0" w:space="0" w:color="auto"/>
            <w:bottom w:val="none" w:sz="0" w:space="0" w:color="auto"/>
            <w:right w:val="none" w:sz="0" w:space="0" w:color="auto"/>
          </w:divBdr>
        </w:div>
        <w:div w:id="1504468374">
          <w:marLeft w:val="0"/>
          <w:marRight w:val="0"/>
          <w:marTop w:val="0"/>
          <w:marBottom w:val="0"/>
          <w:divBdr>
            <w:top w:val="none" w:sz="0" w:space="0" w:color="auto"/>
            <w:left w:val="none" w:sz="0" w:space="0" w:color="auto"/>
            <w:bottom w:val="none" w:sz="0" w:space="0" w:color="auto"/>
            <w:right w:val="none" w:sz="0" w:space="0" w:color="auto"/>
          </w:divBdr>
        </w:div>
        <w:div w:id="1465733723">
          <w:marLeft w:val="0"/>
          <w:marRight w:val="0"/>
          <w:marTop w:val="0"/>
          <w:marBottom w:val="0"/>
          <w:divBdr>
            <w:top w:val="none" w:sz="0" w:space="0" w:color="auto"/>
            <w:left w:val="none" w:sz="0" w:space="0" w:color="auto"/>
            <w:bottom w:val="none" w:sz="0" w:space="0" w:color="auto"/>
            <w:right w:val="none" w:sz="0" w:space="0" w:color="auto"/>
          </w:divBdr>
        </w:div>
        <w:div w:id="531311023">
          <w:marLeft w:val="0"/>
          <w:marRight w:val="0"/>
          <w:marTop w:val="0"/>
          <w:marBottom w:val="0"/>
          <w:divBdr>
            <w:top w:val="none" w:sz="0" w:space="0" w:color="auto"/>
            <w:left w:val="none" w:sz="0" w:space="0" w:color="auto"/>
            <w:bottom w:val="none" w:sz="0" w:space="0" w:color="auto"/>
            <w:right w:val="none" w:sz="0" w:space="0" w:color="auto"/>
          </w:divBdr>
        </w:div>
        <w:div w:id="678777552">
          <w:marLeft w:val="0"/>
          <w:marRight w:val="0"/>
          <w:marTop w:val="0"/>
          <w:marBottom w:val="0"/>
          <w:divBdr>
            <w:top w:val="none" w:sz="0" w:space="0" w:color="auto"/>
            <w:left w:val="none" w:sz="0" w:space="0" w:color="auto"/>
            <w:bottom w:val="none" w:sz="0" w:space="0" w:color="auto"/>
            <w:right w:val="none" w:sz="0" w:space="0" w:color="auto"/>
          </w:divBdr>
        </w:div>
        <w:div w:id="99221648">
          <w:marLeft w:val="0"/>
          <w:marRight w:val="0"/>
          <w:marTop w:val="0"/>
          <w:marBottom w:val="0"/>
          <w:divBdr>
            <w:top w:val="none" w:sz="0" w:space="0" w:color="auto"/>
            <w:left w:val="none" w:sz="0" w:space="0" w:color="auto"/>
            <w:bottom w:val="none" w:sz="0" w:space="0" w:color="auto"/>
            <w:right w:val="none" w:sz="0" w:space="0" w:color="auto"/>
          </w:divBdr>
        </w:div>
        <w:div w:id="686100112">
          <w:marLeft w:val="0"/>
          <w:marRight w:val="0"/>
          <w:marTop w:val="0"/>
          <w:marBottom w:val="0"/>
          <w:divBdr>
            <w:top w:val="none" w:sz="0" w:space="0" w:color="auto"/>
            <w:left w:val="none" w:sz="0" w:space="0" w:color="auto"/>
            <w:bottom w:val="none" w:sz="0" w:space="0" w:color="auto"/>
            <w:right w:val="none" w:sz="0" w:space="0" w:color="auto"/>
          </w:divBdr>
        </w:div>
        <w:div w:id="1192501498">
          <w:marLeft w:val="0"/>
          <w:marRight w:val="0"/>
          <w:marTop w:val="0"/>
          <w:marBottom w:val="0"/>
          <w:divBdr>
            <w:top w:val="none" w:sz="0" w:space="0" w:color="auto"/>
            <w:left w:val="none" w:sz="0" w:space="0" w:color="auto"/>
            <w:bottom w:val="none" w:sz="0" w:space="0" w:color="auto"/>
            <w:right w:val="none" w:sz="0" w:space="0" w:color="auto"/>
          </w:divBdr>
        </w:div>
        <w:div w:id="362632848">
          <w:marLeft w:val="0"/>
          <w:marRight w:val="0"/>
          <w:marTop w:val="0"/>
          <w:marBottom w:val="0"/>
          <w:divBdr>
            <w:top w:val="none" w:sz="0" w:space="0" w:color="auto"/>
            <w:left w:val="none" w:sz="0" w:space="0" w:color="auto"/>
            <w:bottom w:val="none" w:sz="0" w:space="0" w:color="auto"/>
            <w:right w:val="none" w:sz="0" w:space="0" w:color="auto"/>
          </w:divBdr>
        </w:div>
        <w:div w:id="1810127179">
          <w:marLeft w:val="0"/>
          <w:marRight w:val="0"/>
          <w:marTop w:val="0"/>
          <w:marBottom w:val="0"/>
          <w:divBdr>
            <w:top w:val="none" w:sz="0" w:space="0" w:color="auto"/>
            <w:left w:val="none" w:sz="0" w:space="0" w:color="auto"/>
            <w:bottom w:val="none" w:sz="0" w:space="0" w:color="auto"/>
            <w:right w:val="none" w:sz="0" w:space="0" w:color="auto"/>
          </w:divBdr>
        </w:div>
        <w:div w:id="334112177">
          <w:marLeft w:val="0"/>
          <w:marRight w:val="0"/>
          <w:marTop w:val="0"/>
          <w:marBottom w:val="0"/>
          <w:divBdr>
            <w:top w:val="none" w:sz="0" w:space="0" w:color="auto"/>
            <w:left w:val="none" w:sz="0" w:space="0" w:color="auto"/>
            <w:bottom w:val="none" w:sz="0" w:space="0" w:color="auto"/>
            <w:right w:val="none" w:sz="0" w:space="0" w:color="auto"/>
          </w:divBdr>
        </w:div>
        <w:div w:id="2105615072">
          <w:marLeft w:val="0"/>
          <w:marRight w:val="0"/>
          <w:marTop w:val="0"/>
          <w:marBottom w:val="0"/>
          <w:divBdr>
            <w:top w:val="none" w:sz="0" w:space="0" w:color="auto"/>
            <w:left w:val="none" w:sz="0" w:space="0" w:color="auto"/>
            <w:bottom w:val="none" w:sz="0" w:space="0" w:color="auto"/>
            <w:right w:val="none" w:sz="0" w:space="0" w:color="auto"/>
          </w:divBdr>
        </w:div>
      </w:divsChild>
    </w:div>
    <w:div w:id="2097706674">
      <w:bodyDiv w:val="1"/>
      <w:marLeft w:val="0"/>
      <w:marRight w:val="0"/>
      <w:marTop w:val="0"/>
      <w:marBottom w:val="0"/>
      <w:divBdr>
        <w:top w:val="none" w:sz="0" w:space="0" w:color="auto"/>
        <w:left w:val="none" w:sz="0" w:space="0" w:color="auto"/>
        <w:bottom w:val="none" w:sz="0" w:space="0" w:color="auto"/>
        <w:right w:val="none" w:sz="0" w:space="0" w:color="auto"/>
      </w:divBdr>
      <w:divsChild>
        <w:div w:id="1495293952">
          <w:marLeft w:val="0"/>
          <w:marRight w:val="0"/>
          <w:marTop w:val="0"/>
          <w:marBottom w:val="0"/>
          <w:divBdr>
            <w:top w:val="none" w:sz="0" w:space="0" w:color="auto"/>
            <w:left w:val="none" w:sz="0" w:space="0" w:color="auto"/>
            <w:bottom w:val="none" w:sz="0" w:space="0" w:color="auto"/>
            <w:right w:val="none" w:sz="0" w:space="0" w:color="auto"/>
          </w:divBdr>
        </w:div>
        <w:div w:id="354960751">
          <w:marLeft w:val="0"/>
          <w:marRight w:val="0"/>
          <w:marTop w:val="0"/>
          <w:marBottom w:val="0"/>
          <w:divBdr>
            <w:top w:val="none" w:sz="0" w:space="0" w:color="auto"/>
            <w:left w:val="none" w:sz="0" w:space="0" w:color="auto"/>
            <w:bottom w:val="none" w:sz="0" w:space="0" w:color="auto"/>
            <w:right w:val="none" w:sz="0" w:space="0" w:color="auto"/>
          </w:divBdr>
        </w:div>
        <w:div w:id="1506626402">
          <w:marLeft w:val="0"/>
          <w:marRight w:val="0"/>
          <w:marTop w:val="0"/>
          <w:marBottom w:val="0"/>
          <w:divBdr>
            <w:top w:val="none" w:sz="0" w:space="0" w:color="auto"/>
            <w:left w:val="none" w:sz="0" w:space="0" w:color="auto"/>
            <w:bottom w:val="none" w:sz="0" w:space="0" w:color="auto"/>
            <w:right w:val="none" w:sz="0" w:space="0" w:color="auto"/>
          </w:divBdr>
        </w:div>
        <w:div w:id="328099531">
          <w:marLeft w:val="0"/>
          <w:marRight w:val="0"/>
          <w:marTop w:val="0"/>
          <w:marBottom w:val="0"/>
          <w:divBdr>
            <w:top w:val="none" w:sz="0" w:space="0" w:color="auto"/>
            <w:left w:val="none" w:sz="0" w:space="0" w:color="auto"/>
            <w:bottom w:val="none" w:sz="0" w:space="0" w:color="auto"/>
            <w:right w:val="none" w:sz="0" w:space="0" w:color="auto"/>
          </w:divBdr>
        </w:div>
        <w:div w:id="608203993">
          <w:marLeft w:val="0"/>
          <w:marRight w:val="0"/>
          <w:marTop w:val="0"/>
          <w:marBottom w:val="0"/>
          <w:divBdr>
            <w:top w:val="none" w:sz="0" w:space="0" w:color="auto"/>
            <w:left w:val="none" w:sz="0" w:space="0" w:color="auto"/>
            <w:bottom w:val="none" w:sz="0" w:space="0" w:color="auto"/>
            <w:right w:val="none" w:sz="0" w:space="0" w:color="auto"/>
          </w:divBdr>
        </w:div>
        <w:div w:id="1609388725">
          <w:marLeft w:val="0"/>
          <w:marRight w:val="0"/>
          <w:marTop w:val="0"/>
          <w:marBottom w:val="0"/>
          <w:divBdr>
            <w:top w:val="none" w:sz="0" w:space="0" w:color="auto"/>
            <w:left w:val="none" w:sz="0" w:space="0" w:color="auto"/>
            <w:bottom w:val="none" w:sz="0" w:space="0" w:color="auto"/>
            <w:right w:val="none" w:sz="0" w:space="0" w:color="auto"/>
          </w:divBdr>
        </w:div>
        <w:div w:id="407576369">
          <w:marLeft w:val="0"/>
          <w:marRight w:val="0"/>
          <w:marTop w:val="0"/>
          <w:marBottom w:val="0"/>
          <w:divBdr>
            <w:top w:val="none" w:sz="0" w:space="0" w:color="auto"/>
            <w:left w:val="none" w:sz="0" w:space="0" w:color="auto"/>
            <w:bottom w:val="none" w:sz="0" w:space="0" w:color="auto"/>
            <w:right w:val="none" w:sz="0" w:space="0" w:color="auto"/>
          </w:divBdr>
        </w:div>
        <w:div w:id="953093069">
          <w:marLeft w:val="0"/>
          <w:marRight w:val="0"/>
          <w:marTop w:val="0"/>
          <w:marBottom w:val="0"/>
          <w:divBdr>
            <w:top w:val="none" w:sz="0" w:space="0" w:color="auto"/>
            <w:left w:val="none" w:sz="0" w:space="0" w:color="auto"/>
            <w:bottom w:val="none" w:sz="0" w:space="0" w:color="auto"/>
            <w:right w:val="none" w:sz="0" w:space="0" w:color="auto"/>
          </w:divBdr>
        </w:div>
        <w:div w:id="1403674736">
          <w:marLeft w:val="0"/>
          <w:marRight w:val="0"/>
          <w:marTop w:val="0"/>
          <w:marBottom w:val="0"/>
          <w:divBdr>
            <w:top w:val="none" w:sz="0" w:space="0" w:color="auto"/>
            <w:left w:val="none" w:sz="0" w:space="0" w:color="auto"/>
            <w:bottom w:val="none" w:sz="0" w:space="0" w:color="auto"/>
            <w:right w:val="none" w:sz="0" w:space="0" w:color="auto"/>
          </w:divBdr>
        </w:div>
        <w:div w:id="1522016252">
          <w:marLeft w:val="0"/>
          <w:marRight w:val="0"/>
          <w:marTop w:val="0"/>
          <w:marBottom w:val="0"/>
          <w:divBdr>
            <w:top w:val="none" w:sz="0" w:space="0" w:color="auto"/>
            <w:left w:val="none" w:sz="0" w:space="0" w:color="auto"/>
            <w:bottom w:val="none" w:sz="0" w:space="0" w:color="auto"/>
            <w:right w:val="none" w:sz="0" w:space="0" w:color="auto"/>
          </w:divBdr>
        </w:div>
        <w:div w:id="611280800">
          <w:marLeft w:val="0"/>
          <w:marRight w:val="0"/>
          <w:marTop w:val="0"/>
          <w:marBottom w:val="0"/>
          <w:divBdr>
            <w:top w:val="none" w:sz="0" w:space="0" w:color="auto"/>
            <w:left w:val="none" w:sz="0" w:space="0" w:color="auto"/>
            <w:bottom w:val="none" w:sz="0" w:space="0" w:color="auto"/>
            <w:right w:val="none" w:sz="0" w:space="0" w:color="auto"/>
          </w:divBdr>
        </w:div>
        <w:div w:id="430393313">
          <w:marLeft w:val="0"/>
          <w:marRight w:val="0"/>
          <w:marTop w:val="0"/>
          <w:marBottom w:val="0"/>
          <w:divBdr>
            <w:top w:val="none" w:sz="0" w:space="0" w:color="auto"/>
            <w:left w:val="none" w:sz="0" w:space="0" w:color="auto"/>
            <w:bottom w:val="none" w:sz="0" w:space="0" w:color="auto"/>
            <w:right w:val="none" w:sz="0" w:space="0" w:color="auto"/>
          </w:divBdr>
        </w:div>
        <w:div w:id="354578288">
          <w:marLeft w:val="0"/>
          <w:marRight w:val="0"/>
          <w:marTop w:val="0"/>
          <w:marBottom w:val="0"/>
          <w:divBdr>
            <w:top w:val="none" w:sz="0" w:space="0" w:color="auto"/>
            <w:left w:val="none" w:sz="0" w:space="0" w:color="auto"/>
            <w:bottom w:val="none" w:sz="0" w:space="0" w:color="auto"/>
            <w:right w:val="none" w:sz="0" w:space="0" w:color="auto"/>
          </w:divBdr>
        </w:div>
        <w:div w:id="1450588833">
          <w:marLeft w:val="0"/>
          <w:marRight w:val="0"/>
          <w:marTop w:val="0"/>
          <w:marBottom w:val="0"/>
          <w:divBdr>
            <w:top w:val="none" w:sz="0" w:space="0" w:color="auto"/>
            <w:left w:val="none" w:sz="0" w:space="0" w:color="auto"/>
            <w:bottom w:val="none" w:sz="0" w:space="0" w:color="auto"/>
            <w:right w:val="none" w:sz="0" w:space="0" w:color="auto"/>
          </w:divBdr>
        </w:div>
        <w:div w:id="1235436449">
          <w:marLeft w:val="0"/>
          <w:marRight w:val="0"/>
          <w:marTop w:val="0"/>
          <w:marBottom w:val="0"/>
          <w:divBdr>
            <w:top w:val="none" w:sz="0" w:space="0" w:color="auto"/>
            <w:left w:val="none" w:sz="0" w:space="0" w:color="auto"/>
            <w:bottom w:val="none" w:sz="0" w:space="0" w:color="auto"/>
            <w:right w:val="none" w:sz="0" w:space="0" w:color="auto"/>
          </w:divBdr>
        </w:div>
        <w:div w:id="28729944">
          <w:marLeft w:val="0"/>
          <w:marRight w:val="0"/>
          <w:marTop w:val="0"/>
          <w:marBottom w:val="0"/>
          <w:divBdr>
            <w:top w:val="none" w:sz="0" w:space="0" w:color="auto"/>
            <w:left w:val="none" w:sz="0" w:space="0" w:color="auto"/>
            <w:bottom w:val="none" w:sz="0" w:space="0" w:color="auto"/>
            <w:right w:val="none" w:sz="0" w:space="0" w:color="auto"/>
          </w:divBdr>
        </w:div>
        <w:div w:id="1983150472">
          <w:marLeft w:val="0"/>
          <w:marRight w:val="0"/>
          <w:marTop w:val="0"/>
          <w:marBottom w:val="0"/>
          <w:divBdr>
            <w:top w:val="none" w:sz="0" w:space="0" w:color="auto"/>
            <w:left w:val="none" w:sz="0" w:space="0" w:color="auto"/>
            <w:bottom w:val="none" w:sz="0" w:space="0" w:color="auto"/>
            <w:right w:val="none" w:sz="0" w:space="0" w:color="auto"/>
          </w:divBdr>
        </w:div>
        <w:div w:id="2072848589">
          <w:marLeft w:val="0"/>
          <w:marRight w:val="0"/>
          <w:marTop w:val="0"/>
          <w:marBottom w:val="0"/>
          <w:divBdr>
            <w:top w:val="none" w:sz="0" w:space="0" w:color="auto"/>
            <w:left w:val="none" w:sz="0" w:space="0" w:color="auto"/>
            <w:bottom w:val="none" w:sz="0" w:space="0" w:color="auto"/>
            <w:right w:val="none" w:sz="0" w:space="0" w:color="auto"/>
          </w:divBdr>
        </w:div>
        <w:div w:id="1132089137">
          <w:marLeft w:val="0"/>
          <w:marRight w:val="0"/>
          <w:marTop w:val="0"/>
          <w:marBottom w:val="0"/>
          <w:divBdr>
            <w:top w:val="none" w:sz="0" w:space="0" w:color="auto"/>
            <w:left w:val="none" w:sz="0" w:space="0" w:color="auto"/>
            <w:bottom w:val="none" w:sz="0" w:space="0" w:color="auto"/>
            <w:right w:val="none" w:sz="0" w:space="0" w:color="auto"/>
          </w:divBdr>
        </w:div>
        <w:div w:id="894580868">
          <w:marLeft w:val="0"/>
          <w:marRight w:val="0"/>
          <w:marTop w:val="0"/>
          <w:marBottom w:val="0"/>
          <w:divBdr>
            <w:top w:val="none" w:sz="0" w:space="0" w:color="auto"/>
            <w:left w:val="none" w:sz="0" w:space="0" w:color="auto"/>
            <w:bottom w:val="none" w:sz="0" w:space="0" w:color="auto"/>
            <w:right w:val="none" w:sz="0" w:space="0" w:color="auto"/>
          </w:divBdr>
        </w:div>
        <w:div w:id="1042099692">
          <w:marLeft w:val="0"/>
          <w:marRight w:val="0"/>
          <w:marTop w:val="0"/>
          <w:marBottom w:val="0"/>
          <w:divBdr>
            <w:top w:val="none" w:sz="0" w:space="0" w:color="auto"/>
            <w:left w:val="none" w:sz="0" w:space="0" w:color="auto"/>
            <w:bottom w:val="none" w:sz="0" w:space="0" w:color="auto"/>
            <w:right w:val="none" w:sz="0" w:space="0" w:color="auto"/>
          </w:divBdr>
        </w:div>
        <w:div w:id="964048492">
          <w:marLeft w:val="0"/>
          <w:marRight w:val="0"/>
          <w:marTop w:val="0"/>
          <w:marBottom w:val="0"/>
          <w:divBdr>
            <w:top w:val="none" w:sz="0" w:space="0" w:color="auto"/>
            <w:left w:val="none" w:sz="0" w:space="0" w:color="auto"/>
            <w:bottom w:val="none" w:sz="0" w:space="0" w:color="auto"/>
            <w:right w:val="none" w:sz="0" w:space="0" w:color="auto"/>
          </w:divBdr>
        </w:div>
        <w:div w:id="1516993060">
          <w:marLeft w:val="0"/>
          <w:marRight w:val="0"/>
          <w:marTop w:val="0"/>
          <w:marBottom w:val="0"/>
          <w:divBdr>
            <w:top w:val="none" w:sz="0" w:space="0" w:color="auto"/>
            <w:left w:val="none" w:sz="0" w:space="0" w:color="auto"/>
            <w:bottom w:val="none" w:sz="0" w:space="0" w:color="auto"/>
            <w:right w:val="none" w:sz="0" w:space="0" w:color="auto"/>
          </w:divBdr>
        </w:div>
        <w:div w:id="1871256487">
          <w:marLeft w:val="0"/>
          <w:marRight w:val="0"/>
          <w:marTop w:val="0"/>
          <w:marBottom w:val="0"/>
          <w:divBdr>
            <w:top w:val="none" w:sz="0" w:space="0" w:color="auto"/>
            <w:left w:val="none" w:sz="0" w:space="0" w:color="auto"/>
            <w:bottom w:val="none" w:sz="0" w:space="0" w:color="auto"/>
            <w:right w:val="none" w:sz="0" w:space="0" w:color="auto"/>
          </w:divBdr>
        </w:div>
        <w:div w:id="1806313131">
          <w:marLeft w:val="0"/>
          <w:marRight w:val="0"/>
          <w:marTop w:val="0"/>
          <w:marBottom w:val="0"/>
          <w:divBdr>
            <w:top w:val="none" w:sz="0" w:space="0" w:color="auto"/>
            <w:left w:val="none" w:sz="0" w:space="0" w:color="auto"/>
            <w:bottom w:val="none" w:sz="0" w:space="0" w:color="auto"/>
            <w:right w:val="none" w:sz="0" w:space="0" w:color="auto"/>
          </w:divBdr>
        </w:div>
        <w:div w:id="161942875">
          <w:marLeft w:val="0"/>
          <w:marRight w:val="0"/>
          <w:marTop w:val="0"/>
          <w:marBottom w:val="0"/>
          <w:divBdr>
            <w:top w:val="none" w:sz="0" w:space="0" w:color="auto"/>
            <w:left w:val="none" w:sz="0" w:space="0" w:color="auto"/>
            <w:bottom w:val="none" w:sz="0" w:space="0" w:color="auto"/>
            <w:right w:val="none" w:sz="0" w:space="0" w:color="auto"/>
          </w:divBdr>
        </w:div>
        <w:div w:id="1726175629">
          <w:marLeft w:val="0"/>
          <w:marRight w:val="0"/>
          <w:marTop w:val="0"/>
          <w:marBottom w:val="0"/>
          <w:divBdr>
            <w:top w:val="none" w:sz="0" w:space="0" w:color="auto"/>
            <w:left w:val="none" w:sz="0" w:space="0" w:color="auto"/>
            <w:bottom w:val="none" w:sz="0" w:space="0" w:color="auto"/>
            <w:right w:val="none" w:sz="0" w:space="0" w:color="auto"/>
          </w:divBdr>
        </w:div>
        <w:div w:id="573054241">
          <w:marLeft w:val="0"/>
          <w:marRight w:val="0"/>
          <w:marTop w:val="0"/>
          <w:marBottom w:val="0"/>
          <w:divBdr>
            <w:top w:val="none" w:sz="0" w:space="0" w:color="auto"/>
            <w:left w:val="none" w:sz="0" w:space="0" w:color="auto"/>
            <w:bottom w:val="none" w:sz="0" w:space="0" w:color="auto"/>
            <w:right w:val="none" w:sz="0" w:space="0" w:color="auto"/>
          </w:divBdr>
        </w:div>
        <w:div w:id="42759048">
          <w:marLeft w:val="0"/>
          <w:marRight w:val="0"/>
          <w:marTop w:val="0"/>
          <w:marBottom w:val="0"/>
          <w:divBdr>
            <w:top w:val="none" w:sz="0" w:space="0" w:color="auto"/>
            <w:left w:val="none" w:sz="0" w:space="0" w:color="auto"/>
            <w:bottom w:val="none" w:sz="0" w:space="0" w:color="auto"/>
            <w:right w:val="none" w:sz="0" w:space="0" w:color="auto"/>
          </w:divBdr>
        </w:div>
        <w:div w:id="1116830940">
          <w:marLeft w:val="0"/>
          <w:marRight w:val="0"/>
          <w:marTop w:val="0"/>
          <w:marBottom w:val="0"/>
          <w:divBdr>
            <w:top w:val="none" w:sz="0" w:space="0" w:color="auto"/>
            <w:left w:val="none" w:sz="0" w:space="0" w:color="auto"/>
            <w:bottom w:val="none" w:sz="0" w:space="0" w:color="auto"/>
            <w:right w:val="none" w:sz="0" w:space="0" w:color="auto"/>
          </w:divBdr>
        </w:div>
        <w:div w:id="399207797">
          <w:marLeft w:val="0"/>
          <w:marRight w:val="0"/>
          <w:marTop w:val="0"/>
          <w:marBottom w:val="0"/>
          <w:divBdr>
            <w:top w:val="none" w:sz="0" w:space="0" w:color="auto"/>
            <w:left w:val="none" w:sz="0" w:space="0" w:color="auto"/>
            <w:bottom w:val="none" w:sz="0" w:space="0" w:color="auto"/>
            <w:right w:val="none" w:sz="0" w:space="0" w:color="auto"/>
          </w:divBdr>
        </w:div>
        <w:div w:id="1267275093">
          <w:marLeft w:val="0"/>
          <w:marRight w:val="0"/>
          <w:marTop w:val="0"/>
          <w:marBottom w:val="0"/>
          <w:divBdr>
            <w:top w:val="none" w:sz="0" w:space="0" w:color="auto"/>
            <w:left w:val="none" w:sz="0" w:space="0" w:color="auto"/>
            <w:bottom w:val="none" w:sz="0" w:space="0" w:color="auto"/>
            <w:right w:val="none" w:sz="0" w:space="0" w:color="auto"/>
          </w:divBdr>
        </w:div>
        <w:div w:id="1532571669">
          <w:marLeft w:val="0"/>
          <w:marRight w:val="0"/>
          <w:marTop w:val="0"/>
          <w:marBottom w:val="0"/>
          <w:divBdr>
            <w:top w:val="none" w:sz="0" w:space="0" w:color="auto"/>
            <w:left w:val="none" w:sz="0" w:space="0" w:color="auto"/>
            <w:bottom w:val="none" w:sz="0" w:space="0" w:color="auto"/>
            <w:right w:val="none" w:sz="0" w:space="0" w:color="auto"/>
          </w:divBdr>
        </w:div>
        <w:div w:id="1263610034">
          <w:marLeft w:val="0"/>
          <w:marRight w:val="0"/>
          <w:marTop w:val="0"/>
          <w:marBottom w:val="0"/>
          <w:divBdr>
            <w:top w:val="none" w:sz="0" w:space="0" w:color="auto"/>
            <w:left w:val="none" w:sz="0" w:space="0" w:color="auto"/>
            <w:bottom w:val="none" w:sz="0" w:space="0" w:color="auto"/>
            <w:right w:val="none" w:sz="0" w:space="0" w:color="auto"/>
          </w:divBdr>
        </w:div>
        <w:div w:id="1324237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5181</Words>
  <Characters>32641</Characters>
  <Application>Microsoft Office Word</Application>
  <DocSecurity>0</DocSecurity>
  <Lines>272</Lines>
  <Paragraphs>75</Paragraphs>
  <ScaleCrop>false</ScaleCrop>
  <Company/>
  <LinksUpToDate>false</LinksUpToDate>
  <CharactersWithSpaces>37747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Sträuli Samuel (straesam)</dc:creator>
  <cp:keywords/>
  <dc:description/>
  <cp:lastModifiedBy>Sträuli Samuel (straesam)</cp:lastModifiedBy>
  <cp:revision>1</cp:revision>
  <dcterms:created xsi:type="dcterms:W3CDTF">2026-06-04T12:20:00Z</dcterms:created>
  <dcterms:modified xsi:type="dcterms:W3CDTF">2026-06-04T12:28:00Z</dcterms:modified>
</cp:coreProperties>
</file>