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590675" cy="609600"/>
            <wp:effectExtent b="0" l="0" r="0" t="0"/>
            <wp:docPr descr="Resultado de imagem para ufg logo" id="3" name="image1.jpg"/>
            <a:graphic>
              <a:graphicData uri="http://schemas.openxmlformats.org/drawingml/2006/picture">
                <pic:pic>
                  <pic:nvPicPr>
                    <pic:cNvPr descr="Resultado de imagem para ufg logo" id="0" name="image1.jpg"/>
                    <pic:cNvPicPr preferRelativeResize="0"/>
                  </pic:nvPicPr>
                  <pic:blipFill>
                    <a:blip r:embed="rId9"/>
                    <a:srcRect b="16552" l="7297" r="7474" t="1517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UNIVERSIDADE FEDERAL DE GOIÁS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Instituto de Informática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/>
      </w:pPr>
      <w:r w:rsidDel="00000000" w:rsidR="00000000" w:rsidRPr="00000000">
        <w:rPr>
          <w:smallCaps w:val="1"/>
          <w:rtl w:val="0"/>
        </w:rPr>
        <w:t xml:space="preserve">Especialização em Residência em Tecnologia da Informação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24"/>
        </w:rPr>
        <w:t>SAMUEL VICTOR OLIVEIRA LIMA</w:t>
      </w:r>
    </w:p>
    <w:p w:rsidR="00000000" w:rsidDel="00000000" w:rsidP="00000000" w:rsidRDefault="00000000" w:rsidRPr="00000000" w14:paraId="0000000D">
      <w:pPr>
        <w:spacing w:after="0" w:lineRule="auto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firstLine="0"/>
        <w:jc w:val="center"/>
        <w:rPr>
          <w:b w:val="1"/>
          <w:bCs w:val="1"/>
          <w:sz w:val="32"/>
          <w:szCs w:val="32"/>
        </w:rPr>
      </w:pPr>
      <w:r>
        <w:rPr>
          <w:rFonts w:ascii="Times New Roman" w:hAnsi="Times New Roman" w:eastAsia="Times New Roman"/>
          <w:b/>
          <w:color w:val="000000"/>
          <w:sz w:val="28"/>
        </w:rPr>
        <w:t>NOTIFY FLOW: RELATÓRIO DE IMPACTO, TESTES E VALIDAÇÃO DE UMA PLATAFORMA MULTICANAL DE NOTIFICAÇÕES CONSENTIDAS</w:t>
      </w:r>
    </w:p>
    <w:p w:rsidR="00000000" w:rsidDel="00000000" w:rsidP="00000000" w:rsidRDefault="00000000" w:rsidRPr="00000000" w14:paraId="00000015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firstLine="0"/>
        <w:jc w:val="center"/>
        <w:rPr>
          <w:smallCaps w:val="1"/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24"/>
        </w:rPr>
        <w:t>Relatório de Impacto — Gate 4: Testes e Validação</w:t>
      </w:r>
    </w:p>
    <w:p w:rsidR="00000000" w:rsidDel="00000000" w:rsidP="00000000" w:rsidRDefault="00000000" w:rsidRPr="00000000" w14:paraId="0000001F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ind w:firstLine="0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  <w:t>Goiânia</w:t>
      </w:r>
    </w:p>
    <w:p w:rsidR="00000000" w:rsidDel="00000000" w:rsidP="00000000" w:rsidRDefault="00000000" w:rsidRPr="00000000" w14:paraId="00000025">
      <w:pPr>
        <w:spacing w:after="0" w:lineRule="auto"/>
        <w:ind w:firstLine="0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  <w:t>2026</w:t>
      </w:r>
    </w:p>
    <w:p w:rsidR="00000000" w:rsidDel="00000000" w:rsidP="00000000" w:rsidRDefault="00000000" w:rsidRPr="00000000" w14:paraId="00000026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UNIVERSIDADE FEDERAL DE GOIÁS</w:t>
      </w:r>
    </w:p>
    <w:p w:rsidR="00000000" w:rsidDel="00000000" w:rsidP="00000000" w:rsidRDefault="00000000" w:rsidRPr="00000000" w14:paraId="00000027">
      <w:pPr>
        <w:spacing w:after="0" w:lineRule="auto"/>
        <w:jc w:val="center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Instituto de Informática</w:t>
      </w:r>
    </w:p>
    <w:p w:rsidR="00000000" w:rsidDel="00000000" w:rsidP="00000000" w:rsidRDefault="00000000" w:rsidRPr="00000000" w14:paraId="00000028">
      <w:pPr>
        <w:spacing w:after="0" w:lineRule="auto"/>
        <w:jc w:val="center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Especialização em Residência em Tecnologia da Informação</w:t>
      </w:r>
    </w:p>
    <w:p w:rsidR="00000000" w:rsidDel="00000000" w:rsidP="00000000" w:rsidRDefault="00000000" w:rsidRPr="00000000" w14:paraId="00000029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24"/>
        </w:rPr>
        <w:t>SAMUEL VICTOR OLIVEIRA LIMA</w:t>
      </w:r>
    </w:p>
    <w:p w:rsidR="00000000" w:rsidDel="00000000" w:rsidP="00000000" w:rsidRDefault="00000000" w:rsidRPr="00000000" w14:paraId="00000030">
      <w:pPr>
        <w:spacing w:after="0" w:lineRule="auto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</w:r>
    </w:p>
    <w:p w:rsidR="00000000" w:rsidDel="00000000" w:rsidP="00000000" w:rsidRDefault="00000000" w:rsidRPr="00000000" w14:paraId="00000031">
      <w:pPr>
        <w:spacing w:after="0" w:lineRule="auto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</w:r>
    </w:p>
    <w:p w:rsidR="00000000" w:rsidDel="00000000" w:rsidP="00000000" w:rsidRDefault="00000000" w:rsidRPr="00000000" w14:paraId="0000003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ind w:firstLine="0"/>
        <w:jc w:val="center"/>
        <w:rPr>
          <w:b w:val="1"/>
          <w:bCs w:val="1"/>
          <w:sz w:val="32"/>
          <w:szCs w:val="32"/>
        </w:rPr>
      </w:pPr>
      <w:r>
        <w:rPr>
          <w:rFonts w:ascii="Times New Roman" w:hAnsi="Times New Roman" w:eastAsia="Times New Roman"/>
          <w:b/>
          <w:color w:val="000000"/>
          <w:sz w:val="28"/>
        </w:rPr>
        <w:t>NOTIFY FLOW: RELATÓRIO DE IMPACTO, TESTES E VALIDAÇÃO DE UMA PLATAFORMA MULTICANAL DE NOTIFICAÇÕES CONSENTIDAS</w:t>
      </w:r>
    </w:p>
    <w:p w:rsidR="00000000" w:rsidDel="00000000" w:rsidP="00000000" w:rsidRDefault="00000000" w:rsidRPr="00000000" w14:paraId="00000038">
      <w:pPr>
        <w:tabs>
          <w:tab w:val="left" w:leader="none" w:pos="709"/>
        </w:tabs>
        <w:spacing w:after="36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709"/>
        </w:tabs>
        <w:spacing w:after="36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 w:line="240"/>
        <w:ind w:left="4252" w:firstLine="0"/>
        <w:jc w:val="both"/>
        <w:rPr/>
      </w:pPr>
      <w:r>
        <w:rPr>
          <w:rFonts w:ascii="Times New Roman" w:hAnsi="Times New Roman" w:eastAsia="Times New Roman"/>
          <w:color w:val="000000"/>
          <w:sz w:val="20"/>
        </w:rPr>
        <w:t>Relatório de Impacto apresentado ao Programa de Pós-Graduação Lato Sensu Especialização em Residência em Tecnologia da Informação do Instituto de Informática da Universidade Federal de Goiás, como requisito parcial para avaliação do Gate 4 — Testes e Validação do Projeto de Aplicação.</w:t>
      </w:r>
    </w:p>
    <w:p w:rsidR="00000000" w:rsidDel="00000000" w:rsidP="00000000" w:rsidRDefault="00000000" w:rsidRPr="00000000" w14:paraId="0000003B">
      <w:pPr>
        <w:spacing w:after="0" w:lineRule="auto"/>
        <w:ind w:left="382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240" w:lineRule="auto"/>
        <w:ind w:left="4252" w:firstLine="0"/>
        <w:jc w:val="left"/>
        <w:rPr/>
      </w:pPr>
      <w:r>
        <w:rPr>
          <w:rFonts w:ascii="Times New Roman" w:hAnsi="Times New Roman" w:eastAsia="Times New Roman"/>
          <w:color w:val="000000"/>
          <w:sz w:val="20"/>
        </w:rPr>
        <w:t>Orientador: Prof. Leonardo Oliveira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RESUMO EXECUTIVO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Este relatório apresenta o impacto, os testes e a validação do Notify Flow, um produto mínimo viável para administrar notificações consentidas por WhatsApp Cloud API, Telegram Bot API e e-mail. O problema enfrentado é a fragmentação entre canais, a dificuldade de comprovar consentimento e, sobretudo, o risco operacional de iniciar mensagens pelo WhatsApp sem observar as regras da API oficial e dos modelos aprovados pela Meta. A solução centraliza credenciais, contatos, convites, templates, conjuntos multicanal, campanhas, conversas e trilhas de auditoria, mantendo autorizações independentes por canal.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validação foi realizada por inspeção arquitetural, testes automatizados de unidade e contrato, análise estática, build de produção e verificação da configuração Docker Compose. Em 31 de julho de 2026, a API concluiu 305 testes e o frontend concluiu 169, totalizando 474 testes aprovados, sem falhas. O lint da API, o build Vite do frontend e a validação estática do Compose também foram aprovados. Os fluxos reais dos provedores foram experimentados pelo autor durante a construção do MVP; entretanto, não houve estudo formal de usabilidade com amostra externa, o que é assumido como limitação metodológica.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Os resultados indicam que o MVP está funcional para demonstração preliminar e que sua arquitetura reduz falhas em cascata: cada entrega possui estado próprio, tentativas com backoff exponencial, logs por contato e canal e reconciliação de recibos. O uso do WhatsApp Cloud substitui a dependência de automações não oficiais para notificações iniciadas pela organização, reduzindo o risco de bloqueio associado ao uso inadequado do WhatsApp Web. O impacto principal é dar ao contato o controle da autorização e, ao administrador, visibilidade operacional para enviar apenas por destinos identificados e permitidos.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Palavras-chave: notificações multicanal; WhatsApp Cloud API; Telegram Bot API; consentimento; LGPD; BullMQ; Redis; webhooks; observabilidade.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LISTA DE FIGURAS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Figura 1 — Arquitetura ponta a ponta do Notify Flow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Figura 2 — Jornada de consentimento e vínculo de identidades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Figura 3 — Área pública Meu Perfil em desktop e dispositivo móvel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Figura 4 — Preparação do WhatsApp Cloud para produção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Figura 5 — Ciclo de entrega confiável, tentativas e auditoria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LISTA DE QUADROS E TABELAS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Quadro 1 — Perfis e responsabilidades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Quadro 2 — Componentes da arquitetura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Quadro 3 — Regras de autorização por canal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Quadro 4 — Requisitos para produção no WhatsApp Cloud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Quadro 5 — Variáveis de ambiente por domínio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Tabela 1 — Evidências de testes e validações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Tabela 2 — Riscos, controles e limitações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Tabela 3 — Histórias de usuário do administrador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Tabela 4 — Histórias de usuário do contato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LISTA DE SIGLAS E ABREVIATURAS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440"/>
        <w:gridCol w:w="6912"/>
      </w:tblGrid>
      <w:tr>
        <w:trPr>
          <w:tblHeader w:val="true"/>
        </w:trPr>
        <w:tc>
          <w:tcPr>
            <w:tcW w:type="dxa" w:w="144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Sigla</w:t>
            </w:r>
          </w:p>
        </w:tc>
        <w:tc>
          <w:tcPr>
            <w:tcW w:type="dxa" w:w="69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API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Interface de Programação de Aplicações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CNPJ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Cadastro Nacional da Pessoa Jurídica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DTO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Objeto de Transferência de Dados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HMAC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Código de Autenticação de Mensagem com Hash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JWT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JSON Web Token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LGPD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Lei Geral de Proteção de Dados Pessoais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MVP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Produto Mínimo Viável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SMTP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Protocolo Simples de Transferência de Correio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TTL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Tempo de vida de um registro ou chave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WABA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Conta do WhatsApp Business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WSS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WebSocket Seguro</w:t>
            </w:r>
          </w:p>
        </w:tc>
      </w:tr>
    </w:tbl>
    <w:p/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SUMÁRIO</w:t>
      </w:r>
    </w:p>
    <w:p>
      <w:pPr>
        <w:ind w:firstLine="0"/>
      </w:pPr>
      <w:r>
        <w:fldChar w:fldCharType="begin"/>
        <w:instrText xml:space="preserve"> TOC \o "1-3" \h \z \u </w:instrText>
        <w:fldChar w:fldCharType="separate"/>
        <w:t>Atualize este sumário no Word ou Google Docs, se necessário.</w:t>
        <w:fldChar w:fldCharType="end"/>
      </w:r>
    </w:p>
    <w:tbl>
      <w:tblPr>
        <w:tblW w:type="dxa" w:w="8424"/>
        <w:jc w:val="center"/>
        <w:tblLayout w:type="fixed"/>
        <w:tblLook w:firstColumn="1" w:firstRow="1" w:lastColumn="0" w:lastRow="0" w:noHBand="0" w:noVBand="1" w:val="04A0"/>
        <w:tblInd w:w="170" w:type="dxa"/>
      </w:tblPr>
      <w:tblGrid>
        <w:gridCol w:w="8424"/>
      </w:tblGrid>
      <w:tr>
        <w:trPr>
          <w:tblHeader w:val="true"/>
        </w:trPr>
        <w:tc>
          <w:tcPr>
            <w:tcW w:type="dxa" w:w="8424"/>
            <w:shd w:fill="F5FAF9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087E73"/>
              <w:left w:val="single" w:sz="8" w:color="087E73"/>
              <w:bottom w:val="single" w:sz="8" w:color="087E73"/>
              <w:right w:val="single" w:sz="8" w:color="087E73"/>
            </w:tcBorders>
          </w:tcPr>
          <w:p>
            <w:pPr>
              <w:spacing w:after="80"/>
              <w:ind w:firstLine="0"/>
            </w:pPr>
            <w:r>
              <w:rPr>
                <w:rFonts w:ascii="Times New Roman" w:hAnsi="Times New Roman" w:eastAsia="Times New Roman"/>
                <w:b/>
                <w:color w:val="087E73"/>
                <w:sz w:val="22"/>
              </w:rPr>
              <w:t>Nota de compatibilidade</w:t>
            </w:r>
          </w:p>
          <w:p>
            <w:pPr>
              <w:spacing w:line="276" w:lineRule="auto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O arquivo foi preparado em DOCX para edição no Microsoft Word e importação no Google Docs. Ao abrir o documento, atualize o sumário automático caso o editor não o faça sozinho.</w:t>
            </w:r>
          </w:p>
        </w:tc>
      </w:tr>
    </w:tbl>
    <w:p/>
    <w:p>
      <w:pPr>
        <w:sectPr>
          <w:headerReference r:id="rId14" w:type="default"/>
          <w:footerReference r:id="rId15" w:type="default"/>
          <w:headerReference w:type="first" r:id="rId21"/>
          <w:headerReference w:type="even" r:id="rId22"/>
          <w:type w:val="nextPage"/>
          <w:pgSz w:h="15840" w:w="12240" w:orient="portrait"/>
          <w:pgMar w:bottom="1440" w:top="1440" w:left="1800" w:right="1800" w:header="720" w:footer="720"/>
          <w:pgNumType w:start="1"/>
          <w:titlePg/>
        </w:sectPr>
      </w:pP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 INTRODUÇÃO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1.1 Contexto e problema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Organizações que precisam avisar clientes, servidores ou participantes de programas frequentemente combinam mensageria instantânea e e-mail. Na prática, cada provedor possui identificadores, políticas, limites, modelos e formas de comprovar entrega diferentes. Quando esses detalhes são tratados por planilhas, scripts isolados ou sessões não oficiais, o administrador perde a visão de quem autorizou cada canal, por qual campanha a pessoa foi incluída e por que uma entrega falhou.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WhatsApp concentra a dor mais sensível. Fora da janela de atendimento iniciada pelo cliente, a organização deve utilizar modelos aprovados na conta remetente. A automação de uma sessão comum do WhatsApp Web não equivale à API oficial e, quando empregada para disparos, amplia o risco de restrição do número e não oferece as mesmas garantias de governança. O Notify Flow foi concebido para trabalhar com o WhatsApp Cloud API e deixar a conversa livre restrita à janela permitida, mantendo o Telegram e o e-mail como canais complementares.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segundo problema é o consentimento. A simples existência de um telefone, endereço de e-mail ou nome de usuário não prova que a pessoa deseja receber notificações. O sistema precisa capturar a interação real, vincular identidades sem duplicar contatos, registrar a origem da autorização, possibilitar revogação e impedir que uma entrega não autorizada seja silenciosamente tratada como sucesso.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1.2 Objetivo geral e objetivos específicos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objetivo geral é demonstrar a viabilidade de uma plataforma web responsiva que centraliza notificações multicanal consentidas, com filas resilientes, logs auditáveis, integrações oficiais e recursos de autogestão para o contato.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separar as configurações e permissões de WhatsApp Cloud, Telegram e e-mail;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permitir a criação amigável de templates por canal e de conjuntos multicanais;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registrar contatos por interação, convite ou cadastro administrativo sem criar destinos artificiais;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processar campanhas em fila, isolando a falha de um destinatário dos demais;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exibir mensagens, recibos, tentativas e erros em tempo real sem expor segredos;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oferecer ao contato uma área segura para consultar dados, vínculos e histórico;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documentar a execução local em Docker e a implantação por Blueprint no Render;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validar o MVP por testes automatizados e critérios de aceitação reproduzíveis.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1.3 Escopo do MVP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escopo abrange painel administrativo, página pública de convite, área Meu Perfil, API REST, comunicação em tempo real, persistência MongoDB, fila BullMQ sobre Redis, webhooks do WhatsApp Cloud e Telegram, SMTP do Gmail, Docker Compose e Blueprint do Render. O MVP não pretende substituir uma central completa de atendimento, um provedor de CRM ou a governança nativa da Meta. Também não aprova modelos no WhatsApp Manager: o administrador cadastra no Notify Flow o nome e a estrutura de um modelo que já existe na conta remetente.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solução atual não usa WhatsApp Web JS para iniciar notificações. As conversas exibidas no painel WhatsApp são constituídas pelos eventos recebidos no webhook oficial e pelas respostas enviadas pela Graph API. A plataforma também não importa um histórico completo da Meta; ela mantém o histórico que efetivamente atravessa sua própria integração.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1.4 Relevância e impacto esperado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valor do projeto não está apenas em enviar mensagens. Está em tornar explícito o caminho entre consentimento, identidade, template, fila, provedor e recibo. Esse encadeamento permite que o administrador explique por que determinado contato recebeu — ou deixou de receber — uma comunicação, ao mesmo tempo em que oferece ao titular mecanismos de consulta e revogação.</w:t>
      </w:r>
    </w:p>
    <w:tbl>
      <w:tblPr>
        <w:tblW w:type="dxa" w:w="8424"/>
        <w:jc w:val="center"/>
        <w:tblLayout w:type="fixed"/>
        <w:tblLook w:firstColumn="1" w:firstRow="1" w:lastColumn="0" w:lastRow="0" w:noHBand="0" w:noVBand="1" w:val="04A0"/>
        <w:tblInd w:w="170" w:type="dxa"/>
      </w:tblPr>
      <w:tblGrid>
        <w:gridCol w:w="8424"/>
      </w:tblGrid>
      <w:tr>
        <w:trPr>
          <w:tblHeader w:val="true"/>
        </w:trPr>
        <w:tc>
          <w:tcPr>
            <w:tcW w:type="dxa" w:w="8424"/>
            <w:shd w:fill="E8FAF6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1FB7A6"/>
              <w:left w:val="single" w:sz="8" w:color="1FB7A6"/>
              <w:bottom w:val="single" w:sz="8" w:color="1FB7A6"/>
              <w:right w:val="single" w:sz="8" w:color="1FB7A6"/>
            </w:tcBorders>
          </w:tcPr>
          <w:p>
            <w:pPr>
              <w:spacing w:after="80"/>
              <w:ind w:firstLine="0"/>
            </w:pPr>
            <w:r>
              <w:rPr>
                <w:rFonts w:ascii="Times New Roman" w:hAnsi="Times New Roman" w:eastAsia="Times New Roman"/>
                <w:b/>
                <w:color w:val="1FB7A6"/>
                <w:sz w:val="22"/>
              </w:rPr>
              <w:t>Hipótese de impacto</w:t>
            </w:r>
          </w:p>
          <w:p>
            <w:pPr>
              <w:spacing w:line="276" w:lineRule="auto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Ao concentrar notificações na API oficial do WhatsApp e registrar consentimento por canal, o Notify Flow reduz risco de bloqueio por automação inadequada, retrabalho operacional e envios indevidos; aumenta, ainda, a rastreabilidade de campanhas e a autonomia do contato.</w:t>
            </w:r>
          </w:p>
        </w:tc>
      </w:tr>
    </w:tbl>
    <w:p/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 FUNDAMENTAÇÃO TEÓRICA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2.1 Mensageria oficial, janela de atendimento e modelos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WhatsApp Business Platform diferencia mensagens de serviço, enviadas dentro de uma janela de atendimento iniciada pelo usuário, e mensagens iniciadas pela empresa. A janela dura 24 horas e é renovada quando o cliente envia uma nova mensagem. Nesse período, respostas livres de serviço não são cobradas segundo a página de preços consultada; fora dele, a empresa deve usar um modelo aprovado e está sujeita à cobrança por mensagem entregue, de acordo com mercado e categoria. As categorias atuais incluem marketing, utilidade, autenticação e serviço (META, 2026a).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modelo aprovado é um contrato entre a conta remetente e a Meta. Seu nome, idioma, componentes e parâmetros precisam corresponder ao artefato cadastrado no WhatsApp Manager. Por isso, o Notify Flow oferece formulários que montam o payload sem exigir JSON do usuário, mas não presume aprovação. Os itens de exemplo vinculados ao número de teste ou ao número de produção só funcionam quando o modelo homônimo está disponível para aquele remetente.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No Telegram, o bot pode responder a pessoas que iniciaram ou autorizaram a conversa. Ele não descobre o telefone arbitrariamente: o número só é confiável quando o próprio usuário compartilha o contato e o identificador do contato corresponde ao remetente. Já o e-mail utiliza SMTP autenticado e exige endereço válido, permissão ativa e, nos fluxos de atualização pelo chat, confirmação por código temporário.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2.2 Consentimento, minimização e direitos do titular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LGPD exige finalidade, adequação, necessidade, transparência, segurança e mecanismos para o exercício de direitos. No contexto do MVP, isso se traduz em autorizações independentes, termos apresentados na jornada pública, registro da fonte da decisão e proibição de inventar uma identidade de destino apenas porque outro canal foi autorizado. O contato pode consultar seus dados e entregas, revogar um canal, remover vínculos próprios com convites e sair de grupos mediante confirmação.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Os dados sensíveis de configuração são criptografados com AES-256-GCM e os identificadores pesquisáveis usam índices cegos baseados em HMAC. A exclusão do contato pseudonimiza registros históricos necessários à auditoria, em vez de prometer apagamento indiscriminado. Essa distinção é importante: a plataforma reduz exposição e preserva comprovação operacional, mas não implementa criptografia de ponta a ponta entre o administrador e os provedores.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2.3 Processamento assíncrono e observabilidade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Uma campanha multicanal é naturalmente sujeita a falhas parciais. O endereço pode estar inválido, o modelo pode não existir na conta, a janela do WhatsApp pode estar fechada, um token pode expirar ou o provedor pode responder com limitação temporária. Processar todos os destinatários na mesma requisição HTTP prolongaria o tempo de resposta e permitiria que uma falha interrompesse o conjunto.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BullMQ materializa cada entrega como um trabalho em Redis. O worker pode operar com concorrência controlada, repetir falhas transitórias e preservar o estado do restante da campanha. No Notify Flow, o worker usa concorrência cinco, até quatro tentativas e backoff exponencial a partir de dois segundos. O MongoDB mantém o registro durável da entrega e um processo de recuperação procura itens pendentes de enfileiramento. A semântica externa deve ser descrita como pelo menos uma vez em cenários ambíguos: idempotência e travas reduzem duplicidade local, mas nenhum sistema distribuído deve prometer exatamente uma entrega quando o provedor aceitou a mensagem e a resposta se perdeu.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Observabilidade significa correlacionar requisição, campanha, entrega e recibo sem registrar segredos. A API atribui requestId, redige campos sensíveis e mantém resultados por contato e canal. WebSockets transportam atualizações incrementais para o painel; webhooks transportam eventos dos provedores para a API. São mecanismos complementares: webhook é servidor a servidor; WebSocket mantém a interface conectada ao backend.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2.4 Contêineres e infraestrutura como código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Docker Compose descreve um ambiente local composto por MongoDB, Redis, API e frontend Nginx. O Blueprint do Render cumpre papel semelhante em produção, mas não replica o Compose literalmente: o frontend é um serviço web público, a API é um serviço privado e o Redis é um Key Value gerenciado. O MongoDB é fornecido externamente pelo Atlas. Variáveis não sensíveis podem ser declaradas no YAML; segredos devem ser gerados ou solicitados durante a sincronização, nunca versionados.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 METODOLOGIA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3.1 Estratégia de desenvolvimento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trabalho foi desenvolvido individualmente por Samuel Victor Oliveira Lima, com orientação de Leonardo Oliveira, por ciclos incrementais. Cada ciclo partiu de um fluxo observável — por exemplo, receber um webhook, autorizar um canal, criar uma campanha ou abrir o Meu Perfil — e foi refinado até que regras de negócio, interface, persistência e testes convergissem. O repositório separa `api` e `frontend`, possui documentação própria em cada diretório e mantém a infraestrutura local e de produção na raiz.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análise para este Gate utilizou quatro fontes de evidência: inspeção do código e dos artefatos de infraestrutura; execução das suítes automatizadas; build e análise estática; e testes manuais conduzidos pelo autor nos painéis de Meta, Telegram e Gmail durante a implementação. Nenhum dado de credencial foi reproduzido neste documento.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3.2 Perfis e histórias de usuário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584"/>
        <w:gridCol w:w="3384"/>
        <w:gridCol w:w="3384"/>
      </w:tblGrid>
      <w:tr>
        <w:trPr>
          <w:tblHeader w:val="true"/>
        </w:trPr>
        <w:tc>
          <w:tcPr>
            <w:tcW w:type="dxa" w:w="158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Perfil</w:t>
            </w:r>
          </w:p>
        </w:tc>
        <w:tc>
          <w:tcPr>
            <w:tcW w:type="dxa" w:w="338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Responsabilidade</w:t>
            </w:r>
          </w:p>
        </w:tc>
        <w:tc>
          <w:tcPr>
            <w:tcW w:type="dxa" w:w="338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Administrador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Configurar canais, contatos, templates, convites, campanhas e documentos.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Operar envios com rastreabilidade, sem que uma falha paralise os demais.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Contato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Iniciar a interação, consentir, consultar dados, vínculos e entregas.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Controlar seus canais e receber apenas comunicações autorizadas.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Provedor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Validar credenciais, aceitar mensagens e devolver eventos/recibos.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Aplicar políticas próprias; o Notify Flow não as contorna.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1 — Perfis e responsabilidades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As histórias completas estão no Apêndice A. Elas foram convertidas em critérios verificáveis, como impedir resposta livre fora da janela de 24 horas, ignorar um destinatário sem consentimento sem abortar a campanha e exigir confirmação para revogar vínculo ou permissão.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3.3 Estratégia de testes e critérios de aceitação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API foi testada com o test runner nativo do Node, isolando managers, controllers, middlewares, validações, criptografia, filas, webhooks e políticas de consentimento. O frontend foi testado com Vitest, cobrindo serviços HTTP, autenticação, sockets, contatos, convites, perfil, templates, campanhas, diálogos e navegação. O lint verificou consistência da API; o build Vite demonstrou que os módulos do frontend são empacotáveis para produção; e `docker compose config --quiet` validou a composição estática.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todas as suítes automatizadas devem encerrar sem falha;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nenhum segredo real deve aparecer no código, nos logs ou no relatório;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 webhook do WhatsApp deve validar challenge e assinatura HMAC;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 webhook do Telegram deve validar segredo e deduplicar update_id;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 campanha deve continuar quando um destinatário falha ou não autorizou o canal;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 resposta livre do WhatsApp deve respeitar a janela de 24 horas;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 contato deve poder revogar e consultar as próprias permissões;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 versão de produção do frontend deve ser compilada com sucesso.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3.4 Limitações metodológicas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Os testes automatizados são predominantemente unitários e de contrato, com dependências externas simuladas. Eles não substituem um teste ponta a ponta contínuo contra Atlas, Redis, SMTP, Telegram, Graph API e Render. Também não foi realizada pesquisa de usabilidade com participantes externos nem comparação estatística antes/depois. Assim, o impacto é analisado por evidência funcional, redução de risco arquitetural e capacidade de auditoria; não como ganho quantitativo já comprovado em uma organização.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 DESENVOLVIMENTO, RESULTADOS E DISCUSSÃO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 Visão geral da solução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Notify Flow é uma aplicação web responsiva composta por três superfícies. A primeira é o painel administrativo, no qual se configuram canais, contatos, templates, conjuntos, convites, campanhas e documentos legais. A segunda é a camada pública de convite, que apresenta termos e direciona o visitante ao canal selecionado. A terceira é o Meu Perfil, área em que o contato consulta seus dados, permissões, convites, grupos e histórico de entregas.</w:t>
      </w:r>
    </w:p>
    <w:p>
      <w:pPr>
        <w:keepNext/>
        <w:ind w:firstLine="0"/>
        <w:jc w:val="center"/>
      </w:pPr>
      <w:r>
        <w:drawing>
          <wp:inline>
            <wp:extent cx="5394960" cy="2997200"/>
            <wp:docPr id="4" name="Picture 4" descr="Imagem institucional ou figura técnica 2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arquitetu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1 — Arquitetura ponta a ponta do Notify Flow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512"/>
        <w:gridCol w:w="2664"/>
        <w:gridCol w:w="4176"/>
      </w:tblGrid>
      <w:tr>
        <w:trPr>
          <w:tblHeader w:val="true"/>
        </w:trPr>
        <w:tc>
          <w:tcPr>
            <w:tcW w:type="dxa" w:w="15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Componente</w:t>
            </w:r>
          </w:p>
        </w:tc>
        <w:tc>
          <w:tcPr>
            <w:tcW w:type="dxa" w:w="266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Tecnologia</w:t>
            </w:r>
          </w:p>
        </w:tc>
        <w:tc>
          <w:tcPr>
            <w:tcW w:type="dxa" w:w="4176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Responsabilidade principal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Frontend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Vue 3, Quasar, Pinia, Vue Router, Axios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Interface responsiva, sessões separadas, preview e administração.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Tempo real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Socket.IO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Eventos, mensagens, recibos, logs e central administrativa.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API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Node.js, Express, Zod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Rotas, validação, autorização, políticas e orquestração.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Dados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MongoDB, Mongoose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Contatos, consentimentos, campanhas, eventos e configurações criptografadas.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Fila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Redis/Valkey, BullMQ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Concorrência, tentativas, backoff e recuperação de entregas.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Provedores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Meta Graph API, Telegram Bot API, Gmail SMTP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Entrega e recepção de eventos externos.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Infraestrutura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Docker Compose, Nginx, Render Blueprint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Execução local e implantação reproduzível.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2 — Componentes da arquitetura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4.2 Fluxo orientado ao consentimento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contato pode chegar por convite, comando ou cadastro administrativo. Um clique de convite gera rastreabilidade, mas não autoriza sozinho o destino: a identidade real precisa ser observada pelo webhook ou confirmada por um mecanismo seguro. O WhatsApp e o Telegram reconhecem comandos configuráveis; o e-mail digitado em qualquer momento do chat inicia um desafio de validação com seis dígitos, válido por quinze minutos e reenviável após dois minutos.</w:t>
      </w:r>
    </w:p>
    <w:p>
      <w:pPr>
        <w:keepNext/>
        <w:ind w:firstLine="0"/>
        <w:jc w:val="center"/>
      </w:pPr>
      <w:r>
        <w:drawing>
          <wp:inline>
            <wp:extent cx="5394960" cy="2997200"/>
            <wp:docPr id="5" name="Picture 5" descr="Imagem institucional ou figura técnica 3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consentim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2 — Jornada de consentimento e vínculo de identidades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tbl>
      <w:tblPr>
        <w:tblStyle w:val="TableGrid"/>
        <w:tblW w:type="dxa" w:w="8496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512"/>
        <w:gridCol w:w="2952"/>
        <w:gridCol w:w="2448"/>
        <w:gridCol w:w="1584"/>
      </w:tblGrid>
      <w:tr>
        <w:trPr>
          <w:tblHeader w:val="true"/>
        </w:trPr>
        <w:tc>
          <w:tcPr>
            <w:tcW w:type="dxa" w:w="15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Canal</w:t>
            </w:r>
          </w:p>
        </w:tc>
        <w:tc>
          <w:tcPr>
            <w:tcW w:type="dxa" w:w="295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Como a identidade é confirmada</w:t>
            </w:r>
          </w:p>
        </w:tc>
        <w:tc>
          <w:tcPr>
            <w:tcW w:type="dxa" w:w="244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Como autoriza</w:t>
            </w:r>
          </w:p>
        </w:tc>
        <w:tc>
          <w:tcPr>
            <w:tcW w:type="dxa" w:w="158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Como revoga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WhatsApp Cloud</w:t>
            </w:r>
          </w:p>
        </w:tc>
        <w:tc>
          <w:tcPr>
            <w:tcW w:type="dxa" w:w="29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wa_id/telefone observado no webhook oficial.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Comando dinâmico, Meu Perfil ou decisão administrativa confirmada.</w:t>
            </w:r>
          </w:p>
        </w:tc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Meu Perfil ou painel administrativo com confirmação.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Telegram</w:t>
            </w:r>
          </w:p>
        </w:tc>
        <w:tc>
          <w:tcPr>
            <w:tcW w:type="dxa" w:w="29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chat_id recebido; telefone apenas por contact.user_id igual ao remetente.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Comando/invite assinado e interação com o bot.</w:t>
            </w:r>
          </w:p>
        </w:tc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Comando de parada, Meu Perfil ou administração.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E-mail</w:t>
            </w:r>
          </w:p>
        </w:tc>
        <w:tc>
          <w:tcPr>
            <w:tcW w:type="dxa" w:w="29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Código enviado ao endereço informado e validado no chat/perfil.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Ativado após validação ou confirmação no Meu Perfil.</w:t>
            </w:r>
          </w:p>
        </w:tc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Meu Perfil ou administração.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3 — Regras de autorização por canal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vínculo entre Telegram e WhatsApp só é consolidado quando existe evidência comum, como o telefone compartilhado pelo próprio usuário. O sistema consulta índices cegos para localizar um contato existente, transfere a identidade e evita criar perfis paralelos. Se outro canal ainda não possui identidade real, a autorização pode permanecer pendente, mas o sistema não fabrica um chat_id ou wa_id.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4.3 Funcionalidades do administrador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4.3.1 Início e configurações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tela inicial salva cada provedor separadamente. O WhatsApp recebe token, Phone Number ID, Business Account ID, número público, versão da Graph API, App Secret e verify token; o Telegram recebe token e URL pública, identifica o bot por getMe e registra o webhook; o Gmail recebe conta, senha de aplicativo e remetente. Os campos persistidos aparecem mascarados e só podem ser revelados por administrador autenticado, em rota sem cache, limitada e auditada. Também são configuráveis os comandos, respostas amigáveis, links úteis e textos de autorização.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4.3.2 Contatos, convites e grupos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administrador busca, cadastra, edita e pseudonimiza contatos, acompanha identidades técnicas e permissões e cria grupos. Convites possuem slug, identidade visual, QR Code e links por canal. Quando o contato chega por um convite, o vínculo é armazenado; a sincronização por convite cria ou atualiza grupos sem duplicar participantes. Um mesmo contato pode ter mais de um convite e, por isso, participar de mais de um segmento.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4.3.3 Templates e conjuntos multicanais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biblioteca oferece editores específicos. WhatsApp usa nome oficial, idioma, componentes e parâmetros; Telegram suporta texto, mídia validada e menus; e-mail suporta texto ou HTML sanitizado. Um conjunto agrega de um a três templates, no máximo um por canal, e pode ser associado a um convite. O mesmo template pode participar de vários conjuntos. Essa modelagem reduz divergência entre campanhas recorrentes e evita que o administrador manipule payloads JSON manualmente.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4.3.4 Notificações, canais e governança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campanha pode usar um conjunto, templates isolados ou uma mensagem rápida quando a política do canal permite. O administrador escolhe um, dois ou três canais, contatos ou grupos, preenche variáveis e revisa uma prévia antes de confirmar. As páginas de WhatsApp, Telegram e Gmail reúnem disparos específicos; WhatsApp e Telegram também mostram conversas em tempo real. Governança inclui termos e privacidade versionados, auditoria de links temporários e central de eventos administrativos com retenção de trinta dias.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4.4 Funcionalidades do contato e Meu Perfil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acesso do contato é separado da sessão administrativa. O link temporário é assinado, de uso único e possui validade configurável de até sete dias; desafios de código possuem tentativas e limites de reenvio. Os comandos `/login` e `/meu-perfil` podem gerar o link no WhatsApp ou Telegram. No perfil, o contato edita dados, ativa ou revoga e-mail, consulta identidades dos canais, remove seus próprios vínculos com convites, sai de grupos e acompanha apenas as entregas destinadas a ele.</w:t>
      </w:r>
    </w:p>
    <w:p>
      <w:pPr>
        <w:keepNext/>
        <w:ind w:firstLine="0"/>
        <w:jc w:val="center"/>
      </w:pPr>
      <w:r>
        <w:drawing>
          <wp:inline>
            <wp:extent cx="5394960" cy="4046220"/>
            <wp:docPr id="6" name="Picture 6" descr="Imagem institucional ou figura técnica 4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uperf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3 — Área pública Meu Perfil em desktop e dispositivo móvel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Arte visual do projeto Notify Flow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separação de sessões limita a superfície de privilégio: o link do contato não concede acesso ao painel administrativo. Da mesma forma, desativar um canal não elimina automaticamente o histórico já pseudonimizado, mas impede novas entregas naquele destino. A interface explicita convites e grupos para que o titular compreenda por que pode ser selecionado em uma campanha.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4.5 Integração com WhatsApp Cloud e Meta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4.5.1 Preparação empresarial e burocrática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implantação produtiva começa fora do código. A organização precisa de empresa real com dados consistentes, conta do Facebook protegida por autenticação em dois fatores, Página e portfólio empresarial no Business Manager/Meta Business Suite. A Meta pode solicitar atos constitutivos, licença, documento fiscal ou conta de serviço, todos legíveis, válidos e compatíveis com o nome, endereço e telefone informados. Não existe um prazo universal de aprovação; portanto, a verificação deve ser tratada como dependência de cronograma, e não como atividade concluída no dia da entrega.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Para reduzir risco operacional, recomenda-se um número dedicado, novo ou confirmado como elegível para o fluxo disponível na conta. A afirmação de que todo número precisa ser absolutamente inédito seria excessiva, pois migração e coexistência dependem dos recursos oferecidos pela Meta; entretanto, reutilizar um número já preso a outra conta sem preparar a migração é uma causa comum de falha de registro. O painel da conta é a autoridade sobre elegibilidade.</w:t>
      </w:r>
    </w:p>
    <w:p>
      <w:pPr>
        <w:keepNext/>
        <w:ind w:firstLine="0"/>
        <w:jc w:val="center"/>
      </w:pPr>
      <w:r>
        <w:drawing>
          <wp:inline>
            <wp:extent cx="5394960" cy="2997200"/>
            <wp:docPr id="7" name="Picture 7" descr="Imagem institucional ou figura técnica 5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meta-onboard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4 — Preparação do WhatsApp Cloud para produção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512"/>
        <w:gridCol w:w="3528"/>
        <w:gridCol w:w="3312"/>
      </w:tblGrid>
      <w:tr>
        <w:trPr>
          <w:tblHeader w:val="true"/>
        </w:trPr>
        <w:tc>
          <w:tcPr>
            <w:tcW w:type="dxa" w:w="15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Etapa</w:t>
            </w:r>
          </w:p>
        </w:tc>
        <w:tc>
          <w:tcPr>
            <w:tcW w:type="dxa" w:w="352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Evidência necessária</w:t>
            </w:r>
          </w:p>
        </w:tc>
        <w:tc>
          <w:tcPr>
            <w:tcW w:type="dxa" w:w="33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Risco se omitida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Empresa e portfólio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CNPJ e dados públicos consistentes.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Bloqueio da verificação ou limitação do portfólio.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Segurança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2FA, administradores legítimos e acesso mínimo.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Tomada de conta ou rejeição de ativos.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Número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Recebimento de SMS/ligação e elegibilidade.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Impossibilidade de registrar o remetente.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Aplicativo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Meta App, produto WhatsApp e permissões.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Token ou webhook sem acesso ao WABA.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Webhook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URL HTTPS, verify token e App Secret.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Eventos rejeitados ou sem autenticidade.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Pagamento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Forma válida para mensagens cobradas.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Bloqueio de mensagens iniciadas pela empresa.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Modelos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Nome/idioma aprovados na conta remetente.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Erro de template inexistente ou não aprovado.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4 — Requisitos para produção no WhatsApp Cloud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4.5.2 Credenciais, webhook e comandos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Phone Number ID é o identificador técnico usado na rota `/messages`; o Business Account ID identifica a WABA; o access token autoriza a Graph API; o App Secret valida a assinatura `X-Hub-Signature-256`; e o verify token é um segredo escolhido pelo administrador para o challenge inicial do webhook. O número público é mantido separadamente porque serve a links `wa.me` e à apresentação ao usuário. Em produção, tokens devem ser permanentes ou renovados por processo seguro, nunca colados em repositórios ou documentos.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Ao receber `/notify-me`, o fluxo registra o consentimento WhatsApp para identidades reais disponíveis e devolve instruções amigáveis. `/login` gera um link temporário de acesso ao Meu Perfil. Um e-mail válido digitado durante a conversa inicia sua validação; somente após o código correto o endereço é criado ou alterado e a permissão de e-mail é ativada. A resposta livre continua limitada à janela de 24 horas; a notificação iniciada pela organização usa modelo aprovado.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instalação mantém três exemplos protegidos contra exclusão: `jaspers_market_plain_text_v1` e `jaspers_market_order_confirmation_v1`, associados ao ambiente de número de teste da Meta, e `3p_direct_integration_test_template`, usado para validar a integração do número de produção em modo de teste. Eles não são modelos universais: o mesmo nome e idioma precisam existir e estar aprovados na WABA que atende o remetente. O antigo `verify_code_1` foi retirado da lista fixa; o login atual usa o comando `/login` e um link temporário assinado, sem depender desse modelo de autenticação.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4.5.3 Custos, qualidade e limites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Na política consultada em julho de 2026, a cobrança da WhatsApp Business Platform ocorre por mensagem entregue e varia por mercado e categoria. Mensagens de serviço não são cobradas e mensagens de utilidade enviadas em resposta ao usuário dentro da janela de atendimento também podem ser gratuitas. Marketing, autenticação e utilidade fora da janela seguem as tabelas vigentes. Como preços e regras mudam, o relatório não fixa um valor em reais: a estimativa deve usar a página oficial e o país do destinatário no momento da contratação (META, 2026a).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escala de mensagens iniciadas pela empresa depende do nível exibido no WhatsApp Manager, da verificação e da qualidade. O material oficial de onboarding descreve evolução por degraus como 1 mil, 10 mil, 100 mil destinatários únicos por período de 24 horas e, depois, ilimitado, mas contas de teste ou novas podem apresentar limites iniciais distintos. O painel da própria conta, e não um número reproduzido em documentação acadêmica, é a fonte de verdade. Bloqueios, denúncias e baixa qualidade podem impedir a expansão.</w:t>
      </w:r>
    </w:p>
    <w:tbl>
      <w:tblPr>
        <w:tblW w:type="dxa" w:w="8424"/>
        <w:jc w:val="center"/>
        <w:tblLayout w:type="fixed"/>
        <w:tblLook w:firstColumn="1" w:firstRow="1" w:lastColumn="0" w:lastRow="0" w:noHBand="0" w:noVBand="1" w:val="04A0"/>
        <w:tblInd w:w="170" w:type="dxa"/>
      </w:tblPr>
      <w:tblGrid>
        <w:gridCol w:w="8424"/>
      </w:tblGrid>
      <w:tr>
        <w:trPr>
          <w:tblHeader w:val="true"/>
        </w:trPr>
        <w:tc>
          <w:tcPr>
            <w:tcW w:type="dxa" w:w="8424"/>
            <w:shd w:fill="E9FAF0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128C7E"/>
              <w:left w:val="single" w:sz="8" w:color="128C7E"/>
              <w:bottom w:val="single" w:sz="8" w:color="128C7E"/>
              <w:right w:val="single" w:sz="8" w:color="128C7E"/>
            </w:tcBorders>
          </w:tcPr>
          <w:p>
            <w:pPr>
              <w:spacing w:after="80"/>
              <w:ind w:firstLine="0"/>
            </w:pPr>
            <w:r>
              <w:rPr>
                <w:rFonts w:ascii="Times New Roman" w:hAnsi="Times New Roman" w:eastAsia="Times New Roman"/>
                <w:b/>
                <w:color w:val="128C7E"/>
                <w:sz w:val="22"/>
              </w:rPr>
              <w:t>Discussão sobre a principal dor</w:t>
            </w:r>
          </w:p>
          <w:p>
            <w:pPr>
              <w:spacing w:line="276" w:lineRule="auto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A API oficial não elimina toda possibilidade de restrição, porque políticas e qualidade ainda se aplicam. Ela, porém, fornece o caminho suportado para modelos, limites, recibos e cobrança. Isso é qualitativamente mais seguro e auditável do que automatizar uma sessão WhatsApp Web para disparos iniciados pela organização.</w:t>
            </w:r>
          </w:p>
        </w:tc>
      </w:tr>
    </w:tbl>
    <w:p/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4.6 Integração com Telegram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bot é criado no `@BotFather`, que entrega o token. Esse token deve ser tratado como senha: qualquer pessoa que o possua controla o bot. Depois de salvo, o Notify Flow chama `getMe` para identificar nome e username. Para receber atualizações, registra uma URL HTTPS em `/api/webhooks/telegram` e envia um secret token; a API compara o cabeçalho correspondente de forma segura e deduplica `update_id` no Redis.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pessoa precisa iniciar o bot. `/notify-me` registra autorização; `/verify-me` abre o menu de vínculo, acesso ao Meu Perfil e ajuda; `/login` entrega um link temporário. Quando o usuário compartilha o próprio contato por botão nativo, o backend confirma que `contact.user_id` corresponde ao remetente antes de associar o telefone. Um e-mail digitado em qualquer ponto inicia o mesmo desafio de confirmação usado no WhatsApp.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Templates Telegram podem enviar texto, foto, vídeo e menus. Links de mídia passam por validação HTTPS, bloqueio de endereços privados para reduzir SSRF, limite de redirecionamentos, timeout, verificação de assinatura do arquivo e limites de tamanho antes de chamar `sendPhoto` ou `sendVideo`. O bot não obtém silenciosamente o número de qualquer usuário e estar no mesmo grupo não autoriza mensagem privada.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4.7 Integração com Gmail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MVP usa Nodemailer com o serviço Gmail por SMTP. A conta Gmail autentica a conexão; a senha de aplicativo, normalmente com 16 caracteres, substitui a senha principal; o campo remetente define o endereço apresentado no `From`, que deve ser a própria conta ou um alias autorizado. SMTP cuida do transporte entre a API e os servidores do Google, tipicamente por TLS.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Para gerar uma senha de aplicativo, a conta precisa de verificação em duas etapas. O recurso pode não aparecer em contas corporativas administradas, Advanced Protection ou configurações restritas a chaves de segurança. O Google revoga senhas de aplicativo quando a senha principal é alterada. Em uma evolução de produção com múltiplas organizações, OAuth 2.0 e a Gmail API seriam preferíveis por oferecerem escopo e revogação mais granulares; o MVP atual não implementa OAuth.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4.8 Fila, tentativas, recibos e logs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Ao confirmar uma campanha, a API cria notificações e entregas no MongoDB antes de enviá-las ao BullMQ. Essa ordem evita que uma interrupção entre a requisição e o Redis apague a intenção de envio. O worker reivindica a entrega, renova um heartbeat, monta o payload próprio do canal e classifica falhas transitórias e permanentes. Itens transitórios recebem até quatro tentativas com backoff; itens sem permissão são ignorados com motivo explícito e não consomem envio.</w:t>
      </w:r>
    </w:p>
    <w:p>
      <w:pPr>
        <w:keepNext/>
        <w:ind w:firstLine="0"/>
        <w:jc w:val="center"/>
      </w:pPr>
      <w:r>
        <w:drawing>
          <wp:inline>
            <wp:extent cx="5394960" cy="2997200"/>
            <wp:docPr id="8" name="Picture 8" descr="Imagem institucional ou figura técnica 6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fil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5 — Ciclo de entrega confiável, tentativas e auditoria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WhatsApp fornece recibos como enviado, entregue, lido ou falhou; Telegram e SMTP devolvem aceitação técnica, mas não possuem necessariamente o mesmo nível de confirmação de leitura. Por isso, os status não devem ser interpretados como equivalentes entre canais. A interface mostra o resultado de cada contato e canal, número de tentativas e mensagem operacional sanitizada. Os logs gerais expiram por padrão em 180 dias; recibos em sete dias; eventos da central e conversas Cloud em 30 dias; backups de conversas em 90 dias.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Redis também deduplica webhooks e mantém estado efêmero. Em produção ele é obrigatório: a API falha fechada se não conseguir conectar, porque aceitar campanhas sem fila criaria falsa confiança. A política `noeviction` evita apagar trabalhos sob pressão de memória, mas exige monitoramento de capacidade.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4.9 Execução local com Docker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Na raiz do projeto, o Docker Compose cria quatro serviços: MongoDB 7, Redis 7.4, API e frontend Nginx. Apenas o frontend e a API são publicados no loopback do host; Mongo e Redis permanecem na rede interna. Os volumes `mongo_data` e `redis_data` preservam dados entre recriações. A API possui health check que consulta Mongo e Redis; o frontend usa `/healthz` para verificar o Nginx.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Instalar Docker Desktop e confirmar que o daemon está ativo.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Copiar os arquivos `.env.example` adequados e preencher apenas segredos locais.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Executar `docker compose config --quiet` para validar a composição.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Executar `docker compose up --build -d` na raiz do projeto.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Abrir `http://localhost:8080` e verificar `http://localhost:8080/api/health`.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Acompanhar `docker compose logs -f api frontend` durante os testes.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Quando `MONGODB_URI` não é fornecida no Compose, a intenção é usar o serviço local. Um placeholder de Atlas copiado literalmente deve ser removido ou substituído, caso contrário a API tentará resolver um endereço inexistente. Credenciais de provedores podem ser cadastradas pela interface e ficam criptografadas no banco.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4.10 Implantação no Render por Blueprint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arquivo `render.yaml` declara três recursos no Oregon, todos no plano `starter`: o web service `notify-flow`, o private service `api` e o Key Value `notify-flow-redis`. O frontend compila Vue e serve arquivos por Nginx. Como a API é privada, ela não possui URL pública própria; o Nginx recebe seu `hostport` pela propriedade `fromService` e encaminha `/api` e `/socket.io`. O MongoDB Atlas permanece externo e sua URI é solicitada no sincronismo do Blueprint.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Blueprint usa `sync: false` para valores fornecidos pelo operador e `generateValue: true` para segredos internos. `PUBLIC_APP_URL` e `CORS_ORIGINS` apontam para `https://notify-flow.onrender.com/`. Se o serviço for renomeado ou receber domínio próprio, ambos devem ser atualizados, bem como os callbacks dos provedores. O webhook WhatsApp usa `https://notify-flow.onrender.com/api/webhooks/whatsapp-cloud`; o Telegram deriva sua rota pública da mesma URL.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440"/>
        <w:gridCol w:w="3312"/>
        <w:gridCol w:w="3600"/>
      </w:tblGrid>
      <w:tr>
        <w:trPr>
          <w:tblHeader w:val="true"/>
        </w:trPr>
        <w:tc>
          <w:tcPr>
            <w:tcW w:type="dxa" w:w="144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Domínio</w:t>
            </w:r>
          </w:p>
        </w:tc>
        <w:tc>
          <w:tcPr>
            <w:tcW w:type="dxa" w:w="33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Variáveis exemplares</w:t>
            </w:r>
          </w:p>
        </w:tc>
        <w:tc>
          <w:tcPr>
            <w:tcW w:type="dxa" w:w="360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Regra de produção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Aplicação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NODE_ENV, PORT, API_PREFIX, PUBLIC_APP_URL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URLs HTTPS e prefixos coerentes com o proxy.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Dados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MONGODB_URI, REDIS_URL, REDIS_REQUIRED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Atlas e Key Value privados; nunca versionar URI real.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Autenticação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JWT_*_SECRET, PROFILE_JWT_SECRET, TTLs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Segredos independentes e fortes; senha admin ≥ 12.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Proteção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ENCRYPTION_KEY, SEARCH_HASH_KEY, RATE_LIMIT_*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Chaves distintas, proxy confiável e limites ativos.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Canais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WHATSAPP_*_VERSION, comandos, webhook secret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Credenciais preferencialmente pela UI criptografada.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5 — Variáveis de ambiente por domínio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rota pública `/healthz` prova que o Nginx está de pé, enquanto `/api/health` atravessa o proxy e verifica API, Mongo e Redis. O Blueprint atual não declara health check próprio para o private service; portanto, recomenda-se monitorar externamente `/api/health` e adicionar uma verificação equivalente à API em uma revisão futura.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4.11 Resultados dos testes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bateria executada em 31 de julho de 2026 produziu os resultados da Tabela 1. Os totais foram obtidos pela execução das suítes, e não apenas por contagem estática dos arquivos.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728"/>
        <w:gridCol w:w="4032"/>
        <w:gridCol w:w="2592"/>
      </w:tblGrid>
      <w:tr>
        <w:trPr>
          <w:tblHeader w:val="true"/>
        </w:trPr>
        <w:tc>
          <w:tcPr>
            <w:tcW w:type="dxa" w:w="172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Evidência</w:t>
            </w:r>
          </w:p>
        </w:tc>
        <w:tc>
          <w:tcPr>
            <w:tcW w:type="dxa" w:w="403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Escopo</w:t>
            </w:r>
          </w:p>
        </w:tc>
        <w:tc>
          <w:tcPr>
            <w:tcW w:type="dxa" w:w="259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Resultado observado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Testes da API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34 arquivos: regras, filas, webhooks, segurança e persistência.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305 aprovados; 0 falhas; 0 ignorados.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Testes do frontend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31 arquivos: auth, serviços, páginas, diálogos e realtime.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169 aprovados; 0 falhas.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Total automatizado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API + frontend.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474 aprovados; 0 falhas.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Lint da API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ESLint sobre o código da API.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Aprovado.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Build do frontend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Vite em modo de produção.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Aprovado; 376 módulos transformados.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Compose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`docker compose config --quiet`.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Configuração estática válida.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1 — Evidências de testes e validações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Os 474 testes dão confiança sobre regressões de regra e contrato. A cobertura temática é particularmente relevante porque o núcleo do produto não é uma única tela, mas a combinação entre identidade, consentimento, fila e retorno do provedor. Casos testados incluem assinatura do webhook WhatsApp, deduplicação Telegram, renovação de sessão, grupos por convite, templates, permissões e campanhas com falhas parciais.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resultado não significa ausência de defeitos. As dependências externas são simuladas na maior parte da suíte, e a configuração local validada estava parada no instante da auditoria, com containers encerrados de forma limpa. Assim, o critério do Gate é atendido pela versão funcional já implantada e pelas evidências automatizadas, mas um plano de produção deve acrescentar smoke tests periódicos contra o ambiente real, monitoramento sintético e uma pipeline de integração contínua que bloqueie deploys quando teste ou build falhar.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4.12 Discussão dos resultados e impacto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resultado técnico mais importante é o isolamento de falhas. Em uma campanha com três canais, um contato pode não ter Telegram, outro pode ter e-mail revogado e um modelo WhatsApp pode ser rejeitado. O sistema não converte essas situações em uma falha única. Cada entrega possui estado, motivo e tentativas próprios. Essa propriedade melhora a continuidade operacional e permite corrigir somente o destino afetado.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segundo impacto é regulatório e de confiança. O fluxo privilegia uma ação do usuário: iniciar o bot, enviar o comando, compartilhar o próprio contato, validar e-mail ou usar a área pública. O administrador ainda pode ajustar permissões, mas a decisão fica registrada e a remoção exige confirmação. Dessa forma, o contato deixa de ser apenas um número em uma lista e passa a ser um titular com histórico, contexto de convite e controle de canal.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terceiro impacto é a redução do risco específico do WhatsApp. A solução não promete imunidade a bloqueios: modelos de baixa qualidade, denúncias ou políticas violadas continuam sujeitos à ação da Meta. O que muda é a base técnica. A comunicação iniciada pela organização passa por modelos oficiais, identidade remetente, limites, cobrança e recibos, em vez de depender de uma sessão automatizada do WhatsApp Web.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2232"/>
        <w:gridCol w:w="3024"/>
        <w:gridCol w:w="3096"/>
      </w:tblGrid>
      <w:tr>
        <w:trPr>
          <w:tblHeader w:val="true"/>
        </w:trPr>
        <w:tc>
          <w:tcPr>
            <w:tcW w:type="dxa" w:w="223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Risco ou limitação</w:t>
            </w:r>
          </w:p>
        </w:tc>
        <w:tc>
          <w:tcPr>
            <w:tcW w:type="dxa" w:w="302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Controle atual</w:t>
            </w:r>
          </w:p>
        </w:tc>
        <w:tc>
          <w:tcPr>
            <w:tcW w:type="dxa" w:w="3096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Próxima ação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Indisponibilidade de provedor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Fila, retries e erro por entrega.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Circuit breaker e métricas de SLA.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Duplicidade em resposta ambígua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Idempotência, claim e deduplicação.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Chaves idempotentes provider-aware e reconciliação ampliada.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Escala horizontal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Uma instância com worker e Socket.IO.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Worker separado e adapter Redis do Socket.IO.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Backups no mesmo Mongo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Snapshots criptografados em GridFS.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PITR/backup externo e testes de restauração.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Crescimento de eventos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TTLs em logs e recibos selecionados.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Política de retenção para webhook events e campanhas.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Deploy sem CI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Testes e build executáveis localmente.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GitHub Actions antes do auto deploy.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Usabilidade não medida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Fluxos responsivos e testes funcionais.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Estudo com usuários e métricas de tarefa.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Segredo revelável ao admin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Rota autenticada, limitada, sem cache e auditada.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Acesso por função e rotação periódica.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2 — Riscos, controles e limitações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4.13 Versão funcional demonstrável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versão funcional está publicada em `https://notify-flow.onrender.com/`. A demonstração recomendada começa pelo painel administrativo: conferir a saúde, abrir configurações mascaradas, criar um convite, autorizar um contato, preparar templates e revisar uma campanha. Em seguida, o preceptor pode observar o trabalho na fila, abrir o detalhamento por contato e conferir no Meu Perfil o mesmo histórico sob a perspectiva do titular.</w:t>
      </w:r>
    </w:p>
    <w:tbl>
      <w:tblPr>
        <w:tblW w:type="dxa" w:w="8424"/>
        <w:jc w:val="center"/>
        <w:tblLayout w:type="fixed"/>
        <w:tblLook w:firstColumn="1" w:firstRow="1" w:lastColumn="0" w:lastRow="0" w:noHBand="0" w:noVBand="1" w:val="04A0"/>
        <w:tblInd w:w="170" w:type="dxa"/>
      </w:tblPr>
      <w:tblGrid>
        <w:gridCol w:w="8424"/>
      </w:tblGrid>
      <w:tr>
        <w:trPr>
          <w:tblHeader w:val="true"/>
        </w:trPr>
        <w:tc>
          <w:tcPr>
            <w:tcW w:type="dxa" w:w="8424"/>
            <w:shd w:fill="EAF7FE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2AABEE"/>
              <w:left w:val="single" w:sz="8" w:color="2AABEE"/>
              <w:bottom w:val="single" w:sz="8" w:color="2AABEE"/>
              <w:right w:val="single" w:sz="8" w:color="2AABEE"/>
            </w:tcBorders>
          </w:tcPr>
          <w:p>
            <w:pPr>
              <w:spacing w:after="80"/>
              <w:ind w:firstLine="0"/>
            </w:pPr>
            <w:r>
              <w:rPr>
                <w:rFonts w:ascii="Times New Roman" w:hAnsi="Times New Roman" w:eastAsia="Times New Roman"/>
                <w:b/>
                <w:color w:val="2AABEE"/>
                <w:sz w:val="22"/>
              </w:rPr>
              <w:t>Roteiro de demonstração de 10 minutos</w:t>
            </w:r>
          </w:p>
          <w:p>
            <w:pPr>
              <w:spacing w:line="276" w:lineRule="auto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1) mostrar configuração independente dos três canais; 2) abrir um convite e consentir; 3) confirmar o contato e suas identidades; 4) selecionar um conjunto multicanal; 5) revisar e enfileirar; 6) acompanhar status e falha isolada; 7) abrir Meu Perfil e revogar um canal.</w:t>
            </w:r>
          </w:p>
        </w:tc>
      </w:tr>
    </w:tbl>
    <w:p/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 CONSIDERAÇÕES FINAIS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Gate 4 demonstrou que o Notify Flow atingiu o estágio de MVP funcional. A solução integra três canais, oferece interfaces administrativas e públicas, processa campanhas em fila, recebe eventos por webhook e atualiza o painel em tempo real. As 474 verificações automatizadas aprovadas, o lint, o build e a validação do Compose sustentam a conclusão técnica.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contribuição central é organizar uma comunicação que começa no consentimento e termina na auditoria. Para WhatsApp, isso significa trabalhar com a Cloud API, a janela de atendimento e os modelos aprovados; para Telegram, reconhecer a identidade observada pelo bot; para e-mail, validar o endereço. A fila impede que uma falha parcial apague o resultado da campanha e os recibos deixam clara a diferença entre envio, aceitação, entrega e leitura.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Os próximos passos são submeter os fluxos a usuários externos, medir taxa de conclusão, tempo de tarefa e compreensão de consentimento; adicionar CI; separar o worker da API; adotar adapter Redis do Socket.IO; fortalecer retenção e backup; avaliar OAuth para Gmail; e implementar monitoramento sintético do ambiente Render. Uma distribuição desktop com Electron permanece como evolução posterior e não integra o entregável deste Gate.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Conclui-se que o MVP é adequado para demonstração preliminar ao preceptor e oferece uma base coerente para evolução. Seu impacto esperado é reduzir o uso de integrações não oficiais, aumentar a rastreabilidade operacional e devolver ao contato controle explícito sobre os canais pelos quais aceita ser notificado.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REFERÊNCIAS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BRASIL. Lei nº 13.709, de 14 de agosto de 2018. Lei Geral de Proteção de Dados Pessoais (LGPD). Brasília, DF, 2018.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BULLMQ. Retrying failing jobs. Disponível em: https://docs.bullmq.io/guide/retrying-failing-jobs.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BULLMQ. Workers — concurrency. Disponível em: https://docs.bullmq.io/guide/workers/concurrency.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DOCKER. Docker Compose documentation. Disponível em: https://docs.docker.com/compose/.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GOOGLE. Sign in with app passwords. Disponível em: https://support.google.com/accounts/answer/185833.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GOOGLE. Implement server-side authorization — Gmail API. Disponível em: https://developers.google.com/workspace/gmail/api/auth/web-server.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META. WhatsApp Business Platform pricing. Disponível em: https://whatsappbusiness.com/products/platform-pricing/.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META. WhatsApp Business Platform onboarding guide. Disponível em: https://whatsappbusiness.com/resources/resource-library/api-onboarding/.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META. Documents for business verification. Disponível em: https://www.facebook.com/help/243868559497297/.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RENDER. Blueprint YAML reference. Disponível em: https://render.com/docs/blueprint-spec.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RENDER. Private services. Disponível em: https://render.com/docs/private-services.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RENDER. Key Value. Disponível em: https://render.com/docs/key-value.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TELEGRAM. Telegram Bot API. Disponível em: https://core.telegram.org/bots/api. Acesso em: 31 jul. 2026.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APÊNDICE A — HISTÓRIAS DE USUÁRIO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648"/>
        <w:gridCol w:w="4824"/>
        <w:gridCol w:w="2880"/>
      </w:tblGrid>
      <w:tr>
        <w:trPr>
          <w:tblHeader w:val="true"/>
        </w:trPr>
        <w:tc>
          <w:tcPr>
            <w:tcW w:type="dxa" w:w="64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ID</w:t>
            </w:r>
          </w:p>
        </w:tc>
        <w:tc>
          <w:tcPr>
            <w:tcW w:type="dxa" w:w="482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História</w:t>
            </w:r>
          </w:p>
        </w:tc>
        <w:tc>
          <w:tcPr>
            <w:tcW w:type="dxa" w:w="288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Critério resumido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A01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configurar cada canal separadamente para implantar o sistema por etapas.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Um canal incompleto não bloqueia os demais.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A02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identificar novas interações em tempo real.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Evento aparece sem recarregar e sem revelar segredo.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A03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cadastrar templates por formulário.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Não é necessário editar JSON.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A04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agrupar templates por campanha.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Conjunto possui até um template por canal.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A05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selecionar contatos e grupos.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Somente destinos identificados e permitidos são enviados.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A06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revisar cada mensagem antes de enviar.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Preview responsivo precede a confirmação.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A07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acompanhar cada contato e canal.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Status, tentativas e erro ficam detalhados.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A08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sincronizar grupos por convite.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Novos contatos autorizados são incluídos sem duplicidade.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A09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responder no WhatsApp.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Texto livre só é permitido na janela de 24 horas.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A10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versionar termos e privacidade.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Documento vigente é apresentado no convite.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A11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auditar links de acesso.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Uso, validade e revogação são registrados.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A12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que uma falha não interrompa a campanha.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Cada entrega é processada e registrada isoladamente.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3 — Histórias de usuário do administrador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648"/>
        <w:gridCol w:w="4824"/>
        <w:gridCol w:w="2880"/>
      </w:tblGrid>
      <w:tr>
        <w:trPr>
          <w:tblHeader w:val="true"/>
        </w:trPr>
        <w:tc>
          <w:tcPr>
            <w:tcW w:type="dxa" w:w="64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ID</w:t>
            </w:r>
          </w:p>
        </w:tc>
        <w:tc>
          <w:tcPr>
            <w:tcW w:type="dxa" w:w="482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História</w:t>
            </w:r>
          </w:p>
        </w:tc>
        <w:tc>
          <w:tcPr>
            <w:tcW w:type="dxa" w:w="288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Critério resumido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U01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escolher quais canais autorizo.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Permissões independentes e revogáveis.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U02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iniciar a autorização pelo canal.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Comando ou convite resulta em identidade observada.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U03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vincular Telegram e WhatsApp com segurança.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Telefone só é aceito quando compartilhado pelo próprio remetente.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U04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validar meu e-mail no chat.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Código expira em 15 min e reenvio respeita 2 min.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U05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entrar no Meu Perfil sem senha permanente.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Link assinado, temporário e de uso único.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U06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consultar minhas entregas.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Histórico é restrito ao próprio contato.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U07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compreender convites e grupos.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Perfil lista vínculos e participantes mascarados.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U08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remover meu vínculo.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Ação afeta somente o próprio cadastro e exige confirmação.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U09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revogar um canal.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Novos envios são bloqueados e a decisão fica auditada.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U10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visitante, quero uma página de convite responsiva.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Links e QR funcionam em desktop e celular.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4 — Histórias de usuário do contato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APÊNDICE B — CHECKLIST DE CONFIGURAÇÃO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B.1 WhatsApp Cloud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Confirmar empresa, Página, portfólio e verificações de segurança.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Registrar número elegível e associar forma de pagamento.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Criar Meta App, adicionar o produto WhatsApp e selecionar a WABA.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Obter Phone Number ID, Business Account ID e token apropriado.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Cadastrar App Secret e verify token no Notify Flow.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Configurar callback HTTPS `/api/webhooks/whatsapp-cloud` e assinar `messages`.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Criar modelos no WhatsApp Manager e aguardar aprovação.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Cadastrar no Notify Flow o mesmo nome, idioma e parâmetros.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Testar número de teste e, depois, número de produção com destinatário autorizado.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B.2 Telegram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Criar o bot no @BotFather e armazenar o token como segredo.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Salvar o token; conferir nome e username identificados por getMe.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Garantir URL pública HTTPS e registrar webhook com secret token.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Iniciar o bot, testar /notify-me, /verify-me e /login.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Compartilhar o próprio contato para validar o vínculo de telefone.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Testar texto, foto/vídeo por URL segura e menu de botões.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B.3 Gmail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Ativar verificação em duas etapas na Conta Google.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Gerar senha de aplicativo quando o recurso estiver disponível.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Cadastrar conta Gmail, senha de aplicativo e remetente autorizado.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Enviar teste individual e campanha com endereço autorizado.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Confirmar que falha SMTP de um contato não interrompe os demais.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B.4 Produção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Criar MongoDB Atlas com usuário de menor privilégio, rede e backup/PITR.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Sincronizar o Blueprint e fornecer MONGODB_URI e credenciais administrativas.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Verificar que frontend, API privada e Key Value estão na mesma região.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Testar `/healthz` e `/api/health`.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Atualizar callbacks ao alterar domínio.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Executar smoke test de convite, consentimento, campanha e Meu Perfil.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Monitorar memória do Key Value, fila, erros por provedor e qualidade da WABA.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APÊNDICE C — MATRIZ DE EVIDÊNCIAS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440"/>
        <w:gridCol w:w="4176"/>
        <w:gridCol w:w="2736"/>
      </w:tblGrid>
      <w:tr>
        <w:trPr>
          <w:tblHeader w:val="true"/>
        </w:trPr>
        <w:tc>
          <w:tcPr>
            <w:tcW w:type="dxa" w:w="144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Área</w:t>
            </w:r>
          </w:p>
        </w:tc>
        <w:tc>
          <w:tcPr>
            <w:tcW w:type="dxa" w:w="4176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Evidência no projeto</w:t>
            </w:r>
          </w:p>
        </w:tc>
        <w:tc>
          <w:tcPr>
            <w:tcW w:type="dxa" w:w="2736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Validação do Gate 4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API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`api/src`, 21 modelos, 18 módulos de rota, 34 arquivos de teste.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305 testes e lint aprovados.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Frontend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14 rotas funcionais, 31 arquivos de teste, build Quasar/Vite.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169 testes e build aprovados.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Fila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BullMQ, Redis obrigatório, Mongo durável e recovery sweep.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Retries e falha parcial cobertos por testes.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Webhooks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HMAC WhatsApp, secret Telegram e deduplicação.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Contratos e validações testados.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Infra local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`docker-compose.yml` com quatro serviços.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Compose validado estaticamente.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Infra produção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`render.yaml`: web, private service e Key Value.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Blueprint inspecionado e deploy disponível.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Governança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ConsentEvent, termos, Meu Perfil e pseudonimização.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Fluxos e políticas cobertos por testes.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5 — Matriz de evidências do entregável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tabs>
        <w:tab w:val="center" w:leader="none" w:pos="4252"/>
        <w:tab w:val="right" w:leader="none" w:pos="8504"/>
      </w:tabs>
      <w:spacing w:after="0" w:line="240" w:lineRule="auto"/>
      <w:jc w:val="both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jc w:val="righ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widowControl w:val="0"/>
      <w:spacing w:after="0" w:lineRule="auto"/>
      <w:rPr/>
    </w:pPr>
    <w:r w:rsidDel="00000000" w:rsidR="00000000" w:rsidRPr="00000000">
      <w:rPr>
        <w:rtl w:val="0"/>
      </w:rPr>
    </w:r>
  </w:p>
  <w:sdt>
    <w:sdtPr>
      <w:lock w:val="contentLocked"/>
      <w:id w:val="-939836492"/>
      <w:tag w:val="goog_rdk_2"/>
    </w:sdtPr>
    <w:sdtContent>
      <w:tbl>
        <w:tblPr>
          <w:tblStyle w:val="Table3"/>
          <w:tblW w:w="9070.0" w:type="dxa"/>
          <w:jc w:val="center"/>
          <w:tblBorders>
            <w:top w:color="000000" w:space="0" w:sz="8" w:val="single"/>
          </w:tblBorders>
          <w:tblLayout w:type="fixed"/>
          <w:tblLook w:val="0400"/>
        </w:tblPr>
        <w:tblGrid>
          <w:gridCol w:w="2618"/>
          <w:gridCol w:w="3032"/>
          <w:gridCol w:w="2749"/>
          <w:gridCol w:w="671"/>
          <w:tblGridChange w:id="0">
            <w:tblGrid>
              <w:gridCol w:w="2618"/>
              <w:gridCol w:w="3032"/>
              <w:gridCol w:w="2749"/>
              <w:gridCol w:w="671"/>
            </w:tblGrid>
          </w:tblGridChange>
        </w:tblGrid>
        <w:tr>
          <w:trPr>
            <w:cantSplit w:val="0"/>
            <w:trHeight w:val="345" w:hRule="atLeast"/>
            <w:tblHeader w:val="0"/>
          </w:trPr>
          <w:tc>
            <w:tcPr>
              <w:shd w:fill="auto" w:val="clear"/>
              <w:vAlign w:val="center"/>
            </w:tcPr>
            <w:p w:rsidR="00000000" w:rsidDel="00000000" w:rsidP="00000000" w:rsidRDefault="00000000" w:rsidRPr="00000000" w14:paraId="000000CC">
              <w:pPr>
                <w:spacing w:after="0" w:line="240" w:lineRule="auto"/>
                <w:rPr>
                  <w:i w:val="1"/>
                  <w:iCs w:val="1"/>
                  <w:color w:val="262626"/>
                  <w:sz w:val="14"/>
                  <w:szCs w:val="14"/>
                </w:rPr>
              </w:pPr>
              <w:r w:rsidDel="00000000" w:rsidR="00000000" w:rsidRPr="00000000">
                <w:rPr>
                  <w:i w:val="1"/>
                  <w:iCs w:val="1"/>
                  <w:color w:val="262626"/>
                  <w:sz w:val="14"/>
                  <w:szCs w:val="14"/>
                  <w:rtl w:val="0"/>
                </w:rPr>
                <w:t xml:space="preserve">Trabalho de Conclusão de Curso</w:t>
              </w:r>
            </w:p>
          </w:tc>
          <w:tc>
            <w:tcPr>
              <w:shd w:fill="auto" w:val="clear"/>
              <w:vAlign w:val="center"/>
            </w:tcPr>
            <w:p w:rsidR="00000000" w:rsidDel="00000000" w:rsidP="00000000" w:rsidRDefault="00000000" w:rsidRPr="00000000" w14:paraId="000000CD">
              <w:pPr>
                <w:spacing w:after="0" w:line="240" w:lineRule="auto"/>
                <w:jc w:val="right"/>
                <w:rPr>
                  <w:i w:val="1"/>
                  <w:iCs w:val="1"/>
                  <w:color w:val="262626"/>
                  <w:sz w:val="14"/>
                  <w:szCs w:val="14"/>
                </w:rPr>
              </w:pPr>
              <w:r w:rsidDel="00000000" w:rsidR="00000000" w:rsidRPr="00000000">
                <w:rPr>
                  <w:i w:val="1"/>
                  <w:iCs w:val="1"/>
                  <w:color w:val="262626"/>
                  <w:sz w:val="14"/>
                  <w:szCs w:val="14"/>
                  <w:rtl w:val="0"/>
                </w:rPr>
                <w:t xml:space="preserve">Programa de Residência em TI</w:t>
              </w:r>
            </w:p>
          </w:tc>
          <w:tc>
            <w:tcPr>
              <w:tcBorders>
                <w:right w:color="000000" w:space="0" w:sz="8" w:val="single"/>
              </w:tcBorders>
              <w:shd w:fill="auto" w:val="clear"/>
              <w:vAlign w:val="center"/>
            </w:tcPr>
            <w:p w:rsidR="00000000" w:rsidDel="00000000" w:rsidP="00000000" w:rsidRDefault="00000000" w:rsidRPr="00000000" w14:paraId="000000CE">
              <w:pPr>
                <w:spacing w:after="0" w:line="240" w:lineRule="auto"/>
                <w:jc w:val="right"/>
                <w:rPr>
                  <w:i w:val="1"/>
                  <w:iCs w:val="1"/>
                  <w:color w:val="262626"/>
                  <w:sz w:val="14"/>
                  <w:szCs w:val="14"/>
                </w:rPr>
              </w:pPr>
              <w:r w:rsidDel="00000000" w:rsidR="00000000" w:rsidRPr="00000000">
                <w:rPr>
                  <w:i w:val="1"/>
                  <w:iCs w:val="1"/>
                  <w:color w:val="262626"/>
                  <w:sz w:val="14"/>
                  <w:szCs w:val="14"/>
                  <w:rtl w:val="0"/>
                </w:rPr>
                <w:t xml:space="preserve">Universidade Federal de Goiás</w:t>
              </w:r>
            </w:p>
          </w:tc>
          <w:tc>
            <w:tcPr>
              <w:tcBorders>
                <w:left w:color="000000" w:space="0" w:sz="8" w:val="single"/>
              </w:tcBorders>
              <w:shd w:fill="auto" w:val="clear"/>
              <w:vAlign w:val="center"/>
            </w:tcPr>
            <w:p w:rsidR="00000000" w:rsidDel="00000000" w:rsidP="00000000" w:rsidRDefault="00000000" w:rsidRPr="00000000" w14:paraId="000000CF">
              <w:pPr>
                <w:spacing w:after="0" w:line="240" w:lineRule="auto"/>
                <w:jc w:val="center"/>
                <w:rPr>
                  <w:color w:val="262626"/>
                  <w:sz w:val="16"/>
                  <w:szCs w:val="16"/>
                </w:rPr>
              </w:pPr>
              <w:r w:rsidDel="00000000" w:rsidR="00000000" w:rsidRPr="00000000">
                <w:rPr>
                  <w:color w:val="262626"/>
                  <w:sz w:val="16"/>
                  <w:szCs w:val="16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D0">
    <w:pPr>
      <w:tabs>
        <w:tab w:val="center" w:leader="none" w:pos="4252"/>
        <w:tab w:val="right" w:leader="none" w:pos="8504"/>
      </w:tabs>
      <w:spacing w:after="0" w:line="240" w:lineRule="auto"/>
      <w:jc w:val="both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widowControl w:val="0"/>
      <w:spacing w:after="0" w:lineRule="auto"/>
      <w:rPr>
        <w:sz w:val="20"/>
        <w:szCs w:val="20"/>
      </w:rPr>
    </w:pPr>
    <w:r w:rsidDel="00000000" w:rsidR="00000000" w:rsidRPr="00000000">
      <w:rPr>
        <w:rtl w:val="0"/>
      </w:rPr>
    </w:r>
  </w:p>
  <w:sdt>
    <w:sdtPr>
      <w:lock w:val="contentLocked"/>
      <w:id w:val="600782376"/>
      <w:tag w:val="goog_rdk_1"/>
    </w:sdtPr>
    <w:sdtContent>
      <w:tbl>
        <w:tblPr>
          <w:tblStyle w:val="Table2"/>
          <w:tblW w:w="9070.0" w:type="dxa"/>
          <w:jc w:val="left"/>
          <w:tblBorders>
            <w:bottom w:color="000000" w:space="0" w:sz="4" w:val="single"/>
          </w:tblBorders>
          <w:tblLayout w:type="fixed"/>
          <w:tblLook w:val="0400"/>
        </w:tblPr>
        <w:tblGrid>
          <w:gridCol w:w="9070"/>
          <w:tblGridChange w:id="0">
            <w:tblGrid>
              <w:gridCol w:w="9070"/>
            </w:tblGrid>
          </w:tblGridChange>
        </w:tblGrid>
        <w:tr>
          <w:trPr>
            <w:cantSplit w:val="0"/>
            <w:tblHeader w:val="0"/>
          </w:trPr>
          <w:tc>
            <w:tcPr>
              <w:tcBorders>
                <w:bottom w:color="000000" w:space="0" w:sz="8" w:val="single"/>
              </w:tcBorders>
              <w:shd w:fill="auto" w:val="clear"/>
            </w:tcPr>
            <w:p w:rsidR="00000000" w:rsidDel="00000000" w:rsidP="00000000" w:rsidRDefault="00000000" w:rsidRPr="00000000" w14:paraId="000000C8">
              <w:pPr>
                <w:tabs>
                  <w:tab w:val="center" w:leader="none" w:pos="4252"/>
                  <w:tab w:val="right" w:leader="none" w:pos="8504"/>
                </w:tabs>
                <w:spacing w:after="60" w:line="240" w:lineRule="auto"/>
                <w:jc w:val="right"/>
                <w:rPr>
                  <w:i w:val="1"/>
                  <w:iCs w:val="1"/>
                  <w:sz w:val="16"/>
                  <w:szCs w:val="16"/>
                </w:rPr>
              </w:pPr>
              <w:r w:rsidDel="00000000" w:rsidR="00000000" w:rsidRPr="00000000">
                <w:rPr>
                  <w:i w:val="1"/>
                  <w:iCs w:val="1"/>
                  <w:sz w:val="16"/>
                  <w:szCs w:val="16"/>
                  <w:rtl w:val="0"/>
                </w:rPr>
                <w:t xml:space="preserve">Colocar o Título do Trabalho de Conclusão de Curso</w:t>
              </w:r>
            </w:p>
          </w:tc>
        </w:tr>
      </w:tbl>
    </w:sdtContent>
  </w:sdt>
  <w:p w:rsidR="00000000" w:rsidDel="00000000" w:rsidP="00000000" w:rsidRDefault="00000000" w:rsidRPr="00000000" w14:paraId="000000C9">
    <w:pPr>
      <w:tabs>
        <w:tab w:val="center" w:leader="none" w:pos="4252"/>
        <w:tab w:val="right" w:leader="none" w:pos="8504"/>
      </w:tabs>
      <w:spacing w:after="0" w:line="240" w:lineRule="auto"/>
      <w:jc w:val="both"/>
      <w:rPr>
        <w:sz w:val="6"/>
        <w:szCs w:val="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widowControl/>
      <w:spacing w:line="360" w:lineRule="auto" w:after="0"/>
      <w:ind w:firstLine="567"/>
      <w:jc w:val="both"/>
    </w:pPr>
    <w:rPr>
      <w:rFonts w:ascii="Times New Roman" w:hAnsi="Times New Roman" w:eastAsia="Times New Roman"/>
      <w:sz w:val="24"/>
    </w:rPr>
  </w:style>
  <w:style w:type="paragraph" w:styleId="Heading1">
    <w:name w:val="heading 1"/>
    <w:basedOn w:val="Normal"/>
    <w:next w:val="Normal"/>
    <w:pPr>
      <w:keepNext/>
      <w:keepLines w:val="1"/>
      <w:widowControl/>
      <w:spacing w:after="200" w:before="440" w:lineRule="auto" w:line="276"/>
      <w:ind w:firstLine="0"/>
      <w:jc w:val="left"/>
    </w:pPr>
    <w:rPr>
      <w:rFonts w:ascii="Times New Roman" w:cs="Calibri" w:eastAsia="Times New Roman" w:hAnsi="Times New Roman"/>
      <w:b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/>
      <w:keepLines w:val="1"/>
      <w:widowControl/>
      <w:spacing w:after="120" w:before="360" w:lineRule="auto" w:line="276"/>
      <w:ind w:firstLine="0"/>
      <w:jc w:val="left"/>
    </w:pPr>
    <w:rPr>
      <w:rFonts w:ascii="Times New Roman" w:cs="Calibri" w:eastAsia="Times New Roman" w:hAnsi="Times New Roman"/>
      <w:b/>
      <w:bCs w:val="1"/>
      <w:color w:val="000000"/>
      <w:sz w:val="24"/>
      <w:szCs w:val="26"/>
    </w:rPr>
  </w:style>
  <w:style w:type="paragraph" w:styleId="Heading3">
    <w:name w:val="heading 3"/>
    <w:basedOn w:val="Normal"/>
    <w:next w:val="Normal"/>
    <w:pPr>
      <w:keepNext/>
      <w:keepLines w:val="1"/>
      <w:widowControl/>
      <w:spacing w:after="100" w:before="280" w:lineRule="auto" w:line="276"/>
      <w:ind w:firstLine="0"/>
      <w:jc w:val="left"/>
    </w:pPr>
    <w:rPr>
      <w:rFonts w:ascii="Times New Roman" w:cs="Calibri" w:eastAsia="Times New Roman" w:hAnsi="Times New Roman"/>
      <w:b/>
      <w:bCs w:val="1"/>
      <w:i/>
      <w:color w:val="000000"/>
      <w:sz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customStyle="1" w:styleId="NFCaption">
    <w:name w:val="NF Caption"/>
    <w:pPr>
      <w:keepNext/>
      <w:spacing w:before="80" w:after="140" w:line="240" w:lineRule="auto"/>
      <w:ind w:firstLine="0"/>
      <w:jc w:val="center"/>
    </w:pPr>
    <w:rPr>
      <w:rFonts w:ascii="Times New Roman" w:hAnsi="Times New Roman" w:eastAsia="Times New Roman"/>
      <w:sz w:val="20"/>
    </w:rPr>
  </w:style>
  <w:style w:type="paragraph" w:customStyle="1" w:styleId="NFCompact">
    <w:name w:val="NF Compact"/>
    <w:pPr>
      <w:widowControl/>
      <w:spacing w:after="40" w:line="252" w:lineRule="auto"/>
      <w:ind w:firstLine="0"/>
    </w:pPr>
    <w:rPr>
      <w:rFonts w:ascii="Times New Roman" w:hAnsi="Times New Roman" w:eastAsia="Times New Roman"/>
      <w:sz w:val="21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3" Type="http://schemas.openxmlformats.org/officeDocument/2006/relationships/image" Target="media/image2.png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jpg"/><Relationship Id="rId15" Type="http://schemas.openxmlformats.org/officeDocument/2006/relationships/footer" Target="footer3.xml"/><Relationship Id="rId14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header" Target="header3.xml"/><Relationship Id="rId22" Type="http://schemas.openxmlformats.org/officeDocument/2006/relationships/header" Target="header4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i0S6/04+kBt8IJmYFa3uL1vWSw==">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Samuel Victor Oliveira Lima</dc:creator>
  <dc:title>Notify Flow: Relatório De Impacto, Testes E Validação De Uma Plataforma Multicanal De Notificações Consentidas</dc:title>
  <dc:subject>Gate 4 — Testes e Validação do MVP Notify Flow</dc:subject>
  <cp:lastModifiedBy>Codex, sob direção do autor</cp:lastModifiedBy>
  <cp:keywords>Notify Flow; WhatsApp Cloud; Telegram; Gmail; BullMQ; Redis; LGPD; MVP</cp:keywords>
  <dc:description>Relatório técnico-científico gerado a partir do template institucional e das evidências verificáveis do repositório.</dc:description>
</cp:coreProperties>
</file>