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after="0" w:lineRule="auto"/>
        <w:jc w:val="center"/>
        <w:rPr/>
      </w:pPr>
      <w:r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spacing w:after="0" w:lineRule="auto"/>
        <w:jc w:val="center"/>
        <w:rPr/>
      </w:pPr>
      <w:r>
        <w:rPr>
          <w:rtl w:val="0"/>
        </w:rPr>
        <w:t xml:space="preserve">UNIVERSIDADE FEDERAL DE GOIÁS</w:t>
      </w:r>
    </w:p>
    <w:p w14:paraId="00000003">
      <w:pPr>
        <w:spacing w:after="0" w:lineRule="auto"/>
        <w:jc w:val="center"/>
        <w:rPr>
          <w:smallCaps w:val="1"/>
        </w:rPr>
      </w:pPr>
      <w:r>
        <w:rPr>
          <w:smallCaps w:val="1"/>
          <w:rtl w:val="0"/>
        </w:rPr>
        <w:t xml:space="preserve">Instituto de Informática</w:t>
      </w:r>
    </w:p>
    <w:p w14:paraId="00000004">
      <w:pPr>
        <w:spacing w:after="0" w:lineRule="auto"/>
        <w:jc w:val="center"/>
        <w:rPr/>
      </w:pPr>
      <w:r>
        <w:rPr>
          <w:smallCaps w:val="1"/>
          <w:rtl w:val="0"/>
        </w:rPr>
        <w:t xml:space="preserve">Especialização em Residência em Tecnologia da Informação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w14:paraId="00000005">
      <w:pPr>
        <w:spacing w:after="0" w:lineRule="auto"/>
        <w:jc w:val="center"/>
        <w:rPr/>
      </w:pPr>
      <w:r>
        <w:rPr>
          <w:rtl w:val="0"/>
        </w:rPr>
      </w:r>
    </w:p>
    <w:p w14:paraId="00000006">
      <w:pPr>
        <w:spacing w:after="0" w:lineRule="auto"/>
        <w:jc w:val="center"/>
        <w:rPr/>
      </w:pPr>
      <w:r>
        <w:rPr>
          <w:rtl w:val="0"/>
        </w:rPr>
      </w:r>
    </w:p>
    <w:p w14:paraId="00000007">
      <w:pPr>
        <w:spacing w:after="0" w:lineRule="auto"/>
        <w:jc w:val="center"/>
        <w:rPr/>
      </w:pPr>
      <w:r>
        <w:rPr>
          <w:rtl w:val="0"/>
        </w:rPr>
      </w:r>
    </w:p>
    <w:p w14:paraId="00000008">
      <w:pPr>
        <w:spacing w:after="0" w:lineRule="auto"/>
        <w:jc w:val="center"/>
        <w:rPr/>
      </w:pPr>
      <w:r>
        <w:rPr>
          <w:rtl w:val="0"/>
        </w:rPr>
      </w:r>
    </w:p>
    <w:p w14:paraId="00000009">
      <w:pPr>
        <w:spacing w:after="0" w:lineRule="auto"/>
        <w:jc w:val="center"/>
        <w:rPr/>
      </w:pPr>
      <w:r>
        <w:rPr>
          <w:rtl w:val="0"/>
        </w:rPr>
      </w:r>
    </w:p>
    <w:p w14:paraId="0000000A">
      <w:pPr>
        <w:spacing w:after="0" w:lineRule="auto"/>
        <w:jc w:val="center"/>
        <w:rPr/>
      </w:pPr>
      <w:r>
        <w:rPr>
          <w:rtl w:val="0"/>
        </w:rPr>
      </w:r>
    </w:p>
    <w:p w14:paraId="0000000B">
      <w:pPr>
        <w:spacing w:after="0" w:lineRule="auto"/>
        <w:jc w:val="center"/>
        <w:rPr/>
      </w:pPr>
      <w:r>
        <w:rPr>
          <w:rtl w:val="0"/>
        </w:rPr>
      </w:r>
    </w:p>
    <w:p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14:paraId="0000000F">
      <w:pPr>
        <w:spacing w:after="0" w:lineRule="auto"/>
        <w:jc w:val="center"/>
        <w:rPr/>
      </w:pPr>
      <w:r>
        <w:rPr>
          <w:rtl w:val="0"/>
        </w:rPr>
      </w:r>
    </w:p>
    <w:p w14:paraId="00000010">
      <w:pPr>
        <w:spacing w:after="0" w:lineRule="auto"/>
        <w:jc w:val="center"/>
        <w:rPr/>
      </w:pPr>
      <w:r>
        <w:rPr>
          <w:rtl w:val="0"/>
        </w:rPr>
      </w:r>
    </w:p>
    <w:p w14:paraId="00000011">
      <w:pPr>
        <w:spacing w:after="0" w:lineRule="auto"/>
        <w:jc w:val="center"/>
        <w:rPr/>
      </w:pPr>
      <w:r>
        <w:rPr>
          <w:rtl w:val="0"/>
        </w:rPr>
      </w:r>
    </w:p>
    <w:p w14:paraId="00000012">
      <w:pPr>
        <w:spacing w:after="0" w:lineRule="auto"/>
        <w:jc w:val="center"/>
        <w:rPr/>
      </w:pPr>
      <w:r>
        <w:rPr>
          <w:rtl w:val="0"/>
        </w:rPr>
      </w:r>
    </w:p>
    <w:p w14:paraId="00000013">
      <w:pPr>
        <w:spacing w:after="0" w:lineRule="auto"/>
        <w:jc w:val="center"/>
        <w:rPr/>
      </w:pPr>
      <w:r>
        <w:rPr>
          <w:rtl w:val="0"/>
        </w:rPr>
      </w:r>
    </w:p>
    <w:p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14:paraId="00000015">
      <w:pPr>
        <w:spacing w:after="0" w:lineRule="auto"/>
        <w:jc w:val="center"/>
        <w:rPr/>
      </w:pPr>
      <w:r>
        <w:rPr>
          <w:rtl w:val="0"/>
        </w:rPr>
      </w:r>
    </w:p>
    <w:p w14:paraId="00000016">
      <w:pPr>
        <w:spacing w:after="0" w:lineRule="auto"/>
        <w:jc w:val="center"/>
        <w:rPr/>
      </w:pPr>
      <w:r>
        <w:rPr>
          <w:rtl w:val="0"/>
        </w:rPr>
      </w:r>
    </w:p>
    <w:p w14:paraId="00000017">
      <w:pPr>
        <w:spacing w:after="0" w:lineRule="auto"/>
        <w:jc w:val="center"/>
        <w:rPr/>
      </w:pPr>
      <w:r>
        <w:rPr>
          <w:rtl w:val="0"/>
        </w:rPr>
      </w:r>
    </w:p>
    <w:p w14:paraId="00000018">
      <w:pPr>
        <w:spacing w:after="0" w:lineRule="auto"/>
        <w:jc w:val="center"/>
        <w:rPr/>
      </w:pPr>
      <w:r>
        <w:rPr>
          <w:rtl w:val="0"/>
        </w:rPr>
      </w:r>
    </w:p>
    <w:p w14:paraId="00000019">
      <w:pPr>
        <w:spacing w:after="0" w:lineRule="auto"/>
        <w:jc w:val="center"/>
        <w:rPr/>
      </w:pPr>
      <w:r>
        <w:rPr>
          <w:rtl w:val="0"/>
        </w:rPr>
      </w:r>
    </w:p>
    <w:p w14:paraId="0000001A">
      <w:pPr>
        <w:spacing w:after="0" w:lineRule="auto"/>
        <w:jc w:val="center"/>
        <w:rPr/>
      </w:pPr>
      <w:r>
        <w:rPr>
          <w:rtl w:val="0"/>
        </w:rPr>
      </w:r>
    </w:p>
    <w:p w14:paraId="0000001B">
      <w:pPr>
        <w:spacing w:after="0" w:lineRule="auto"/>
        <w:jc w:val="center"/>
        <w:rPr/>
      </w:pPr>
      <w:r>
        <w:rPr>
          <w:rtl w:val="0"/>
        </w:rPr>
      </w:r>
    </w:p>
    <w:p w14:paraId="0000001C">
      <w:pPr>
        <w:spacing w:after="0" w:lineRule="auto"/>
        <w:jc w:val="center"/>
        <w:rPr/>
      </w:pPr>
      <w:r>
        <w:rPr>
          <w:rtl w:val="0"/>
        </w:rPr>
      </w:r>
    </w:p>
    <w:p w14:paraId="0000001D">
      <w:pPr>
        <w:spacing w:after="0" w:lineRule="auto"/>
        <w:jc w:val="center"/>
        <w:rPr/>
      </w:pPr>
      <w:r>
        <w:rPr>
          <w:rtl w:val="0"/>
        </w:rPr>
      </w:r>
    </w:p>
    <w:p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14:paraId="0000001F">
      <w:pPr>
        <w:spacing w:after="0" w:lineRule="auto"/>
        <w:jc w:val="center"/>
        <w:rPr/>
      </w:pPr>
      <w:r>
        <w:rPr>
          <w:rtl w:val="0"/>
        </w:rPr>
      </w:r>
    </w:p>
    <w:p w14:paraId="00000020">
      <w:pPr>
        <w:spacing w:after="0" w:lineRule="auto"/>
        <w:jc w:val="center"/>
        <w:rPr/>
      </w:pPr>
      <w:r>
        <w:rPr>
          <w:rtl w:val="0"/>
        </w:rPr>
      </w:r>
    </w:p>
    <w:p w14:paraId="00000021">
      <w:pPr>
        <w:spacing w:after="0" w:lineRule="auto"/>
        <w:jc w:val="center"/>
        <w:rPr/>
      </w:pPr>
      <w:r>
        <w:rPr>
          <w:rtl w:val="0"/>
        </w:rPr>
      </w:r>
    </w:p>
    <w:p w14:paraId="00000022">
      <w:pPr>
        <w:spacing w:after="0" w:lineRule="auto"/>
        <w:jc w:val="center"/>
        <w:rPr/>
      </w:pPr>
      <w:r>
        <w:rPr>
          <w:rtl w:val="0"/>
        </w:rPr>
      </w:r>
    </w:p>
    <w:p w14:paraId="00000023">
      <w:pPr>
        <w:spacing w:after="0" w:lineRule="auto"/>
        <w:jc w:val="center"/>
        <w:rPr/>
      </w:pPr>
      <w:r>
        <w:rPr>
          <w:rtl w:val="0"/>
        </w:rPr>
      </w:r>
    </w:p>
    <w:p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14:paraId="00000026">
      <w:pPr>
        <w:spacing w:after="0" w:lineRule="auto"/>
        <w:jc w:val="center"/>
        <w:rPr/>
      </w:pPr>
      <w:r>
        <w:rPr>
          <w:rtl w:val="0"/>
        </w:rPr>
        <w:t xml:space="preserve">UNIVERSIDADE FEDERAL DE GOIÁS</w:t>
      </w:r>
    </w:p>
    <w:p w14:paraId="00000027">
      <w:pPr>
        <w:spacing w:after="0" w:lineRule="auto"/>
        <w:jc w:val="center"/>
        <w:rPr>
          <w:smallCaps w:val="1"/>
        </w:rPr>
      </w:pPr>
      <w:r>
        <w:rPr>
          <w:smallCaps w:val="1"/>
          <w:rtl w:val="0"/>
        </w:rPr>
        <w:t xml:space="preserve">Instituto de Informática</w:t>
      </w:r>
    </w:p>
    <w:p w14:paraId="00000028">
      <w:pPr>
        <w:spacing w:after="0" w:lineRule="auto"/>
        <w:jc w:val="center"/>
        <w:rPr>
          <w:smallCaps w:val="1"/>
        </w:rPr>
      </w:pPr>
      <w:r>
        <w:rPr>
          <w:smallCaps w:val="1"/>
          <w:rtl w:val="0"/>
        </w:rPr>
        <w:t xml:space="preserve">Especialização em Residência em Tecnologia da Informação</w:t>
      </w:r>
    </w:p>
    <w:p w14:paraId="00000029">
      <w:pPr>
        <w:spacing w:after="0" w:lineRule="auto"/>
        <w:jc w:val="center"/>
        <w:rPr/>
      </w:pPr>
      <w:r>
        <w:rPr>
          <w:rtl w:val="0"/>
        </w:rPr>
      </w:r>
    </w:p>
    <w:p w14:paraId="0000002A">
      <w:pPr>
        <w:spacing w:after="0" w:lineRule="auto"/>
        <w:jc w:val="center"/>
        <w:rPr/>
      </w:pPr>
      <w:r>
        <w:rPr>
          <w:rtl w:val="0"/>
        </w:rPr>
      </w:r>
    </w:p>
    <w:p w14:paraId="0000002B">
      <w:pPr>
        <w:spacing w:after="0" w:lineRule="auto"/>
        <w:jc w:val="center"/>
        <w:rPr/>
      </w:pPr>
      <w:r>
        <w:rPr>
          <w:rtl w:val="0"/>
        </w:rPr>
      </w:r>
    </w:p>
    <w:p w14:paraId="0000002C">
      <w:pPr>
        <w:spacing w:after="0" w:lineRule="auto"/>
        <w:jc w:val="center"/>
        <w:rPr/>
      </w:pPr>
      <w:r>
        <w:rPr>
          <w:rtl w:val="0"/>
        </w:rPr>
      </w:r>
    </w:p>
    <w:p w14:paraId="0000002D">
      <w:pPr>
        <w:spacing w:after="0" w:lineRule="auto"/>
        <w:jc w:val="center"/>
        <w:rPr/>
      </w:pPr>
      <w:r>
        <w:rPr>
          <w:rtl w:val="0"/>
        </w:rPr>
      </w:r>
    </w:p>
    <w:p w14:paraId="0000002E">
      <w:pPr>
        <w:spacing w:after="0" w:lineRule="auto"/>
        <w:jc w:val="center"/>
        <w:rPr/>
      </w:pPr>
      <w:r>
        <w:rPr>
          <w:rtl w:val="0"/>
        </w:rPr>
      </w:r>
    </w:p>
    <w:p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14:paraId="00000032">
      <w:pPr>
        <w:spacing w:after="0" w:lineRule="auto"/>
        <w:jc w:val="center"/>
        <w:rPr/>
      </w:pPr>
      <w:r>
        <w:rPr>
          <w:rtl w:val="0"/>
        </w:rPr>
      </w:r>
    </w:p>
    <w:p w14:paraId="00000033">
      <w:pPr>
        <w:spacing w:after="0" w:lineRule="auto"/>
        <w:jc w:val="center"/>
        <w:rPr/>
      </w:pPr>
      <w:r>
        <w:rPr>
          <w:rtl w:val="0"/>
        </w:rPr>
      </w:r>
    </w:p>
    <w:p w14:paraId="00000034">
      <w:pPr>
        <w:spacing w:after="0" w:lineRule="auto"/>
        <w:jc w:val="center"/>
        <w:rPr/>
      </w:pPr>
      <w:r>
        <w:rPr>
          <w:rtl w:val="0"/>
        </w:rPr>
      </w:r>
    </w:p>
    <w:p w14:paraId="00000035">
      <w:pPr>
        <w:spacing w:after="0" w:lineRule="auto"/>
        <w:jc w:val="center"/>
        <w:rPr/>
      </w:pPr>
      <w:r>
        <w:rPr>
          <w:rtl w:val="0"/>
        </w:rPr>
      </w:r>
    </w:p>
    <w:p w14:paraId="00000036">
      <w:pPr>
        <w:spacing w:after="0" w:lineRule="auto"/>
        <w:jc w:val="center"/>
        <w:rPr/>
      </w:pPr>
      <w:r>
        <w:rPr>
          <w:rtl w:val="0"/>
        </w:rPr>
      </w:r>
    </w:p>
    <w:p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>
        <w:rPr>
          <w:rtl w:val="0"/>
        </w:rPr>
      </w:r>
    </w:p>
    <w:p w14:paraId="00000039">
      <w:pPr>
        <w:tabs>
          <w:tab w:val="left" w:leader="none" w:pos="709"/>
        </w:tabs>
        <w:spacing w:after="360" w:line="240" w:lineRule="auto"/>
        <w:jc w:val="center"/>
        <w:rPr/>
      </w:pPr>
      <w:r>
        <w:rPr>
          <w:rtl w:val="0"/>
        </w:rPr>
      </w:r>
    </w:p>
    <w:p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14:paraId="0000003B">
      <w:pPr>
        <w:spacing w:after="0" w:lineRule="auto"/>
        <w:ind w:left="3828" w:firstLine="0"/>
        <w:jc w:val="both"/>
        <w:rPr/>
      </w:pPr>
      <w:r>
        <w:rPr>
          <w:rtl w:val="0"/>
        </w:rPr>
      </w:r>
    </w:p>
    <w:p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14:paraId="0000003D">
      <w:pPr>
        <w:rPr/>
      </w:pPr>
      <w:r>
        <w:br w:type="page"/>
      </w:r>
      <w:r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foi realizada por inspeção arquitetural, testes automatizados de unidade e contrato, análise estática, build de produção e verificação da configuração Docker Compose. Em 31 de julho de 2026, a API concluiu 305 testes e o frontend concluiu 169, totalizando 474 testes aprovados, sem falhas. O lint da API, o build Vite do frontend e a validação estática do Compose também foram aprovados. Os fluxos reais dos provedores foram experimentados pelo autor durante a construção do MVP; entretanto, não houve estudo formal de usabilidade com amostra externa, o que é assumido como limitação metodológica.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organização, reduzindo o risco de bloqueio associado ao uso inadequado do WhatsApp Web.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34 arquivos: regras, filas, webhooks, segurança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305 aprovados; 0 falhas; 0 ignorados.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31 arquivos: auth, serviços, páginas, diálogos e realtime.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169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474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Aprovado; 376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474 testes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templates, permissões e campanhas com falhas parciais.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Essa propriedade melhora a continuidade operacional e permite corrigir somente o destino afetado.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versão funcional está publicada em `https://notify-flow.onrender.com/`. A demonstração recomendada começa pelo painel administrativo: conferir a saúde, abrir configurações mascaradas, criar um convite, autorizar um contato, preparar templates e revisar uma campanha. Em seguida, o preceptor pode observar o trabalho na fila, abrir o detalhamento por contato e conferir no Meu Perfil o mesmo histórico sob a perspectiva do titular.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demonstrou que o Notify Flow atingiu o estágio de MVP funcional. A solução integra três canais, oferece interfaces administrativas e públicas, processa campanhas em fila, recebe eventos por webhook e atualiza o painel em tempo real. As 474 verificações automatizadas aprovadas, o lint, o build e a validação do Compose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21 modelos, 18 módulos de rota, 34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305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31 arquivos de teste, build 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169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C5">
    <w:pPr>
      <w:jc w:val="right"/>
      <w:rPr/>
    </w:pPr>
    <w:r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CB">
    <w:pPr>
      <w:widowControl w:val="0"/>
      <w:spacing w:after="0" w:lineRule="auto"/>
      <w:rPr/>
    </w:pPr>
    <w:r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C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C7">
    <w:pPr>
      <w:widowControl w:val="0"/>
      <w:spacing w:after="0" w:lineRule="auto"/>
      <w:rPr>
        <w:sz w:val="20"/>
        <w:szCs w:val="20"/>
      </w:rPr>
    </w:pPr>
    <w:r>
      <w:rPr>
        <w:rtl w:val="0"/>
      </w:rPr>
    </w:r>
  </w:p>
  <w:sdt>
    <w:sdtPr>
      <w:lock w:val="contentLocked"/>
      <w:id w:val="600782376"/>
      <w:tag w:val="goog_rdk_1"/>
    </w:sdtPr>
    <w:sdtContent>
      <w:r>
        <w:rPr>
          <w:i w:val="1"/>
          <w:iCs w:val="1"/>
          <w:sz w:val="16"/>
          <w:szCs w:val="16"/>
        </w:rPr>
        <w:t>Notify Flow — Relatório de Impacto, Testes e Validação</w:t>
      </w:r>
    </w:sdtContent>
  </w:sdt>
  <w:p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>
      <w:rPr>
        <w:rtl w:val="0"/>
      </w:rPr>
    </w:r>
  </w:p>
  <w:p w14:paraId="000000CA">
    <w:pPr>
      <w:rPr/>
    </w:pPr>
    <w:r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0S6/04+kBt8IJmYFa3uL1vWSw==">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/4wTM405eP+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+MEzINOXj/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title>Notify Flow: Relatório De Impacto, Testes E Validação De Uma Plataforma Multicanal De Notificações Consentidas</dc:title>
  <dc:subject>Gate 4 — Testes e Validação do MVP Notify Flow</dc:subject>
  <cp:lastModifiedBy/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