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63F0" w14:textId="77777777" w:rsidR="004978E7" w:rsidRPr="00232645" w:rsidRDefault="00000000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Aviso importante: todos os textos em vermelho devem ser preenchidos. </w:t>
      </w:r>
    </w:p>
    <w:tbl>
      <w:tblPr>
        <w:tblStyle w:val="a2"/>
        <w:tblpPr w:leftFromText="180" w:rightFromText="180" w:topFromText="181" w:bottomFromText="180" w:vertAnchor="page" w:horzAnchor="margin" w:tblpXSpec="center" w:tblpY="2056"/>
        <w:tblW w:w="10095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2707"/>
        <w:gridCol w:w="567"/>
        <w:gridCol w:w="708"/>
        <w:gridCol w:w="1560"/>
        <w:gridCol w:w="2873"/>
      </w:tblGrid>
      <w:tr w:rsidR="004978E7" w:rsidRPr="00232645" w14:paraId="4A85B703" w14:textId="77777777">
        <w:trPr>
          <w:trHeight w:val="551"/>
        </w:trPr>
        <w:tc>
          <w:tcPr>
            <w:tcW w:w="10095" w:type="dxa"/>
            <w:gridSpan w:val="6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609EE360" w14:textId="77777777" w:rsidR="004978E7" w:rsidRPr="00232645" w:rsidRDefault="00000000">
            <w:pPr>
              <w:widowControl w:val="0"/>
              <w:spacing w:before="33"/>
              <w:ind w:right="-20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PLANO DE SUSTENTABILIDADE</w:t>
            </w:r>
          </w:p>
        </w:tc>
      </w:tr>
      <w:tr w:rsidR="004978E7" w:rsidRPr="00232645" w14:paraId="2B1FF5C0" w14:textId="77777777">
        <w:trPr>
          <w:trHeight w:val="300"/>
        </w:trPr>
        <w:tc>
          <w:tcPr>
            <w:tcW w:w="10095" w:type="dxa"/>
            <w:gridSpan w:val="6"/>
            <w:shd w:val="clear" w:color="auto" w:fill="EFEFEF"/>
          </w:tcPr>
          <w:p w14:paraId="06CABF77" w14:textId="77777777" w:rsidR="004978E7" w:rsidRPr="00232645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4978E7" w:rsidRPr="00232645" w14:paraId="1A13394F" w14:textId="77777777">
        <w:trPr>
          <w:trHeight w:val="225"/>
        </w:trPr>
        <w:tc>
          <w:tcPr>
            <w:tcW w:w="1680" w:type="dxa"/>
            <w:shd w:val="clear" w:color="auto" w:fill="F1F1F1"/>
          </w:tcPr>
          <w:p w14:paraId="04237F1A" w14:textId="77777777" w:rsidR="004978E7" w:rsidRPr="00232645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Convênio/Ano:</w:t>
            </w:r>
          </w:p>
        </w:tc>
        <w:tc>
          <w:tcPr>
            <w:tcW w:w="8415" w:type="dxa"/>
            <w:gridSpan w:val="5"/>
          </w:tcPr>
          <w:p w14:paraId="60CFAC56" w14:textId="77777777" w:rsidR="004978E7" w:rsidRPr="00232645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4978E7" w:rsidRPr="00232645" w14:paraId="6F59B19E" w14:textId="77777777">
        <w:trPr>
          <w:trHeight w:val="315"/>
        </w:trPr>
        <w:tc>
          <w:tcPr>
            <w:tcW w:w="1680" w:type="dxa"/>
            <w:shd w:val="clear" w:color="auto" w:fill="F1F1F1"/>
          </w:tcPr>
          <w:p w14:paraId="6E8A4BE9" w14:textId="77777777" w:rsidR="004978E7" w:rsidRPr="00232645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415" w:type="dxa"/>
            <w:gridSpan w:val="5"/>
          </w:tcPr>
          <w:p w14:paraId="4A8F1D09" w14:textId="77777777" w:rsidR="004978E7" w:rsidRPr="00232645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4978E7" w:rsidRPr="00232645" w14:paraId="3F47B46E" w14:textId="77777777" w:rsidTr="00F30FB2">
        <w:trPr>
          <w:trHeight w:val="255"/>
        </w:trPr>
        <w:tc>
          <w:tcPr>
            <w:tcW w:w="1680" w:type="dxa"/>
            <w:shd w:val="clear" w:color="auto" w:fill="F1F1F1"/>
          </w:tcPr>
          <w:p w14:paraId="5EFFE1F3" w14:textId="77777777" w:rsidR="004978E7" w:rsidRPr="00232645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2707" w:type="dxa"/>
          </w:tcPr>
          <w:p w14:paraId="198C0251" w14:textId="77777777" w:rsidR="004978E7" w:rsidRPr="00232645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2835" w:type="dxa"/>
            <w:gridSpan w:val="3"/>
            <w:shd w:val="clear" w:color="auto" w:fill="F1F1F1"/>
          </w:tcPr>
          <w:p w14:paraId="2B41AB81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2873" w:type="dxa"/>
          </w:tcPr>
          <w:p w14:paraId="115D31AF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4978E7" w:rsidRPr="00232645" w14:paraId="3B933448" w14:textId="77777777">
        <w:trPr>
          <w:trHeight w:val="216"/>
        </w:trPr>
        <w:tc>
          <w:tcPr>
            <w:tcW w:w="10095" w:type="dxa"/>
            <w:gridSpan w:val="6"/>
            <w:shd w:val="clear" w:color="auto" w:fill="EFEFEF"/>
          </w:tcPr>
          <w:p w14:paraId="3CE1C018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Objetivos Do Convênio</w:t>
            </w:r>
          </w:p>
        </w:tc>
      </w:tr>
      <w:tr w:rsidR="004978E7" w:rsidRPr="00232645" w14:paraId="2B45250F" w14:textId="77777777">
        <w:trPr>
          <w:trHeight w:val="216"/>
        </w:trPr>
        <w:tc>
          <w:tcPr>
            <w:tcW w:w="10095" w:type="dxa"/>
            <w:gridSpan w:val="6"/>
          </w:tcPr>
          <w:p w14:paraId="194986A6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Objetivo deste projeto é dotar este município de melhorias na infraestrutura da malha viária buscando melhor atender a população da cidade nos aspectos socioeconômicos, encaminhamos esta proposta, pois ainda há vias em {{MUNICIPIO}} - {{UF}}.</w:t>
            </w:r>
          </w:p>
          <w:p w14:paraId="34BF55A3" w14:textId="77777777" w:rsidR="004978E7" w:rsidRPr="00232645" w:rsidRDefault="004978E7">
            <w:pPr>
              <w:widowControl w:val="0"/>
              <w:spacing w:before="28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78E7" w:rsidRPr="00232645" w14:paraId="4B24CA3D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16AB77EF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Impactos Socioeconômicos</w:t>
            </w:r>
          </w:p>
        </w:tc>
      </w:tr>
      <w:tr w:rsidR="004978E7" w:rsidRPr="00232645" w14:paraId="40DD4E95" w14:textId="77777777">
        <w:trPr>
          <w:trHeight w:val="216"/>
        </w:trPr>
        <w:tc>
          <w:tcPr>
            <w:tcW w:w="10095" w:type="dxa"/>
            <w:gridSpan w:val="6"/>
          </w:tcPr>
          <w:p w14:paraId="5D6F6BC3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Geração de empregos locais: A reforma da casa de farinha pode exigir mão de obra local, incluindo carpinteiros, pedreiros, eletricistas, entre outros. Isso pode gerar empregos temporários ou permanentes na comunidade, contribuindo para a renda das famílias locais.</w:t>
            </w:r>
          </w:p>
          <w:p w14:paraId="1685FD5F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2D55DDB6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Aumento da produtividade: Uma casa de farinha reformada pode operar de forma mais eficiente e produtiva. Equipamentos modernizados e melhores condições de trabalho podem resultar em um aumento na produção de farinha, o que pode beneficiar tanto os proprietários da casa de farinha quanto os agricultores que fornecem matéria-prima.</w:t>
            </w:r>
          </w:p>
          <w:p w14:paraId="52274B6F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4885C3A1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Melhoria na qualidade do produto: A reforma pode permitir a introdução de tecnologias modernas que melhoram a qualidade da farinha produzida. Isso pode abrir novos mercados para o produto, aumentando assim o potencial de renda para os produtores locais.</w:t>
            </w:r>
          </w:p>
          <w:p w14:paraId="4EAEDD51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256D407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Fortalecimento da economia local: Uma casa de farinha mais eficiente e produtiva pode impulsionar a economia local, gerando mais receita para os produtores, fornecedores e trabalhadores envolvidos na cadeia de produção de farinha.</w:t>
            </w:r>
          </w:p>
          <w:p w14:paraId="6B501A55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B0F12AE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Desenvolvimento de habilidades: A introdução de novas tecnologias e práticas de produção durante a reforma da casa de farinha pode oferecer oportunidades de desenvolvimento de habilidades para os trabalhadores locais. Isso pode aumentar sua empregabilidade e capacidade de ganhar renda no futuro.</w:t>
            </w:r>
          </w:p>
          <w:p w14:paraId="0C4C9B52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1EF40D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Atração de investimentos: Uma casa de farinha reformada e modernizada pode atrair investidores interessados ​​em apoiar negócios locais sustentáveis. Isso pode abrir portas para financiamento adicional e parcerias que beneficiem ainda mais a comunidade.</w:t>
            </w:r>
          </w:p>
          <w:p w14:paraId="0298B209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36F2C309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Impacto ambiental: Dependendo das alterações feitas durante a reforma, pode haver um impacto ambiental positivo, como a redução do consumo de energia ou a implementação de práticas mais sustentáveis ​​de gestão de resíduos.</w:t>
            </w:r>
          </w:p>
          <w:p w14:paraId="1A30F9DB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63EDF8E9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Em resumo, uma reforma em uma casa de farinha pode ter uma série de impactos socioeconômicos positivos, contribuindo para o desenvolvimento econômico e social de uma comunidade rural.</w:t>
            </w:r>
          </w:p>
          <w:p w14:paraId="3B72DEE2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978E7" w:rsidRPr="00232645" w14:paraId="2F6A7083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051C72BD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Durabilidade e Manutenção Do Objeto</w:t>
            </w:r>
          </w:p>
        </w:tc>
      </w:tr>
      <w:tr w:rsidR="004978E7" w:rsidRPr="00232645" w14:paraId="285C251E" w14:textId="77777777">
        <w:trPr>
          <w:trHeight w:val="216"/>
        </w:trPr>
        <w:tc>
          <w:tcPr>
            <w:tcW w:w="10095" w:type="dxa"/>
            <w:gridSpan w:val="6"/>
          </w:tcPr>
          <w:p w14:paraId="216B1FBE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Construção de uma edificação de casa de farinha tem previsão de durabilidade de 20 anos, considerando que devem ser realizadas manutenções periódicas nos elementos prediais que constituem o sistema.</w:t>
            </w:r>
          </w:p>
          <w:p w14:paraId="25AD80C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Entretanto, a durabilidade e a necessidade de manutenção de uma reforma em uma casa de farinha dependem de uma combinação de fatores, incluindo a qualidade da construção, a adequação das práticas de manutenção e a capacidade de resposta às necessidades operacionais em curso. Um planejamento cuidadoso e investimentos estratégicos podem ajudar a garantir que a casa de farinha permaneça em boas condições e continue a operar de forma eficiente por muitos anos.</w:t>
            </w:r>
          </w:p>
          <w:p w14:paraId="0C33554D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4978E7" w:rsidRPr="00232645" w14:paraId="55EB2C6F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7208C7F0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Custos e Fontes De Recursos</w:t>
            </w:r>
          </w:p>
        </w:tc>
      </w:tr>
      <w:tr w:rsidR="004978E7" w:rsidRPr="00232645" w14:paraId="4E44AFEC" w14:textId="77777777">
        <w:trPr>
          <w:trHeight w:val="216"/>
        </w:trPr>
        <w:tc>
          <w:tcPr>
            <w:tcW w:w="10095" w:type="dxa"/>
            <w:gridSpan w:val="6"/>
            <w:shd w:val="clear" w:color="auto" w:fill="FFFFFF"/>
          </w:tcPr>
          <w:p w14:paraId="3A148E0B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Os custos com manutenção periódica da obra serão garantidos com os recursos estão dispostos na rubrica orçamentária, n° 15.782.1005.1007.0000, detalhamento 4.4.90.51.04, da Lei Orçamentária Anual nº 285, de 17 de outubro de 2022.</w:t>
            </w:r>
          </w:p>
          <w:p w14:paraId="419A0F2B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978E7" w:rsidRPr="00232645" w14:paraId="6118F6BB" w14:textId="77777777">
        <w:trPr>
          <w:trHeight w:val="405"/>
        </w:trPr>
        <w:tc>
          <w:tcPr>
            <w:tcW w:w="10095" w:type="dxa"/>
            <w:gridSpan w:val="6"/>
            <w:shd w:val="clear" w:color="auto" w:fill="D9D9D9"/>
          </w:tcPr>
          <w:p w14:paraId="3C1DDFA1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Riscos e Medidas Preventivas</w:t>
            </w:r>
          </w:p>
        </w:tc>
      </w:tr>
      <w:tr w:rsidR="004978E7" w:rsidRPr="00232645" w14:paraId="57C67010" w14:textId="77777777" w:rsidTr="00F30FB2">
        <w:trPr>
          <w:trHeight w:val="216"/>
        </w:trPr>
        <w:tc>
          <w:tcPr>
            <w:tcW w:w="1680" w:type="dxa"/>
            <w:shd w:val="clear" w:color="auto" w:fill="F2F2F2"/>
            <w:vAlign w:val="center"/>
          </w:tcPr>
          <w:p w14:paraId="15BE5C92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Categoria do </w:t>
              <w:lastRenderedPageBreak/>
              <w:t>Risco</w:t>
            </w:r>
          </w:p>
        </w:tc>
        <w:tc>
          <w:tcPr>
            <w:tcW w:w="2707" w:type="dxa"/>
            <w:shd w:val="clear" w:color="auto" w:fill="F2F2F2"/>
            <w:vAlign w:val="center"/>
          </w:tcPr>
          <w:p w14:paraId="42F21173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Risco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B943C65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60DDE3CD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3B792C01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</w:t>
            </w:r>
          </w:p>
        </w:tc>
        <w:tc>
          <w:tcPr>
            <w:tcW w:w="2873" w:type="dxa"/>
            <w:shd w:val="clear" w:color="auto" w:fill="F2F2F2"/>
            <w:vAlign w:val="center"/>
          </w:tcPr>
          <w:p w14:paraId="3299F7DC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Medidas Preventivas</w:t>
            </w:r>
          </w:p>
        </w:tc>
      </w:tr>
      <w:tr w:rsidR="004978E7" w:rsidRPr="00232645" w14:paraId="2FF7F698" w14:textId="77777777" w:rsidTr="00F30FB2">
        <w:trPr>
          <w:trHeight w:val="216"/>
        </w:trPr>
        <w:tc>
          <w:tcPr>
            <w:tcW w:w="1680" w:type="dxa"/>
            <w:vAlign w:val="center"/>
          </w:tcPr>
          <w:p w14:paraId="72C5F80A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Financeiro</w:t>
            </w:r>
          </w:p>
        </w:tc>
        <w:tc>
          <w:tcPr>
            <w:tcW w:w="2707" w:type="dxa"/>
          </w:tcPr>
          <w:p w14:paraId="2FC99CDB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recurso financeiro para manutenção/reparo do objeto</w:t>
            </w:r>
          </w:p>
        </w:tc>
        <w:tc>
          <w:tcPr>
            <w:tcW w:w="567" w:type="dxa"/>
          </w:tcPr>
          <w:p w14:paraId="649355E6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0353385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AA43426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78715C8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Boa elaboração do objeto</w:t>
            </w:r>
          </w:p>
        </w:tc>
      </w:tr>
      <w:tr w:rsidR="004978E7" w:rsidRPr="00232645" w14:paraId="645F2C72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56BC04C0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Humano/Técnico</w:t>
            </w:r>
          </w:p>
        </w:tc>
        <w:tc>
          <w:tcPr>
            <w:tcW w:w="2707" w:type="dxa"/>
          </w:tcPr>
          <w:p w14:paraId="060F2A4C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equipe técnica especializada para acompanhar/ operacionalizar a execução do projeto</w:t>
            </w:r>
          </w:p>
        </w:tc>
        <w:tc>
          <w:tcPr>
            <w:tcW w:w="567" w:type="dxa"/>
          </w:tcPr>
          <w:p w14:paraId="0ED65258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F21BE4E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C8E82FC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6243F6C7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 xml:space="preserve">Conforme a Lei 14.133/2021, rege todas exigências tanto da empresa, assim como a pessoal especializado.</w:t>
            </w:r>
          </w:p>
        </w:tc>
      </w:tr>
      <w:tr w:rsidR="004978E7" w:rsidRPr="00232645" w14:paraId="36E7DEFA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323910CB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52460D7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equipe técnica especializada para acompanhar/ operacionalizar a manutenção do objeto concluído</w:t>
            </w:r>
          </w:p>
        </w:tc>
        <w:tc>
          <w:tcPr>
            <w:tcW w:w="567" w:type="dxa"/>
          </w:tcPr>
          <w:p w14:paraId="64807B21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30009175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0D901A2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0206C4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será acompanhada por profissional, tanto da Prefeitura quanto do órgão Concedente.</w:t>
            </w:r>
          </w:p>
        </w:tc>
      </w:tr>
      <w:tr w:rsidR="004978E7" w:rsidRPr="00232645" w14:paraId="5DC67DCE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7861F336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Ambiental</w:t>
            </w:r>
          </w:p>
        </w:tc>
        <w:tc>
          <w:tcPr>
            <w:tcW w:w="2707" w:type="dxa"/>
          </w:tcPr>
          <w:p w14:paraId="60BC490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Ocorrências de danos no objeto causados por fenômenos ou desastres naturais</w:t>
            </w:r>
          </w:p>
        </w:tc>
        <w:tc>
          <w:tcPr>
            <w:tcW w:w="567" w:type="dxa"/>
          </w:tcPr>
          <w:p w14:paraId="3249F59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5A5FAB9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345FAB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EAF65C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Prevenção/manutenção aos danos</w:t>
            </w:r>
          </w:p>
          <w:p w14:paraId="39DFE7A5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ao objeto, sanando, conforme necessidade do objeto</w:t>
            </w:r>
          </w:p>
        </w:tc>
      </w:tr>
      <w:tr w:rsidR="004978E7" w:rsidRPr="00232645" w14:paraId="7842353C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22D53203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67EC5F5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Ocorrências de possíveis danos ambientais causados pela execução ou</w:t>
            </w:r>
          </w:p>
          <w:p w14:paraId="7211E2D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entrega do objeto</w:t>
            </w:r>
          </w:p>
        </w:tc>
        <w:tc>
          <w:tcPr>
            <w:tcW w:w="567" w:type="dxa"/>
          </w:tcPr>
          <w:p w14:paraId="3339582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39F8CE87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917E78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5195798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estrada já existente, não apresenta nenhum risco, logo todo o projeto é planejado para diminuir ou não ter nenhum dano ambiental</w:t>
            </w:r>
          </w:p>
        </w:tc>
      </w:tr>
      <w:tr w:rsidR="004978E7" w:rsidRPr="00232645" w14:paraId="1E84D04E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1F0148E4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Tempo</w:t>
            </w:r>
          </w:p>
        </w:tc>
        <w:tc>
          <w:tcPr>
            <w:tcW w:w="2707" w:type="dxa"/>
          </w:tcPr>
          <w:p w14:paraId="0F5623AE" w14:textId="77777777" w:rsidR="004978E7" w:rsidRPr="00232645" w:rsidRDefault="00000000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Ausência ou insuficiência do prazo de garantia</w:t>
            </w:r>
          </w:p>
        </w:tc>
        <w:tc>
          <w:tcPr>
            <w:tcW w:w="567" w:type="dxa"/>
          </w:tcPr>
          <w:p w14:paraId="76A37D4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790B3B4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EED1AA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29257EF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Executar a obra em períodos de nenhuma ou pouquíssima chuva.</w:t>
            </w:r>
          </w:p>
        </w:tc>
      </w:tr>
      <w:tr w:rsidR="004978E7" w:rsidRPr="00232645" w14:paraId="7FD9E979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6837FC80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46DEB53C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Cancelamento de condições e garantias contratuais por perda de prazos</w:t>
            </w:r>
          </w:p>
        </w:tc>
        <w:tc>
          <w:tcPr>
            <w:tcW w:w="567" w:type="dxa"/>
          </w:tcPr>
          <w:p w14:paraId="68DB8680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8C3D62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BFCA25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5EBBDB7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-Elaboração de um bom Planejamento de Plano de Ataque da obra</w:t>
            </w:r>
          </w:p>
        </w:tc>
      </w:tr>
      <w:tr w:rsidR="004978E7" w:rsidRPr="00232645" w14:paraId="03E46D22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65DEB88C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Material</w:t>
            </w:r>
          </w:p>
        </w:tc>
        <w:tc>
          <w:tcPr>
            <w:tcW w:w="2707" w:type="dxa"/>
          </w:tcPr>
          <w:p w14:paraId="2C5ABAC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Inexistência de assistência técnica especializada na região</w:t>
            </w:r>
          </w:p>
        </w:tc>
        <w:tc>
          <w:tcPr>
            <w:tcW w:w="567" w:type="dxa"/>
          </w:tcPr>
          <w:p w14:paraId="2FBC886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6EC90FDC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2725938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67D57B3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contratada terá toda exigência, conforme a Lei 14.133/2021</w:t>
            </w:r>
          </w:p>
        </w:tc>
      </w:tr>
      <w:tr w:rsidR="004978E7" w:rsidRPr="00232645" w14:paraId="34509176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6D3B72C3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1CAE92A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Entrega do objeto defeituoso ou inacabado</w:t>
            </w:r>
          </w:p>
        </w:tc>
        <w:tc>
          <w:tcPr>
            <w:tcW w:w="567" w:type="dxa"/>
          </w:tcPr>
          <w:p w14:paraId="703C2AFD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F4A1974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8BF668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11CE599D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passará por inspeção, dias antes da entrega final da obra</w:t>
            </w:r>
          </w:p>
        </w:tc>
      </w:tr>
      <w:tr w:rsidR="004978E7" w:rsidRPr="00232645" w14:paraId="5CECF027" w14:textId="77777777" w:rsidTr="00F30FB2">
        <w:trPr>
          <w:trHeight w:val="216"/>
        </w:trPr>
        <w:tc>
          <w:tcPr>
            <w:tcW w:w="1680" w:type="dxa"/>
            <w:vAlign w:val="center"/>
          </w:tcPr>
          <w:p w14:paraId="11E922E7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Funcionalidade</w:t>
            </w:r>
          </w:p>
        </w:tc>
        <w:tc>
          <w:tcPr>
            <w:tcW w:w="2707" w:type="dxa"/>
          </w:tcPr>
          <w:p w14:paraId="37ECB2E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Perda de utilidade / funcionalidade antes do término da expectativa de vida útil do objeto</w:t>
            </w:r>
          </w:p>
        </w:tc>
        <w:tc>
          <w:tcPr>
            <w:tcW w:w="567" w:type="dxa"/>
          </w:tcPr>
          <w:p w14:paraId="0E97866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660D0D3D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DC1D0DA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2F76000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seguirá os critérios de execução e uso do material de qualidade para melhor durabilidade do objeto</w:t>
            </w:r>
          </w:p>
        </w:tc>
      </w:tr>
      <w:tr w:rsidR="004978E7" w:rsidRPr="00232645" w14:paraId="2ADDF401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08C5E48F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Órgãos e Entidades Responsáveis</w:t>
            </w:r>
          </w:p>
        </w:tc>
      </w:tr>
      <w:tr w:rsidR="004978E7" w:rsidRPr="00232645" w14:paraId="3A6D3AE1" w14:textId="77777777">
        <w:trPr>
          <w:trHeight w:val="508"/>
        </w:trPr>
        <w:tc>
          <w:tcPr>
            <w:tcW w:w="10095" w:type="dxa"/>
            <w:gridSpan w:val="6"/>
          </w:tcPr>
          <w:p w14:paraId="1FE68ABB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Prefeitura Municipal de {{MUNICIPIO}} – {{UF}} e Secretaria Municipal de Obras e Desenvolvimento Urbano.</w:t>
            </w:r>
          </w:p>
          <w:p w14:paraId="6A64DC88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B788BAE" w14:textId="77777777" w:rsidR="004978E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br/>
        <w:br/>
        <w:br/>
      </w:r>
      <w:r>
        <w:rPr>
          <w:color w:val="000000"/>
          <w:sz w:val="20"/>
          <w:szCs w:val="20"/>
        </w:rPr>
        <w:br/>
      </w:r>
      <w:r>
        <w:rPr>
          <w:sz w:val="24"/>
          <w:szCs w:val="24"/>
        </w:rPr>
        <w:br/>
      </w:r>
      <w:r>
        <w:rPr>
          <w:color w:val="000000"/>
          <w:sz w:val="23"/>
          <w:szCs w:val="23"/>
        </w:rPr>
        <w:br/>
      </w:r>
    </w:p>
    <w:p w14:paraId="2A933FB2" w14:textId="77777777" w:rsidR="004978E7" w:rsidRDefault="00000000">
      <w:pPr>
        <w:pBdr>
          <w:top w:val="single" w:sz="4" w:space="1" w:color="000000"/>
        </w:pBdr>
        <w:jc w:val="center"/>
        <w:rPr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  <w:highlight w:val="white"/>
        </w:rPr>
        <w:t>{{NOME_PREFEITO}}</w:t>
      </w:r>
    </w:p>
    <w:p w14:paraId="6DFF4CF4" w14:textId="77777777" w:rsidR="004978E7" w:rsidRDefault="00000000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Prefeito(a) do Município de </w:t>
      </w:r>
      <w:r>
        <w:rPr>
          <w:b/>
          <w:bCs/>
          <w:color w:val="FF0000"/>
          <w:sz w:val="20"/>
          <w:szCs w:val="20"/>
        </w:rPr>
        <w:t>{{MUNICIPIO}}</w:t>
      </w:r>
    </w:p>
    <w:sectPr w:rsidR="004978E7">
      <w:headerReference w:type="default" r:id="rId7"/>
      <w:pgSz w:w="11920" w:h="16840"/>
      <w:pgMar w:top="1433" w:right="1315" w:bottom="1613" w:left="154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811F" w14:textId="77777777" w:rsidR="004A1BFD" w:rsidRDefault="004A1BFD">
      <w:r>
        <w:separator/>
      </w:r>
    </w:p>
  </w:endnote>
  <w:endnote w:type="continuationSeparator" w:id="0">
    <w:p w14:paraId="7A7511BB" w14:textId="77777777" w:rsidR="004A1BFD" w:rsidRDefault="004A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8FCE" w14:textId="77777777" w:rsidR="004A1BFD" w:rsidRDefault="004A1BFD">
      <w:r>
        <w:separator/>
      </w:r>
    </w:p>
  </w:footnote>
  <w:footnote w:type="continuationSeparator" w:id="0">
    <w:p w14:paraId="36CDD042" w14:textId="77777777" w:rsidR="004A1BFD" w:rsidRDefault="004A1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BF9B" w14:textId="77777777" w:rsidR="004978E7" w:rsidRDefault="004978E7">
    <w:pPr>
      <w:jc w:val="center"/>
      <w:rPr>
        <w:rFonts w:ascii="Arial Narrow" w:eastAsia="Arial Narrow" w:hAnsi="Arial Narrow" w:cs="Arial Narrow"/>
        <w:sz w:val="20"/>
        <w:szCs w:val="20"/>
      </w:rPr>
    </w:pPr>
  </w:p>
  <w:p w14:paraId="390F9100" w14:textId="77777777" w:rsidR="004978E7" w:rsidRDefault="004978E7">
    <w:pPr>
      <w:tabs>
        <w:tab w:val="center" w:pos="4252"/>
        <w:tab w:val="right" w:pos="8504"/>
      </w:tabs>
      <w:jc w:val="center"/>
      <w:rPr>
        <w:b/>
        <w:bCs/>
        <w:color w:val="FF0000"/>
        <w:sz w:val="28"/>
        <w:szCs w:val="28"/>
        <w:highlight w:val="yellow"/>
      </w:rPr>
    </w:pPr>
  </w:p>
  <w:p w14:paraId="253A71DC" w14:textId="77777777" w:rsidR="004978E7" w:rsidRPr="00232645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E7"/>
    <w:rsid w:val="00232645"/>
    <w:rsid w:val="004978E7"/>
    <w:rsid w:val="004A1BFD"/>
    <w:rsid w:val="005B5E16"/>
    <w:rsid w:val="00F3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55E8"/>
  <w15:docId w15:val="{12CA8C7E-354A-4FCB-B235-08522780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MOi0BvtBHwy855MMPnmJKOJ0A==">CgMxLjA4AHIhMThJcDNEQ3F5eHhuWWtDVHdESnVGRWJscHpfdGJzMjVL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853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FGV IBRE</cp:lastModifiedBy>
  <cp:revision>3</cp:revision>
  <dcterms:created xsi:type="dcterms:W3CDTF">2024-05-20T19:06:00Z</dcterms:created>
  <dcterms:modified xsi:type="dcterms:W3CDTF">2026-05-18T17:34:00Z</dcterms:modified>
</cp:coreProperties>
</file>