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645D7004" w:rsidR="00EE0F22" w:rsidRPr="000B0EAD" w:rsidRDefault="008D312E"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681C30">
            <w:rPr>
              <w:sz w:val="32"/>
              <w:lang w:val="en-AU"/>
            </w:rPr>
            <w:t>[JOB_NAME]</w:t>
          </w:r>
        </w:sdtContent>
      </w:sdt>
      <w:bookmarkEnd w:id="0"/>
    </w:p>
    <w:p w14:paraId="1A38A073" w14:textId="2E626AEA" w:rsidR="004E5C9F" w:rsidRPr="000B0EAD" w:rsidRDefault="007E41A4" w:rsidP="004E5C9F">
      <w:pPr>
        <w:pStyle w:val="Heading1"/>
        <w:jc w:val="center"/>
        <w:rPr>
          <w:sz w:val="32"/>
          <w:lang w:val="en-AU"/>
        </w:rPr>
      </w:pPr>
      <w:r>
        <w:rPr>
          <w:sz w:val="32"/>
        </w:rPr>
        <w:t>CO Sensor Calibration</w:t>
      </w:r>
    </w:p>
    <w:p w14:paraId="05175ADD" w14:textId="7828A886"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25215D">
            <w:rPr>
              <w:sz w:val="32"/>
              <w:lang w:val="en-AU"/>
            </w:rPr>
            <w:t>[JOB_NUMBER]</w:t>
          </w:r>
        </w:sdtContent>
      </w:sdt>
      <w:bookmarkEnd w:id="1"/>
    </w:p>
    <w:bookmarkStart w:id="2" w:name="_Toc509561571" w:displacedByCustomXml="next"/>
    <w:sdt>
      <w:sdtPr>
        <w:rPr>
          <w:sz w:val="28"/>
          <w:lang w:val="en-AU"/>
        </w:rPr>
        <w:alias w:val="Status"/>
        <w:tag w:val=""/>
        <w:id w:val="-658774646"/>
        <w:placeholder>
          <w:docPart w:val="8B4B0F176BF14715B442E93C04EB39F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005C4A3" w14:textId="35091A39" w:rsidR="00EE0F22" w:rsidRPr="000B0EAD" w:rsidRDefault="00EE0F22" w:rsidP="00EE0F22">
          <w:pPr>
            <w:pStyle w:val="Heading2"/>
            <w:jc w:val="center"/>
            <w:rPr>
              <w:sz w:val="28"/>
              <w:lang w:val="en-AU"/>
            </w:rPr>
          </w:pPr>
          <w:r w:rsidRPr="000B0EAD">
            <w:rPr>
              <w:sz w:val="28"/>
              <w:lang w:val="en-AU"/>
            </w:rPr>
            <w:t>Rev A</w:t>
          </w:r>
        </w:p>
      </w:sdtContent>
    </w:sdt>
    <w:bookmarkEnd w:id="2" w:displacedByCustomXml="prev"/>
    <w:p w14:paraId="4A435FB5" w14:textId="52F7E8EB"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3" w:name="_Toc509561572"/>
      <w:r w:rsidR="00516BE3">
        <w:rPr>
          <w:noProof/>
          <w:sz w:val="28"/>
          <w:lang w:val="en-AU"/>
        </w:rPr>
        <w:t>Friday, 22 June 2018</w:t>
      </w:r>
      <w:bookmarkEnd w:id="3"/>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75818A74" w:rsidR="00C15BB0" w:rsidRDefault="00C15BB0" w:rsidP="00962402">
      <w:pPr>
        <w:pStyle w:val="BodyText"/>
      </w:pPr>
      <w:r>
        <w:lastRenderedPageBreak/>
        <w:fldChar w:fldCharType="begin"/>
      </w:r>
      <w:r>
        <w:instrText xml:space="preserve"> DATE \@ "dddd, dd MMMM yyyy" </w:instrText>
      </w:r>
      <w:r>
        <w:fldChar w:fldCharType="separate"/>
      </w:r>
      <w:r w:rsidR="00516BE3">
        <w:rPr>
          <w:noProof/>
        </w:rPr>
        <w:t>Friday, 22 June 2018</w:t>
      </w:r>
      <w:r>
        <w:fldChar w:fldCharType="end"/>
      </w:r>
    </w:p>
    <w:p w14:paraId="108F8EA4" w14:textId="452566B0" w:rsidR="00C15BB0" w:rsidRDefault="00C15BB0" w:rsidP="00962402">
      <w:pPr>
        <w:pStyle w:val="BodyText"/>
      </w:pPr>
      <w:r>
        <w:t>Dear the Estimator,</w:t>
      </w:r>
    </w:p>
    <w:p w14:paraId="6EC172FB" w14:textId="6E76133C"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681C30">
            <w:t>[JOB_NAME]</w:t>
          </w:r>
        </w:sdtContent>
      </w:sdt>
    </w:p>
    <w:p w14:paraId="0AA06F25" w14:textId="22BEC9C7" w:rsidR="007E41A4" w:rsidRDefault="00C15BB0" w:rsidP="007E41A4">
      <w:pPr>
        <w:pStyle w:val="BodyText"/>
      </w:pPr>
      <w:r>
        <w:t xml:space="preserve">Thank you for this opportunity to provide our proposal for the </w:t>
      </w:r>
      <w:r w:rsidR="007C36D7">
        <w:t>maintenance</w:t>
      </w:r>
      <w:r w:rsidR="007E41A4">
        <w:t xml:space="preserve"> and calibration</w:t>
      </w:r>
      <w:r>
        <w:t xml:space="preserve">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681C30">
            <w:t>[JOB_NAME]</w:t>
          </w:r>
        </w:sdtContent>
      </w:sdt>
      <w:r>
        <w:t>.</w:t>
      </w:r>
    </w:p>
    <w:p w14:paraId="2D332752" w14:textId="0AA36196" w:rsidR="009D5C5B" w:rsidRDefault="009D5C5B" w:rsidP="008E05F7">
      <w:pPr>
        <w:pStyle w:val="Heading1"/>
      </w:pPr>
      <w:r>
        <w:t>Pricing</w:t>
      </w:r>
    </w:p>
    <w:p w14:paraId="38E37A8E" w14:textId="5D0EBCAF" w:rsidR="007D6F80" w:rsidRPr="007D6F80" w:rsidRDefault="007D6F80" w:rsidP="007D6F80">
      <w:pPr>
        <w:pStyle w:val="BodyText"/>
        <w:jc w:val="center"/>
        <w:rPr>
          <w:lang w:eastAsia="en-US"/>
        </w:rPr>
      </w:pPr>
      <w:r w:rsidRPr="007D6F80">
        <w:rPr>
          <w:b/>
        </w:rPr>
        <w:t>Job Number:</w:t>
      </w:r>
      <w:r>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25215D">
            <w:rPr>
              <w:lang w:eastAsia="en-US"/>
            </w:rPr>
            <w:t>[JOB_NUMBER]</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tblLook w:val="04A0" w:firstRow="1" w:lastRow="0" w:firstColumn="1" w:lastColumn="0" w:noHBand="0" w:noVBand="1"/>
      </w:tblPr>
      <w:tblGrid>
        <w:gridCol w:w="1815"/>
        <w:gridCol w:w="1805"/>
      </w:tblGrid>
      <w:tr w:rsidR="008E05F7" w14:paraId="4F969166" w14:textId="77777777" w:rsidTr="008E05F7">
        <w:tc>
          <w:tcPr>
            <w:tcW w:w="0" w:type="auto"/>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0" w:type="auto"/>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8E05F7">
        <w:sdt>
          <w:sdtPr>
            <w:alias w:val="Abstract"/>
            <w:tag w:val=""/>
            <w:id w:val="1938398711"/>
            <w:placeholder>
              <w:docPart w:val="0D8258D548BB40FC8BC7BB779DAE775E"/>
            </w:placeholder>
            <w:showingPlcHdr/>
            <w:dataBinding w:prefixMappings="xmlns:ns0='http://schemas.microsoft.com/office/2006/coverPageProps' " w:xpath="/ns0:CoverPageProperties[1]/ns0:Abstract[1]" w:storeItemID="{55AF091B-3C7A-41E3-B477-F2FDAA23CFDA}"/>
            <w:text/>
          </w:sdtPr>
          <w:sdtEndPr/>
          <w:sdtContent>
            <w:tc>
              <w:tcPr>
                <w:tcW w:w="0" w:type="auto"/>
              </w:tcPr>
              <w:p w14:paraId="634D5CDD" w14:textId="71CDA347" w:rsidR="008E05F7" w:rsidRDefault="00A63586" w:rsidP="008E05F7">
                <w:pPr>
                  <w:pStyle w:val="BodyText"/>
                  <w:spacing w:before="0"/>
                </w:pPr>
                <w:r w:rsidRPr="00197B84">
                  <w:rPr>
                    <w:rStyle w:val="PlaceholderText"/>
                  </w:rPr>
                  <w:t>[Abstract]</w:t>
                </w:r>
              </w:p>
            </w:tc>
          </w:sdtContent>
        </w:sdt>
        <w:tc>
          <w:tcPr>
            <w:tcW w:w="0" w:type="auto"/>
          </w:tcPr>
          <w:p w14:paraId="29F0712A" w14:textId="10DE59D7" w:rsidR="008E05F7" w:rsidRDefault="008E05F7" w:rsidP="008E05F7">
            <w:pPr>
              <w:pStyle w:val="BodyText"/>
              <w:spacing w:before="0"/>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81C30">
                  <w:t>[PRICE]</w:t>
                </w:r>
              </w:sdtContent>
            </w:sdt>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4321AD">
      <w:pPr>
        <w:pStyle w:val="Heading1"/>
      </w:pPr>
      <w:r>
        <w:lastRenderedPageBreak/>
        <w:t xml:space="preserve">Technical Compliance </w:t>
      </w:r>
      <w:r w:rsidR="000B0EAD">
        <w:t>and</w:t>
      </w:r>
      <w:r>
        <w:t xml:space="preserve"> Qualifications</w:t>
      </w:r>
    </w:p>
    <w:p w14:paraId="3EA8B888" w14:textId="1BB0CCCC" w:rsidR="004321AD" w:rsidRPr="004321AD" w:rsidRDefault="004321AD" w:rsidP="004321AD">
      <w:pPr>
        <w:pStyle w:val="Heading2"/>
      </w:pPr>
      <w:r>
        <w:t>Total Price Inclusions</w:t>
      </w:r>
      <w:bookmarkStart w:id="4" w:name="_GoBack"/>
      <w:bookmarkEnd w:id="4"/>
    </w:p>
    <w:p w14:paraId="710434FE" w14:textId="31A3431F" w:rsidR="004321AD" w:rsidRPr="00FC6280" w:rsidRDefault="004321AD" w:rsidP="00FC6280">
      <w:pPr>
        <w:pStyle w:val="Heading3"/>
      </w:pPr>
      <w:r w:rsidRPr="0003395C">
        <w:t>Inclusions</w:t>
      </w:r>
    </w:p>
    <w:sdt>
      <w:sdtPr>
        <w:alias w:val="Abstract"/>
        <w:tag w:val=""/>
        <w:id w:val="-312563260"/>
        <w:placeholder>
          <w:docPart w:val="6F6C6B24ED6649EE828C5F3EDD7A6866"/>
        </w:placeholder>
        <w:showingPlcHdr/>
        <w:dataBinding w:prefixMappings="xmlns:ns0='http://schemas.microsoft.com/office/2006/coverPageProps' " w:xpath="/ns0:CoverPageProperties[1]/ns0:Abstract[1]" w:storeItemID="{55AF091B-3C7A-41E3-B477-F2FDAA23CFDA}"/>
        <w:text/>
      </w:sdtPr>
      <w:sdtContent>
        <w:p w14:paraId="68BC4AB4" w14:textId="2410AC22" w:rsidR="00FC6280" w:rsidRPr="00FC6280" w:rsidRDefault="00516BE3" w:rsidP="00FC6280">
          <w:pPr>
            <w:pStyle w:val="BodyText"/>
            <w:numPr>
              <w:ilvl w:val="0"/>
              <w:numId w:val="21"/>
            </w:numPr>
          </w:pPr>
          <w:r w:rsidRPr="002309C0">
            <w:rPr>
              <w:rStyle w:val="PlaceholderText"/>
            </w:rPr>
            <w:t>[Abstract]</w:t>
          </w:r>
        </w:p>
      </w:sdtContent>
    </w:sdt>
    <w:p w14:paraId="1A8AC471" w14:textId="037FE019" w:rsidR="00FC6280" w:rsidRPr="00FC6280" w:rsidRDefault="00FC6280" w:rsidP="00FC6280">
      <w:pPr>
        <w:pStyle w:val="BodyText"/>
        <w:numPr>
          <w:ilvl w:val="0"/>
          <w:numId w:val="21"/>
        </w:numPr>
      </w:pPr>
      <w:r w:rsidRPr="00FC6280">
        <w:t>Supply a report of the findings</w:t>
      </w:r>
    </w:p>
    <w:p w14:paraId="47B9336B" w14:textId="2B748F1E" w:rsidR="00FC6280" w:rsidRPr="00FC6280" w:rsidRDefault="00FC6280" w:rsidP="00FC6280">
      <w:pPr>
        <w:pStyle w:val="BodyText"/>
        <w:numPr>
          <w:ilvl w:val="0"/>
          <w:numId w:val="21"/>
        </w:numPr>
      </w:pPr>
      <w:r w:rsidRPr="00FC6280">
        <w:t>Measure the current of each phase on the car park fan</w:t>
      </w:r>
    </w:p>
    <w:p w14:paraId="3C2CE8A0" w14:textId="50DCF172" w:rsidR="00FC6280" w:rsidRDefault="00516BE3" w:rsidP="00FC6280">
      <w:pPr>
        <w:pStyle w:val="BodyText"/>
        <w:numPr>
          <w:ilvl w:val="0"/>
          <w:numId w:val="21"/>
        </w:numPr>
        <w:rPr>
          <w:lang w:eastAsia="en-AU"/>
        </w:rPr>
      </w:pPr>
      <w:r>
        <w:t>C</w:t>
      </w:r>
      <w:r w:rsidR="00FC6280" w:rsidRPr="00FC6280">
        <w:t>heck pad locks and labels are installed as required by AS1668</w:t>
      </w:r>
    </w:p>
    <w:p w14:paraId="7A20AB71" w14:textId="5D2DAC03" w:rsidR="004321AD" w:rsidRPr="00FC6280" w:rsidRDefault="004321AD" w:rsidP="00FC6280">
      <w:pPr>
        <w:pStyle w:val="Heading2"/>
        <w:rPr>
          <w:lang w:eastAsia="en-AU"/>
        </w:rPr>
      </w:pPr>
      <w:r w:rsidRPr="00DA3125">
        <w:t>Total Price Specific Exclusions</w:t>
      </w:r>
    </w:p>
    <w:p w14:paraId="7329DE40" w14:textId="1DFB8008" w:rsidR="004321AD"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546B7538" w14:textId="77777777" w:rsidR="00C62337" w:rsidRDefault="00C62337" w:rsidP="004321AD">
      <w:pPr>
        <w:autoSpaceDE w:val="0"/>
        <w:autoSpaceDN w:val="0"/>
        <w:adjustRightInd w:val="0"/>
        <w:rPr>
          <w:rFonts w:asciiTheme="minorHAnsi" w:hAnsiTheme="minorHAnsi" w:cstheme="minorHAnsi"/>
          <w:b/>
          <w:bCs/>
          <w:sz w:val="22"/>
          <w:szCs w:val="22"/>
          <w:lang w:eastAsia="en-AU"/>
        </w:rPr>
      </w:pP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03368E11" w14:textId="44C93D5E" w:rsidR="00FC6280" w:rsidRDefault="00FC6280" w:rsidP="00516BE3">
      <w:pPr>
        <w:pStyle w:val="BodyText"/>
        <w:numPr>
          <w:ilvl w:val="0"/>
          <w:numId w:val="21"/>
        </w:numPr>
      </w:pPr>
      <w:r>
        <w:t>Strip out or demolition works</w:t>
      </w:r>
    </w:p>
    <w:p w14:paraId="5EF4E516" w14:textId="6E0F53EC" w:rsidR="00FC6280" w:rsidRDefault="00FC6280" w:rsidP="00516BE3">
      <w:pPr>
        <w:pStyle w:val="BodyText"/>
        <w:numPr>
          <w:ilvl w:val="0"/>
          <w:numId w:val="21"/>
        </w:numPr>
      </w:pPr>
      <w:r>
        <w:t>Changes to Existing controllers programming</w:t>
      </w:r>
    </w:p>
    <w:p w14:paraId="74055EB3" w14:textId="183D27DF" w:rsidR="00FC6280" w:rsidRDefault="00FC6280" w:rsidP="00516BE3">
      <w:pPr>
        <w:pStyle w:val="BodyText"/>
        <w:numPr>
          <w:ilvl w:val="0"/>
          <w:numId w:val="21"/>
        </w:numPr>
      </w:pPr>
      <w:r>
        <w:t>Replacement of any hardware found faulty at time of calibration</w:t>
      </w:r>
    </w:p>
    <w:p w14:paraId="699C0393" w14:textId="71394899" w:rsidR="00A279DD" w:rsidRDefault="00FC6280" w:rsidP="00516BE3">
      <w:pPr>
        <w:pStyle w:val="BodyText"/>
        <w:numPr>
          <w:ilvl w:val="0"/>
          <w:numId w:val="21"/>
        </w:numPr>
      </w:pPr>
      <w:r>
        <w:t>No Allowance for parking</w:t>
      </w:r>
    </w:p>
    <w:p w14:paraId="3DA2FCFC" w14:textId="30D01C80" w:rsidR="001E6827" w:rsidRDefault="001E6827" w:rsidP="001E6827">
      <w:pPr>
        <w:pStyle w:val="AppESBodyText"/>
        <w:numPr>
          <w:ilvl w:val="0"/>
          <w:numId w:val="0"/>
        </w:numPr>
        <w:ind w:left="720" w:hanging="360"/>
        <w:rPr>
          <w:lang w:eastAsia="en-AU"/>
        </w:rPr>
      </w:pPr>
    </w:p>
    <w:p w14:paraId="499C8AA9" w14:textId="77777777" w:rsidR="001E6827" w:rsidRPr="001E6827" w:rsidRDefault="001E6827" w:rsidP="001E6827">
      <w:pPr>
        <w:pStyle w:val="BodyText"/>
        <w:rPr>
          <w:rFonts w:ascii="Helvetica-Bold" w:hAnsi="Helvetica-Bold" w:cs="Helvetica-Bold"/>
          <w:b/>
          <w:bCs/>
          <w:szCs w:val="22"/>
          <w:lang w:eastAsia="en-AU"/>
        </w:rPr>
      </w:pPr>
      <w:r w:rsidRPr="001E6827">
        <w:rPr>
          <w:rFonts w:ascii="Helvetica-Bold" w:hAnsi="Helvetica-Bold" w:cs="Helvetica-Bold"/>
          <w:b/>
          <w:bCs/>
          <w:szCs w:val="22"/>
          <w:lang w:eastAsia="en-AU"/>
        </w:rPr>
        <w:t>Qualifications</w:t>
      </w:r>
    </w:p>
    <w:p w14:paraId="3AE222E2" w14:textId="29CF402E" w:rsidR="001E6827" w:rsidRPr="001E6827" w:rsidRDefault="001E6827" w:rsidP="001E6827">
      <w:pPr>
        <w:pStyle w:val="BodyText"/>
        <w:numPr>
          <w:ilvl w:val="0"/>
          <w:numId w:val="24"/>
        </w:numPr>
      </w:pPr>
      <w:r w:rsidRPr="001E6827">
        <w:t>Additional</w:t>
      </w:r>
      <w:r w:rsidRPr="001E6827">
        <w:rPr>
          <w:rFonts w:ascii="Helvetica-Bold" w:hAnsi="Helvetica-Bold" w:cs="Helvetica-Bold"/>
          <w:b/>
          <w:bCs/>
          <w:szCs w:val="22"/>
          <w:lang w:eastAsia="en-AU"/>
        </w:rPr>
        <w:t xml:space="preserve"> </w:t>
      </w:r>
      <w:r w:rsidRPr="001E6827">
        <w:t>CO</w:t>
      </w:r>
      <w:r>
        <w:t xml:space="preserve"> Sensors will be calibrated at $220.00 plus GST each</w:t>
      </w:r>
    </w:p>
    <w:p w14:paraId="1DF1260D" w14:textId="78B77DA7" w:rsidR="00FB60AE" w:rsidRDefault="00FB60AE">
      <w:pPr>
        <w:spacing w:after="200" w:line="276" w:lineRule="auto"/>
        <w:rPr>
          <w:rFonts w:asciiTheme="minorHAnsi" w:hAnsiTheme="minorHAnsi" w:cstheme="minorHAnsi"/>
          <w:lang w:eastAsia="en-AU"/>
        </w:rPr>
      </w:pPr>
      <w:r>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0AEFD5BD" w:rsidR="00FB60AE" w:rsidRPr="00650898" w:rsidRDefault="00FB60AE" w:rsidP="002507A5">
      <w:pPr>
        <w:pStyle w:val="Heading1"/>
      </w:pPr>
    </w:p>
    <w:sectPr w:rsidR="00FB60AE" w:rsidRPr="00650898"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2BE88" w14:textId="77777777" w:rsidR="008D312E" w:rsidRDefault="008D312E" w:rsidP="00A71D53">
      <w:r>
        <w:separator/>
      </w:r>
    </w:p>
  </w:endnote>
  <w:endnote w:type="continuationSeparator" w:id="0">
    <w:p w14:paraId="42F7271E" w14:textId="77777777" w:rsidR="008D312E" w:rsidRDefault="008D312E"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2A8B0" w14:textId="77777777" w:rsidR="008D312E" w:rsidRDefault="008D312E" w:rsidP="00A71D53">
      <w:r>
        <w:separator/>
      </w:r>
    </w:p>
  </w:footnote>
  <w:footnote w:type="continuationSeparator" w:id="0">
    <w:p w14:paraId="797C8FC3" w14:textId="77777777" w:rsidR="008D312E" w:rsidRDefault="008D312E"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455"/>
    <w:multiLevelType w:val="hybridMultilevel"/>
    <w:tmpl w:val="46685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080E2D"/>
    <w:multiLevelType w:val="hybridMultilevel"/>
    <w:tmpl w:val="25381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0"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625A17"/>
    <w:multiLevelType w:val="hybridMultilevel"/>
    <w:tmpl w:val="C3369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3" w15:restartNumberingAfterBreak="0">
    <w:nsid w:val="5F520756"/>
    <w:multiLevelType w:val="hybridMultilevel"/>
    <w:tmpl w:val="5E0ED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5"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6"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7"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5"/>
  </w:num>
  <w:num w:numId="2">
    <w:abstractNumId w:val="14"/>
  </w:num>
  <w:num w:numId="3">
    <w:abstractNumId w:val="2"/>
  </w:num>
  <w:num w:numId="4">
    <w:abstractNumId w:val="12"/>
  </w:num>
  <w:num w:numId="5">
    <w:abstractNumId w:val="9"/>
  </w:num>
  <w:num w:numId="6">
    <w:abstractNumId w:val="8"/>
  </w:num>
  <w:num w:numId="7">
    <w:abstractNumId w:val="15"/>
  </w:num>
  <w:num w:numId="8">
    <w:abstractNumId w:val="14"/>
  </w:num>
  <w:num w:numId="9">
    <w:abstractNumId w:val="2"/>
  </w:num>
  <w:num w:numId="10">
    <w:abstractNumId w:val="12"/>
  </w:num>
  <w:num w:numId="11">
    <w:abstractNumId w:val="9"/>
  </w:num>
  <w:num w:numId="12">
    <w:abstractNumId w:val="8"/>
  </w:num>
  <w:num w:numId="13">
    <w:abstractNumId w:val="6"/>
  </w:num>
  <w:num w:numId="14">
    <w:abstractNumId w:val="1"/>
  </w:num>
  <w:num w:numId="15">
    <w:abstractNumId w:val="4"/>
  </w:num>
  <w:num w:numId="16">
    <w:abstractNumId w:val="10"/>
  </w:num>
  <w:num w:numId="17">
    <w:abstractNumId w:val="16"/>
  </w:num>
  <w:num w:numId="18">
    <w:abstractNumId w:val="17"/>
  </w:num>
  <w:num w:numId="19">
    <w:abstractNumId w:val="3"/>
  </w:num>
  <w:num w:numId="20">
    <w:abstractNumId w:val="5"/>
  </w:num>
  <w:num w:numId="21">
    <w:abstractNumId w:val="13"/>
  </w:num>
  <w:num w:numId="22">
    <w:abstractNumId w:val="0"/>
  </w:num>
  <w:num w:numId="23">
    <w:abstractNumId w:val="7"/>
  </w:num>
  <w:num w:numId="24">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2789"/>
    <w:rsid w:val="00056EEF"/>
    <w:rsid w:val="000740C1"/>
    <w:rsid w:val="000A1EC4"/>
    <w:rsid w:val="000B0EAD"/>
    <w:rsid w:val="000F7135"/>
    <w:rsid w:val="000F7A7B"/>
    <w:rsid w:val="00112F3E"/>
    <w:rsid w:val="0011311F"/>
    <w:rsid w:val="001159D2"/>
    <w:rsid w:val="00136362"/>
    <w:rsid w:val="001431EB"/>
    <w:rsid w:val="0018663C"/>
    <w:rsid w:val="001C4C7A"/>
    <w:rsid w:val="001C7BB5"/>
    <w:rsid w:val="001E660A"/>
    <w:rsid w:val="001E6827"/>
    <w:rsid w:val="00206D3A"/>
    <w:rsid w:val="002403EB"/>
    <w:rsid w:val="00245212"/>
    <w:rsid w:val="002507A5"/>
    <w:rsid w:val="00250C6D"/>
    <w:rsid w:val="0025215D"/>
    <w:rsid w:val="00287D09"/>
    <w:rsid w:val="002A676B"/>
    <w:rsid w:val="002C77C8"/>
    <w:rsid w:val="002E7FE6"/>
    <w:rsid w:val="00305570"/>
    <w:rsid w:val="003571A0"/>
    <w:rsid w:val="003740C5"/>
    <w:rsid w:val="00390277"/>
    <w:rsid w:val="0039179F"/>
    <w:rsid w:val="00394326"/>
    <w:rsid w:val="004163AF"/>
    <w:rsid w:val="004321AD"/>
    <w:rsid w:val="00433083"/>
    <w:rsid w:val="00463AA7"/>
    <w:rsid w:val="004A3427"/>
    <w:rsid w:val="004C1DD0"/>
    <w:rsid w:val="004C58EC"/>
    <w:rsid w:val="004D159F"/>
    <w:rsid w:val="004E5C9F"/>
    <w:rsid w:val="00516BE3"/>
    <w:rsid w:val="00551F67"/>
    <w:rsid w:val="0055286C"/>
    <w:rsid w:val="00576AF4"/>
    <w:rsid w:val="005C6B6A"/>
    <w:rsid w:val="005C74E9"/>
    <w:rsid w:val="005E7E0C"/>
    <w:rsid w:val="00621F2D"/>
    <w:rsid w:val="00650898"/>
    <w:rsid w:val="00673038"/>
    <w:rsid w:val="00681C30"/>
    <w:rsid w:val="00695122"/>
    <w:rsid w:val="006A34F3"/>
    <w:rsid w:val="006A687C"/>
    <w:rsid w:val="006A72C4"/>
    <w:rsid w:val="006B253B"/>
    <w:rsid w:val="006C3111"/>
    <w:rsid w:val="006D40F7"/>
    <w:rsid w:val="006E57F6"/>
    <w:rsid w:val="006E67C8"/>
    <w:rsid w:val="00723E60"/>
    <w:rsid w:val="0072448F"/>
    <w:rsid w:val="00764711"/>
    <w:rsid w:val="00794550"/>
    <w:rsid w:val="007A1555"/>
    <w:rsid w:val="007B4460"/>
    <w:rsid w:val="007B745F"/>
    <w:rsid w:val="007C36D7"/>
    <w:rsid w:val="007D169A"/>
    <w:rsid w:val="007D32B0"/>
    <w:rsid w:val="007D6F80"/>
    <w:rsid w:val="007E41A4"/>
    <w:rsid w:val="0083107F"/>
    <w:rsid w:val="00847E6B"/>
    <w:rsid w:val="00857492"/>
    <w:rsid w:val="008B06FA"/>
    <w:rsid w:val="008D312E"/>
    <w:rsid w:val="008E05F7"/>
    <w:rsid w:val="008E7DB8"/>
    <w:rsid w:val="008F466C"/>
    <w:rsid w:val="009241B7"/>
    <w:rsid w:val="009337A6"/>
    <w:rsid w:val="00936AC8"/>
    <w:rsid w:val="0095207D"/>
    <w:rsid w:val="00962402"/>
    <w:rsid w:val="00980CD7"/>
    <w:rsid w:val="009816EB"/>
    <w:rsid w:val="009C6452"/>
    <w:rsid w:val="009D5C5B"/>
    <w:rsid w:val="009F2B04"/>
    <w:rsid w:val="009F6279"/>
    <w:rsid w:val="00A03D6D"/>
    <w:rsid w:val="00A2589C"/>
    <w:rsid w:val="00A25D33"/>
    <w:rsid w:val="00A279DD"/>
    <w:rsid w:val="00A31590"/>
    <w:rsid w:val="00A32CAA"/>
    <w:rsid w:val="00A33889"/>
    <w:rsid w:val="00A4000C"/>
    <w:rsid w:val="00A40A55"/>
    <w:rsid w:val="00A63586"/>
    <w:rsid w:val="00A71D53"/>
    <w:rsid w:val="00A75FE8"/>
    <w:rsid w:val="00A7737B"/>
    <w:rsid w:val="00AD5667"/>
    <w:rsid w:val="00AF40AE"/>
    <w:rsid w:val="00B14998"/>
    <w:rsid w:val="00B155B6"/>
    <w:rsid w:val="00B97913"/>
    <w:rsid w:val="00BA3DC6"/>
    <w:rsid w:val="00BA6A36"/>
    <w:rsid w:val="00BB7F61"/>
    <w:rsid w:val="00BC1F93"/>
    <w:rsid w:val="00BF3321"/>
    <w:rsid w:val="00C1193C"/>
    <w:rsid w:val="00C15BB0"/>
    <w:rsid w:val="00C223A2"/>
    <w:rsid w:val="00C2572F"/>
    <w:rsid w:val="00C529CC"/>
    <w:rsid w:val="00C62337"/>
    <w:rsid w:val="00C828FC"/>
    <w:rsid w:val="00CB2D9D"/>
    <w:rsid w:val="00CC1E8D"/>
    <w:rsid w:val="00CD645D"/>
    <w:rsid w:val="00CF2328"/>
    <w:rsid w:val="00CF276F"/>
    <w:rsid w:val="00D021A8"/>
    <w:rsid w:val="00D0288A"/>
    <w:rsid w:val="00D5324C"/>
    <w:rsid w:val="00D7741E"/>
    <w:rsid w:val="00D928BC"/>
    <w:rsid w:val="00DA023C"/>
    <w:rsid w:val="00DA51CB"/>
    <w:rsid w:val="00DB200F"/>
    <w:rsid w:val="00DD45F0"/>
    <w:rsid w:val="00E10A33"/>
    <w:rsid w:val="00E355AD"/>
    <w:rsid w:val="00E7417C"/>
    <w:rsid w:val="00E77477"/>
    <w:rsid w:val="00E808DA"/>
    <w:rsid w:val="00EB0B6E"/>
    <w:rsid w:val="00EC5061"/>
    <w:rsid w:val="00EE0F22"/>
    <w:rsid w:val="00EE36DE"/>
    <w:rsid w:val="00F10640"/>
    <w:rsid w:val="00F21FF3"/>
    <w:rsid w:val="00F65370"/>
    <w:rsid w:val="00F75806"/>
    <w:rsid w:val="00F82058"/>
    <w:rsid w:val="00FB09B6"/>
    <w:rsid w:val="00FB18FA"/>
    <w:rsid w:val="00FB60AE"/>
    <w:rsid w:val="00FC6280"/>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8B4B0F176BF14715B442E93C04EB39FA"/>
        <w:category>
          <w:name w:val="General"/>
          <w:gallery w:val="placeholder"/>
        </w:category>
        <w:types>
          <w:type w:val="bbPlcHdr"/>
        </w:types>
        <w:behaviors>
          <w:behavior w:val="content"/>
        </w:behaviors>
        <w:guid w:val="{D79289A1-E6DB-4470-9EBF-51506DF65C69}"/>
      </w:docPartPr>
      <w:docPartBody>
        <w:p w:rsidR="00D455C6" w:rsidRDefault="00EF7BCF">
          <w:r w:rsidRPr="00FC7699">
            <w:rPr>
              <w:rStyle w:val="PlaceholderText"/>
            </w:rPr>
            <w:t>[Status]</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0D8258D548BB40FC8BC7BB779DAE775E"/>
        <w:category>
          <w:name w:val="General"/>
          <w:gallery w:val="placeholder"/>
        </w:category>
        <w:types>
          <w:type w:val="bbPlcHdr"/>
        </w:types>
        <w:behaviors>
          <w:behavior w:val="content"/>
        </w:behaviors>
        <w:guid w:val="{A490990A-37EC-476D-BB95-A8401CC6342B}"/>
      </w:docPartPr>
      <w:docPartBody>
        <w:p w:rsidR="005333F7" w:rsidRDefault="00441150">
          <w:r w:rsidRPr="00197B84">
            <w:rPr>
              <w:rStyle w:val="PlaceholderText"/>
            </w:rPr>
            <w:t>[Abstract]</w:t>
          </w:r>
        </w:p>
      </w:docPartBody>
    </w:docPart>
    <w:docPart>
      <w:docPartPr>
        <w:name w:val="6F6C6B24ED6649EE828C5F3EDD7A6866"/>
        <w:category>
          <w:name w:val="General"/>
          <w:gallery w:val="placeholder"/>
        </w:category>
        <w:types>
          <w:type w:val="bbPlcHdr"/>
        </w:types>
        <w:behaviors>
          <w:behavior w:val="content"/>
        </w:behaviors>
        <w:guid w:val="{F39CCF48-99E8-4491-B46D-995247FA7272}"/>
      </w:docPartPr>
      <w:docPartBody>
        <w:p w:rsidR="00000000" w:rsidRDefault="005333F7">
          <w:r w:rsidRPr="002309C0">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3282"/>
    <w:rsid w:val="00141436"/>
    <w:rsid w:val="001611A1"/>
    <w:rsid w:val="0016488D"/>
    <w:rsid w:val="00386388"/>
    <w:rsid w:val="003E4BB5"/>
    <w:rsid w:val="00441150"/>
    <w:rsid w:val="004F79AA"/>
    <w:rsid w:val="005333F7"/>
    <w:rsid w:val="0057654F"/>
    <w:rsid w:val="0078764D"/>
    <w:rsid w:val="008F7AFB"/>
    <w:rsid w:val="00B20A68"/>
    <w:rsid w:val="00B76F25"/>
    <w:rsid w:val="00B84C29"/>
    <w:rsid w:val="00D455C6"/>
    <w:rsid w:val="00DA117A"/>
    <w:rsid w:val="00E82B03"/>
    <w:rsid w:val="00ED0280"/>
    <w:rsid w:val="00ED2CB6"/>
    <w:rsid w:val="00EF7B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3F7"/>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F85403-0C66-4446-A0A7-152F3883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69</TotalTime>
  <Pages>7</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[JOB_NAME]</vt:lpstr>
    </vt:vector>
  </TitlesOfParts>
  <Company>Integrated Controls &amp; Automation</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[JOB_NAME]</dc:title>
  <dc:subject>[JOB_NUMBER]</dc:subject>
  <dc:creator>Samuel Williams</dc:creator>
  <dc:description>[PRICE]</dc:description>
  <cp:lastModifiedBy>Mr Samuel Williams</cp:lastModifiedBy>
  <cp:revision>39</cp:revision>
  <cp:lastPrinted>2018-03-23T00:23:00Z</cp:lastPrinted>
  <dcterms:created xsi:type="dcterms:W3CDTF">2018-03-23T00:02:00Z</dcterms:created>
  <dcterms:modified xsi:type="dcterms:W3CDTF">2018-06-22T01:32:00Z</dcterms:modified>
  <cp:contentStatus>Rev A</cp:contentStatus>
</cp:coreProperties>
</file>