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001607BA" w:rsidR="00EE0F22" w:rsidRPr="000B0EAD" w:rsidRDefault="008741C5"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224EB8">
            <w:rPr>
              <w:sz w:val="32"/>
              <w:lang w:val="en-AU"/>
            </w:rPr>
            <w:t>[JOB NAME]</w:t>
          </w:r>
        </w:sdtContent>
      </w:sdt>
      <w:bookmarkEnd w:id="0"/>
    </w:p>
    <w:sdt>
      <w:sdtPr>
        <w:rPr>
          <w:sz w:val="32"/>
        </w:rPr>
        <w:alias w:val="Category"/>
        <w:tag w:val=""/>
        <w:id w:val="987364334"/>
        <w:placeholder>
          <w:docPart w:val="A2ABCD5E21B6469C8CD2AC7B3B4E713E"/>
        </w:placeholder>
        <w:dataBinding w:prefixMappings="xmlns:ns0='http://purl.org/dc/elements/1.1/' xmlns:ns1='http://schemas.openxmlformats.org/package/2006/metadata/core-properties' " w:xpath="/ns1:coreProperties[1]/ns1:category[1]" w:storeItemID="{6C3C8BC8-F283-45AE-878A-BAB7291924A1}"/>
        <w:text/>
      </w:sdtPr>
      <w:sdtEndPr/>
      <w:sdtContent>
        <w:p w14:paraId="58CC1418" w14:textId="7D81A17F" w:rsidR="00082500" w:rsidRDefault="00224EB8" w:rsidP="004E5C9F">
          <w:pPr>
            <w:pStyle w:val="Heading1"/>
            <w:jc w:val="center"/>
            <w:rPr>
              <w:sz w:val="32"/>
            </w:rPr>
          </w:pPr>
          <w:r>
            <w:rPr>
              <w:sz w:val="32"/>
            </w:rPr>
            <w:t>[LOCATION]</w:t>
          </w:r>
        </w:p>
      </w:sdtContent>
    </w:sdt>
    <w:p w14:paraId="1A38A073" w14:textId="32B4AFE1" w:rsidR="004E5C9F" w:rsidRPr="00A7294F" w:rsidRDefault="004E5C9F" w:rsidP="004E5C9F">
      <w:pPr>
        <w:pStyle w:val="Heading1"/>
        <w:jc w:val="center"/>
        <w:rPr>
          <w:sz w:val="32"/>
        </w:rPr>
      </w:pPr>
      <w:r w:rsidRPr="000B0EAD">
        <w:rPr>
          <w:sz w:val="32"/>
        </w:rPr>
        <w:t>Mech Electrical Installation</w:t>
      </w:r>
    </w:p>
    <w:p w14:paraId="05175ADD" w14:textId="62C55B32"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224EB8">
            <w:rPr>
              <w:sz w:val="32"/>
              <w:lang w:val="en-AU"/>
            </w:rPr>
            <w:t>[JOB NUMBER]</w:t>
          </w:r>
        </w:sdtContent>
      </w:sdt>
      <w:bookmarkEnd w:id="1"/>
    </w:p>
    <w:p w14:paraId="6005C4A3" w14:textId="0EAB7678" w:rsidR="00EE0F22" w:rsidRPr="000B0EAD" w:rsidRDefault="00D84327" w:rsidP="00EE0F22">
      <w:pPr>
        <w:pStyle w:val="Heading2"/>
        <w:jc w:val="center"/>
        <w:rPr>
          <w:sz w:val="28"/>
          <w:lang w:val="en-AU"/>
        </w:rPr>
      </w:pPr>
      <w:r>
        <w:rPr>
          <w:sz w:val="28"/>
          <w:lang w:val="en-AU"/>
        </w:rPr>
        <w:t>Revision A</w:t>
      </w:r>
    </w:p>
    <w:p w14:paraId="4A435FB5" w14:textId="7E0BC172"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2" w:name="_Toc509561572"/>
      <w:r w:rsidR="007F0882">
        <w:rPr>
          <w:noProof/>
          <w:sz w:val="28"/>
          <w:lang w:val="en-AU"/>
        </w:rPr>
        <w:t>Tuesday, 21 August 2018</w:t>
      </w:r>
      <w:bookmarkEnd w:id="2"/>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5D9BB158" w:rsidR="00C15BB0" w:rsidRDefault="00C15BB0" w:rsidP="00962402">
      <w:pPr>
        <w:pStyle w:val="BodyText"/>
      </w:pPr>
      <w:r>
        <w:lastRenderedPageBreak/>
        <w:fldChar w:fldCharType="begin"/>
      </w:r>
      <w:r>
        <w:instrText xml:space="preserve"> DATE \@ "dddd, dd MMMM yyyy" </w:instrText>
      </w:r>
      <w:r>
        <w:fldChar w:fldCharType="separate"/>
      </w:r>
      <w:r w:rsidR="007F0882">
        <w:rPr>
          <w:noProof/>
        </w:rPr>
        <w:t>Tuesday, 21 August 2018</w:t>
      </w:r>
      <w:r>
        <w:fldChar w:fldCharType="end"/>
      </w:r>
    </w:p>
    <w:p w14:paraId="108F8EA4" w14:textId="452566B0" w:rsidR="00C15BB0" w:rsidRDefault="00C15BB0" w:rsidP="00962402">
      <w:pPr>
        <w:pStyle w:val="BodyText"/>
      </w:pPr>
      <w:r>
        <w:t>Dear the Estimator,</w:t>
      </w:r>
    </w:p>
    <w:p w14:paraId="6EC172FB" w14:textId="2563CD0E"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224EB8">
            <w:t>[JOB NAME]</w:t>
          </w:r>
        </w:sdtContent>
      </w:sdt>
    </w:p>
    <w:p w14:paraId="01F261A2" w14:textId="67590F45" w:rsidR="009D5C5B" w:rsidRDefault="00C15BB0" w:rsidP="00962402">
      <w:pPr>
        <w:pStyle w:val="BodyText"/>
      </w:pPr>
      <w:r>
        <w:t xml:space="preserve">Thank you for this opportunity to provide our proposal for the Supply, install and commission mech elect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224EB8">
            <w:t>[JOB NAME]</w:t>
          </w:r>
        </w:sdtContent>
      </w:sdt>
      <w:r>
        <w:t>.</w:t>
      </w:r>
    </w:p>
    <w:p w14:paraId="6F105536" w14:textId="77777777" w:rsidR="00C15BB0" w:rsidRPr="00962402" w:rsidRDefault="00C15BB0" w:rsidP="00962402">
      <w:pPr>
        <w:pStyle w:val="BodyText"/>
        <w:rPr>
          <w:b/>
        </w:rPr>
      </w:pPr>
      <w:r w:rsidRPr="00962402">
        <w:rPr>
          <w:b/>
        </w:rPr>
        <w:t>Scope of Works</w:t>
      </w:r>
    </w:p>
    <w:p w14:paraId="40F1871D" w14:textId="17835532" w:rsidR="009D5C5B" w:rsidRDefault="00010E6A" w:rsidP="00962402">
      <w:pPr>
        <w:pStyle w:val="BodyText"/>
      </w:pPr>
      <w:r>
        <w:t>Supply and</w:t>
      </w:r>
      <w:r w:rsidR="00C15BB0">
        <w:t xml:space="preserve"> install</w:t>
      </w:r>
      <w:r>
        <w:t xml:space="preserve"> of</w:t>
      </w:r>
      <w:r w:rsidR="00C15BB0">
        <w:t xml:space="preserve"> mech</w:t>
      </w:r>
      <w:r>
        <w:t>-</w:t>
      </w:r>
      <w:r w:rsidR="00C15BB0">
        <w:t>elect works as per the Mechanical and Pipework Drawings and specification</w:t>
      </w:r>
    </w:p>
    <w:p w14:paraId="19AD5868" w14:textId="5816E494" w:rsidR="0011311F" w:rsidRPr="00962402" w:rsidRDefault="00C15BB0" w:rsidP="00962402">
      <w:pPr>
        <w:pStyle w:val="BodyText"/>
        <w:rPr>
          <w:b/>
        </w:rPr>
      </w:pPr>
      <w:r w:rsidRPr="00962402">
        <w:rPr>
          <w:b/>
        </w:rPr>
        <w:t>Equipment</w:t>
      </w:r>
    </w:p>
    <w:p w14:paraId="7ECBD447" w14:textId="75F168CA" w:rsidR="009D5C5B" w:rsidRPr="003740C5" w:rsidRDefault="00C15BB0" w:rsidP="003740C5">
      <w:pPr>
        <w:pStyle w:val="BodyText"/>
      </w:pPr>
      <w:r w:rsidRPr="003740C5">
        <w:t>The Mechanical electrical proposal incorporates</w:t>
      </w:r>
      <w:r w:rsidR="00013113">
        <w:t xml:space="preserve"> Dore Electrics,</w:t>
      </w:r>
      <w:r w:rsidRPr="003740C5">
        <w:t xml:space="preserve"> Clipsal and Hagar switchgear. </w:t>
      </w:r>
    </w:p>
    <w:p w14:paraId="1FFDD9E9" w14:textId="325AEBAE" w:rsidR="00C15BB0" w:rsidRPr="00962402" w:rsidRDefault="00C15BB0" w:rsidP="00962402">
      <w:pPr>
        <w:pStyle w:val="BodyText"/>
        <w:rPr>
          <w:b/>
        </w:rPr>
      </w:pPr>
      <w:r w:rsidRPr="00962402">
        <w:rPr>
          <w:b/>
        </w:rPr>
        <w:t>Mechanical Services Drawings and Documentation</w:t>
      </w:r>
    </w:p>
    <w:p w14:paraId="3A593725" w14:textId="7B3963D2" w:rsidR="00CF276F" w:rsidRPr="00EE36DE" w:rsidRDefault="00CF276F" w:rsidP="00224EB8">
      <w:pPr>
        <w:pStyle w:val="AppESBodyText"/>
        <w:rPr>
          <w:lang w:eastAsia="en-AU"/>
        </w:rPr>
      </w:pPr>
    </w:p>
    <w:p w14:paraId="677E8638" w14:textId="7BEFF159" w:rsidR="009D5C5B" w:rsidRDefault="009D5C5B">
      <w:pPr>
        <w:spacing w:after="200" w:line="276" w:lineRule="auto"/>
      </w:pPr>
      <w:r>
        <w:br w:type="page"/>
      </w:r>
    </w:p>
    <w:p w14:paraId="2D332752" w14:textId="0AA36196" w:rsidR="009D5C5B" w:rsidRDefault="009D5C5B" w:rsidP="008E05F7">
      <w:pPr>
        <w:pStyle w:val="Heading1"/>
      </w:pPr>
      <w:r>
        <w:lastRenderedPageBreak/>
        <w:t>Pricing</w:t>
      </w:r>
    </w:p>
    <w:p w14:paraId="38E37A8E" w14:textId="13F5F357" w:rsidR="007D6F80" w:rsidRPr="007D6F80" w:rsidRDefault="00BF3B78" w:rsidP="007D6F80">
      <w:pPr>
        <w:pStyle w:val="BodyText"/>
        <w:jc w:val="center"/>
        <w:rPr>
          <w:lang w:eastAsia="en-US"/>
        </w:rPr>
      </w:pPr>
      <w:r>
        <w:rPr>
          <w:b/>
        </w:rPr>
        <w:t>Quote</w:t>
      </w:r>
      <w:r w:rsidR="007D6F80" w:rsidRPr="007D6F80">
        <w:rPr>
          <w:b/>
        </w:rPr>
        <w:t xml:space="preserve"> Number:</w:t>
      </w:r>
      <w:r w:rsidR="007D6F80">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224EB8">
            <w:rPr>
              <w:lang w:eastAsia="en-US"/>
            </w:rPr>
            <w:t>[JOB NUMBER]</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jc w:val="center"/>
        <w:tblLook w:val="04A0" w:firstRow="1" w:lastRow="0" w:firstColumn="1" w:lastColumn="0" w:noHBand="0" w:noVBand="1"/>
      </w:tblPr>
      <w:tblGrid>
        <w:gridCol w:w="3964"/>
        <w:gridCol w:w="4283"/>
      </w:tblGrid>
      <w:tr w:rsidR="008E05F7" w14:paraId="4F969166" w14:textId="77777777" w:rsidTr="00233BBB">
        <w:trPr>
          <w:jc w:val="center"/>
        </w:trPr>
        <w:tc>
          <w:tcPr>
            <w:tcW w:w="3964" w:type="dxa"/>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4283" w:type="dxa"/>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233BBB">
        <w:trPr>
          <w:jc w:val="center"/>
        </w:trPr>
        <w:tc>
          <w:tcPr>
            <w:tcW w:w="3964" w:type="dxa"/>
            <w:vAlign w:val="center"/>
          </w:tcPr>
          <w:p w14:paraId="634D5CDD" w14:textId="3553AA2D" w:rsidR="00013113" w:rsidRDefault="008E05F7" w:rsidP="00233BBB">
            <w:pPr>
              <w:pStyle w:val="BodyText"/>
              <w:spacing w:before="0"/>
              <w:jc w:val="center"/>
            </w:pPr>
            <w:r w:rsidRPr="008E05F7">
              <w:t>The Mech Elect install and Commission works as detailed below</w:t>
            </w:r>
            <w:r w:rsidR="00013113">
              <w:t>.</w:t>
            </w:r>
          </w:p>
        </w:tc>
        <w:tc>
          <w:tcPr>
            <w:tcW w:w="4283" w:type="dxa"/>
            <w:vAlign w:val="center"/>
          </w:tcPr>
          <w:p w14:paraId="29F0712A" w14:textId="1C87A455" w:rsidR="008E05F7" w:rsidRDefault="008E05F7" w:rsidP="003F1437">
            <w:pPr>
              <w:pStyle w:val="BodyText"/>
              <w:spacing w:before="0"/>
              <w:jc w:val="center"/>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24EB8">
                  <w:t>[PRICE]</w:t>
                </w:r>
              </w:sdtContent>
            </w:sdt>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0253BBB5" w14:textId="2D80ABC5" w:rsidR="00576AF4" w:rsidRDefault="009D5C5B" w:rsidP="005C6B6A">
      <w:pPr>
        <w:pStyle w:val="BodyText"/>
      </w:pPr>
      <w:r>
        <w:t>Yours sincerely</w:t>
      </w:r>
    </w:p>
    <w:p w14:paraId="57E86B36" w14:textId="77777777"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22790E">
      <w:pPr>
        <w:pStyle w:val="Heading1"/>
        <w:spacing w:before="0"/>
      </w:pPr>
      <w:r>
        <w:lastRenderedPageBreak/>
        <w:t xml:space="preserve">Technical Compliance </w:t>
      </w:r>
      <w:r w:rsidR="000B0EAD">
        <w:t>and</w:t>
      </w:r>
      <w:r>
        <w:t xml:space="preserve"> Qualifications</w:t>
      </w:r>
    </w:p>
    <w:p w14:paraId="3EA8B888" w14:textId="1BB0CCCC" w:rsidR="004321AD" w:rsidRPr="004321AD" w:rsidRDefault="004321AD" w:rsidP="0022790E">
      <w:pPr>
        <w:pStyle w:val="Heading2"/>
        <w:spacing w:before="0"/>
      </w:pPr>
      <w:r>
        <w:t>Total Price Inclusions</w:t>
      </w:r>
    </w:p>
    <w:p w14:paraId="69BC1F28" w14:textId="77777777" w:rsidR="004321AD" w:rsidRPr="0003395C" w:rsidRDefault="004321AD" w:rsidP="0022790E">
      <w:pPr>
        <w:pStyle w:val="Heading3"/>
        <w:spacing w:before="0"/>
      </w:pPr>
      <w:r w:rsidRPr="0003395C">
        <w:t>Inclusions</w:t>
      </w:r>
    </w:p>
    <w:p w14:paraId="710434FE" w14:textId="77777777" w:rsidR="004321AD" w:rsidRDefault="004321AD" w:rsidP="004321AD">
      <w:pPr>
        <w:autoSpaceDE w:val="0"/>
        <w:autoSpaceDN w:val="0"/>
        <w:adjustRightInd w:val="0"/>
        <w:spacing w:line="276" w:lineRule="auto"/>
        <w:rPr>
          <w:rFonts w:ascii="Helvetica" w:hAnsi="Helvetica" w:cs="Helvetica"/>
          <w:sz w:val="22"/>
          <w:szCs w:val="22"/>
          <w:lang w:eastAsia="en-AU"/>
        </w:rPr>
      </w:pPr>
    </w:p>
    <w:p w14:paraId="4971F0F4" w14:textId="77777777" w:rsidR="004321AD" w:rsidRPr="00980CD7" w:rsidRDefault="004321AD" w:rsidP="00D021A8">
      <w:pPr>
        <w:pStyle w:val="AppESBodyText"/>
        <w:rPr>
          <w:lang w:eastAsia="en-AU"/>
        </w:rPr>
      </w:pPr>
      <w:r w:rsidRPr="00980CD7">
        <w:rPr>
          <w:lang w:eastAsia="en-AU"/>
        </w:rPr>
        <w:t>Provision of 12 months hardware warranty</w:t>
      </w:r>
    </w:p>
    <w:p w14:paraId="747271F4" w14:textId="77777777" w:rsidR="004321AD" w:rsidRPr="00980CD7" w:rsidRDefault="004321AD" w:rsidP="00D021A8">
      <w:pPr>
        <w:pStyle w:val="AppESBodyText"/>
        <w:rPr>
          <w:lang w:eastAsia="en-AU"/>
        </w:rPr>
      </w:pPr>
      <w:r w:rsidRPr="00980CD7">
        <w:rPr>
          <w:lang w:eastAsia="en-AU"/>
        </w:rPr>
        <w:t>Work out new load demands for electrical sizing verification</w:t>
      </w:r>
    </w:p>
    <w:p w14:paraId="658A9958" w14:textId="77777777" w:rsidR="004321AD" w:rsidRPr="00980CD7" w:rsidRDefault="004321AD" w:rsidP="00D021A8">
      <w:pPr>
        <w:pStyle w:val="AppESBodyText"/>
        <w:rPr>
          <w:lang w:eastAsia="en-AU"/>
        </w:rPr>
      </w:pPr>
      <w:r w:rsidRPr="00980CD7">
        <w:rPr>
          <w:lang w:eastAsia="en-AU"/>
        </w:rPr>
        <w:t>Supply of as installed wiring diagrams</w:t>
      </w:r>
    </w:p>
    <w:p w14:paraId="1129C0FA" w14:textId="77777777" w:rsidR="004321AD" w:rsidRPr="00980CD7" w:rsidRDefault="004321AD" w:rsidP="00D021A8">
      <w:pPr>
        <w:pStyle w:val="AppESBodyText"/>
        <w:rPr>
          <w:lang w:eastAsia="en-AU"/>
        </w:rPr>
      </w:pPr>
      <w:r w:rsidRPr="00980CD7">
        <w:rPr>
          <w:lang w:eastAsia="en-AU"/>
        </w:rPr>
        <w:t>Supply Tech Data for Site Manuals</w:t>
      </w:r>
    </w:p>
    <w:p w14:paraId="09DD01E7" w14:textId="77777777" w:rsidR="004321AD" w:rsidRPr="00980CD7" w:rsidRDefault="004321AD" w:rsidP="00D021A8">
      <w:pPr>
        <w:pStyle w:val="AppESBodyText"/>
        <w:rPr>
          <w:lang w:eastAsia="en-AU"/>
        </w:rPr>
      </w:pPr>
      <w:r w:rsidRPr="00980CD7">
        <w:rPr>
          <w:lang w:eastAsia="en-AU"/>
        </w:rPr>
        <w:t>12 Months Hardware Warranty</w:t>
      </w:r>
    </w:p>
    <w:p w14:paraId="7E9EAE8A" w14:textId="5A900751" w:rsidR="004321AD" w:rsidRPr="00980CD7" w:rsidRDefault="004321AD" w:rsidP="00D021A8">
      <w:pPr>
        <w:pStyle w:val="AppESBodyText"/>
        <w:rPr>
          <w:lang w:eastAsia="en-AU"/>
        </w:rPr>
      </w:pPr>
      <w:r w:rsidRPr="00980CD7">
        <w:rPr>
          <w:lang w:eastAsia="en-AU"/>
        </w:rPr>
        <w:t xml:space="preserve">Supply of </w:t>
      </w:r>
      <w:r w:rsidR="00DA023C" w:rsidRPr="00A33889">
        <w:rPr>
          <w:lang w:eastAsia="en-AU"/>
        </w:rPr>
        <w:t xml:space="preserve">Traffolyte </w:t>
      </w:r>
      <w:r w:rsidRPr="00980CD7">
        <w:rPr>
          <w:lang w:eastAsia="en-AU"/>
        </w:rPr>
        <w:t xml:space="preserve">Labels on all Equipment connected </w:t>
      </w:r>
    </w:p>
    <w:p w14:paraId="5A13DEF4" w14:textId="77777777" w:rsidR="004321AD" w:rsidRPr="00980CD7" w:rsidRDefault="004321AD" w:rsidP="00D021A8">
      <w:pPr>
        <w:pStyle w:val="AppESBodyText"/>
        <w:rPr>
          <w:lang w:eastAsia="en-AU"/>
        </w:rPr>
      </w:pPr>
      <w:r w:rsidRPr="00980CD7">
        <w:rPr>
          <w:lang w:eastAsia="en-AU"/>
        </w:rPr>
        <w:t xml:space="preserve">Field wiring, and installation of all supplied items </w:t>
      </w:r>
    </w:p>
    <w:p w14:paraId="475D2BFA" w14:textId="77777777" w:rsidR="004321AD" w:rsidRPr="009D6331" w:rsidRDefault="004321AD" w:rsidP="004321AD">
      <w:pPr>
        <w:pStyle w:val="Heading3"/>
      </w:pPr>
      <w:r>
        <w:t>Quantities and Specific Scope</w:t>
      </w:r>
    </w:p>
    <w:p w14:paraId="0FA15611" w14:textId="07B5753B" w:rsidR="00BF7E1C" w:rsidRDefault="00384D00" w:rsidP="00224EB8">
      <w:pPr>
        <w:pStyle w:val="Heading2"/>
        <w:spacing w:before="0"/>
        <w:rPr>
          <w:rFonts w:ascii="Arial Black" w:hAnsi="Arial Black"/>
          <w:b/>
        </w:rPr>
      </w:pPr>
      <w:r w:rsidRPr="00BF7E1C">
        <w:rPr>
          <w:rFonts w:ascii="Arial Black" w:hAnsi="Arial Black"/>
          <w:b/>
        </w:rPr>
        <w:t>MSSB</w:t>
      </w:r>
    </w:p>
    <w:p w14:paraId="575F198C" w14:textId="77777777" w:rsidR="00224EB8" w:rsidRPr="00224EB8" w:rsidRDefault="00224EB8" w:rsidP="00224EB8">
      <w:pPr>
        <w:pStyle w:val="BodyText"/>
        <w:rPr>
          <w:lang w:eastAsia="en-US"/>
        </w:rPr>
      </w:pPr>
    </w:p>
    <w:p w14:paraId="08A69746" w14:textId="65DD86CD" w:rsidR="00384D00" w:rsidRPr="00384D00" w:rsidRDefault="00384D00" w:rsidP="00384D00">
      <w:pPr>
        <w:autoSpaceDE w:val="0"/>
        <w:autoSpaceDN w:val="0"/>
        <w:adjustRightInd w:val="0"/>
        <w:rPr>
          <w:rFonts w:ascii="Tahoma" w:hAnsi="Tahoma" w:cs="Tahoma"/>
          <w:bCs/>
          <w:sz w:val="22"/>
          <w:szCs w:val="22"/>
          <w:lang w:eastAsia="en-AU"/>
        </w:rPr>
      </w:pPr>
    </w:p>
    <w:p w14:paraId="24D6D333" w14:textId="3F4A6F76" w:rsidR="00384D00" w:rsidRPr="00442E84" w:rsidRDefault="00384D00" w:rsidP="00384D00">
      <w:pPr>
        <w:autoSpaceDE w:val="0"/>
        <w:autoSpaceDN w:val="0"/>
        <w:adjustRightInd w:val="0"/>
        <w:rPr>
          <w:rFonts w:ascii="Tahoma" w:hAnsi="Tahoma" w:cs="Tahoma"/>
          <w:bCs/>
          <w:sz w:val="22"/>
          <w:szCs w:val="22"/>
          <w:lang w:eastAsia="en-AU"/>
        </w:rPr>
      </w:pPr>
    </w:p>
    <w:p w14:paraId="185B2055" w14:textId="53EFA15E" w:rsidR="00442E84" w:rsidRPr="00442E84" w:rsidRDefault="00442E84" w:rsidP="00442E84">
      <w:pPr>
        <w:autoSpaceDE w:val="0"/>
        <w:autoSpaceDN w:val="0"/>
        <w:adjustRightInd w:val="0"/>
        <w:rPr>
          <w:rFonts w:ascii="Tahoma" w:hAnsi="Tahoma" w:cs="Tahoma"/>
          <w:bCs/>
          <w:sz w:val="22"/>
          <w:szCs w:val="22"/>
          <w:lang w:eastAsia="en-AU"/>
        </w:rPr>
      </w:pPr>
    </w:p>
    <w:p w14:paraId="7A20AB71" w14:textId="22969306" w:rsidR="004321AD" w:rsidRPr="00181A4C" w:rsidRDefault="004321AD" w:rsidP="00CA5484">
      <w:pPr>
        <w:pStyle w:val="AppESBodyText"/>
        <w:numPr>
          <w:ilvl w:val="0"/>
          <w:numId w:val="0"/>
        </w:numPr>
        <w:rPr>
          <w:rFonts w:asciiTheme="minorHAnsi" w:hAnsiTheme="minorHAnsi" w:cstheme="minorHAnsi"/>
          <w:bCs/>
          <w:szCs w:val="22"/>
          <w:lang w:eastAsia="en-AU"/>
        </w:rPr>
      </w:pPr>
      <w:r w:rsidRPr="00442E84">
        <w:rPr>
          <w:szCs w:val="22"/>
        </w:rPr>
        <w:br w:type="page"/>
      </w:r>
      <w:r w:rsidRPr="00980DDE">
        <w:rPr>
          <w:rFonts w:ascii="Lucida Sans" w:hAnsi="Lucida Sans" w:cs="Arial"/>
          <w:bCs/>
          <w:iCs/>
          <w:sz w:val="24"/>
          <w:szCs w:val="28"/>
          <w:lang w:eastAsia="en-US"/>
        </w:rPr>
        <w:lastRenderedPageBreak/>
        <w:t>Total Price Specific Exclusions</w:t>
      </w:r>
    </w:p>
    <w:p w14:paraId="546B7538" w14:textId="33A3E82F" w:rsidR="00C62337"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150A7F3F" w14:textId="77777777" w:rsidR="00D52E87" w:rsidRDefault="007F0882" w:rsidP="00D021A8">
      <w:pPr>
        <w:pStyle w:val="AppESBodyText"/>
        <w:numPr>
          <w:ilvl w:val="0"/>
          <w:numId w:val="15"/>
        </w:numPr>
        <w:rPr>
          <w:lang w:eastAsia="en-AU"/>
        </w:rPr>
      </w:pPr>
      <w:proofErr w:type="gramStart"/>
      <w:r>
        <w:rPr>
          <w:lang w:eastAsia="en-AU"/>
        </w:rPr>
        <w:t>Any and all</w:t>
      </w:r>
      <w:proofErr w:type="gramEnd"/>
      <w:r>
        <w:rPr>
          <w:lang w:eastAsia="en-AU"/>
        </w:rPr>
        <w:t xml:space="preserve"> retention. </w:t>
      </w:r>
    </w:p>
    <w:p w14:paraId="28402494" w14:textId="1DA59F8E" w:rsidR="004321AD" w:rsidRPr="009337A6" w:rsidRDefault="004321AD" w:rsidP="00D52E87">
      <w:pPr>
        <w:pStyle w:val="AppESBodyText"/>
        <w:numPr>
          <w:ilvl w:val="0"/>
          <w:numId w:val="15"/>
        </w:numPr>
        <w:rPr>
          <w:lang w:eastAsia="en-AU"/>
        </w:rPr>
      </w:pPr>
      <w:r w:rsidRPr="009337A6">
        <w:rPr>
          <w:lang w:eastAsia="en-AU"/>
        </w:rPr>
        <w:t>Strip out or demolition works</w:t>
      </w:r>
      <w:r w:rsidR="00D52E87">
        <w:rPr>
          <w:lang w:eastAsia="en-AU"/>
        </w:rPr>
        <w:t xml:space="preserve">. </w:t>
      </w:r>
      <w:r w:rsidR="00D52E87" w:rsidRPr="00D52E87">
        <w:rPr>
          <w:lang w:eastAsia="en-AU"/>
        </w:rPr>
        <w:t>Disconnect and make safe allowance does not include removal of existing cables</w:t>
      </w:r>
      <w:r w:rsidR="00D52E87">
        <w:rPr>
          <w:lang w:eastAsia="en-AU"/>
        </w:rPr>
        <w:t>;</w:t>
      </w:r>
      <w:r w:rsidR="00D52E87" w:rsidRPr="00D52E87">
        <w:rPr>
          <w:lang w:eastAsia="en-AU"/>
        </w:rPr>
        <w:t xml:space="preserve"> tails in field to be stripped and </w:t>
      </w:r>
      <w:proofErr w:type="gramStart"/>
      <w:r w:rsidR="00D52E87" w:rsidRPr="00D52E87">
        <w:rPr>
          <w:lang w:eastAsia="en-AU"/>
        </w:rPr>
        <w:t>A,N</w:t>
      </w:r>
      <w:proofErr w:type="gramEnd"/>
      <w:r w:rsidR="00D52E87" w:rsidRPr="00D52E87">
        <w:rPr>
          <w:lang w:eastAsia="en-AU"/>
        </w:rPr>
        <w:t>,E to be twisted together and tapped</w:t>
      </w:r>
    </w:p>
    <w:p w14:paraId="3FC807D3" w14:textId="77777777" w:rsidR="004321AD" w:rsidRPr="009337A6" w:rsidRDefault="004321AD" w:rsidP="00D021A8">
      <w:pPr>
        <w:pStyle w:val="AppESBodyText"/>
        <w:numPr>
          <w:ilvl w:val="0"/>
          <w:numId w:val="15"/>
        </w:numPr>
        <w:rPr>
          <w:lang w:eastAsia="en-AU"/>
        </w:rPr>
      </w:pPr>
      <w:r w:rsidRPr="009337A6">
        <w:rPr>
          <w:lang w:eastAsia="en-AU"/>
        </w:rPr>
        <w:t>Cabling from MSSB's to BMS system</w:t>
      </w:r>
    </w:p>
    <w:p w14:paraId="77E0FD1F" w14:textId="77777777" w:rsidR="004321AD" w:rsidRPr="009337A6" w:rsidRDefault="004321AD" w:rsidP="00D021A8">
      <w:pPr>
        <w:pStyle w:val="AppESBodyText"/>
        <w:numPr>
          <w:ilvl w:val="0"/>
          <w:numId w:val="15"/>
        </w:numPr>
        <w:rPr>
          <w:lang w:eastAsia="en-AU"/>
        </w:rPr>
      </w:pPr>
      <w:r w:rsidRPr="009337A6">
        <w:rPr>
          <w:lang w:eastAsia="en-AU"/>
        </w:rPr>
        <w:t>Fire cabling from FIP.</w:t>
      </w:r>
      <w:bookmarkStart w:id="3" w:name="_GoBack"/>
      <w:bookmarkEnd w:id="3"/>
    </w:p>
    <w:p w14:paraId="0D5B7571" w14:textId="77777777" w:rsidR="004321AD" w:rsidRPr="009337A6" w:rsidRDefault="004321AD" w:rsidP="00D021A8">
      <w:pPr>
        <w:pStyle w:val="AppESBodyText"/>
        <w:numPr>
          <w:ilvl w:val="0"/>
          <w:numId w:val="15"/>
        </w:numPr>
        <w:rPr>
          <w:lang w:eastAsia="en-AU"/>
        </w:rPr>
      </w:pPr>
      <w:r w:rsidRPr="009337A6">
        <w:rPr>
          <w:lang w:eastAsia="en-AU"/>
        </w:rPr>
        <w:t xml:space="preserve">Proprietary air-conditioning controllers.  </w:t>
      </w:r>
    </w:p>
    <w:p w14:paraId="08B5282D" w14:textId="77777777" w:rsidR="004321AD" w:rsidRPr="009337A6" w:rsidRDefault="004321AD" w:rsidP="00D021A8">
      <w:pPr>
        <w:pStyle w:val="AppESBodyText"/>
        <w:numPr>
          <w:ilvl w:val="0"/>
          <w:numId w:val="15"/>
        </w:numPr>
        <w:rPr>
          <w:lang w:eastAsia="en-AU"/>
        </w:rPr>
      </w:pPr>
      <w:r w:rsidRPr="009337A6">
        <w:rPr>
          <w:lang w:eastAsia="en-AU"/>
        </w:rPr>
        <w:t>All BMS works</w:t>
      </w:r>
    </w:p>
    <w:p w14:paraId="28D2FBB3" w14:textId="6806551D" w:rsidR="004321AD" w:rsidRPr="009337A6" w:rsidRDefault="004321AD" w:rsidP="00D021A8">
      <w:pPr>
        <w:pStyle w:val="AppESBodyText"/>
        <w:numPr>
          <w:ilvl w:val="0"/>
          <w:numId w:val="15"/>
        </w:numPr>
        <w:rPr>
          <w:lang w:eastAsia="en-AU"/>
        </w:rPr>
      </w:pPr>
      <w:r w:rsidRPr="009337A6">
        <w:rPr>
          <w:lang w:eastAsia="en-AU"/>
        </w:rPr>
        <w:t>All interfacing controls to BMS (except for BMS terminals in MSSB’s)</w:t>
      </w:r>
    </w:p>
    <w:p w14:paraId="410EC217" w14:textId="77777777" w:rsidR="004321AD" w:rsidRPr="009337A6" w:rsidRDefault="004321AD" w:rsidP="00D021A8">
      <w:pPr>
        <w:pStyle w:val="AppESBodyText"/>
        <w:numPr>
          <w:ilvl w:val="0"/>
          <w:numId w:val="15"/>
        </w:numPr>
        <w:rPr>
          <w:lang w:eastAsia="en-AU"/>
        </w:rPr>
      </w:pPr>
      <w:r w:rsidRPr="009337A6">
        <w:rPr>
          <w:lang w:eastAsia="en-AU"/>
        </w:rPr>
        <w:t>Installation of cable from MSB to MSSBs</w:t>
      </w:r>
    </w:p>
    <w:p w14:paraId="6E38D1CE" w14:textId="77777777" w:rsidR="004321AD" w:rsidRPr="009337A6" w:rsidRDefault="004321AD" w:rsidP="00D021A8">
      <w:pPr>
        <w:pStyle w:val="AppESBodyText"/>
        <w:numPr>
          <w:ilvl w:val="0"/>
          <w:numId w:val="15"/>
        </w:numPr>
        <w:rPr>
          <w:lang w:eastAsia="en-AU"/>
        </w:rPr>
      </w:pPr>
      <w:r w:rsidRPr="009337A6">
        <w:rPr>
          <w:lang w:eastAsia="en-AU"/>
        </w:rPr>
        <w:t xml:space="preserve">Power or control of any fans or equipment not nominated in inclusions </w:t>
      </w:r>
    </w:p>
    <w:p w14:paraId="14D5C9CB" w14:textId="77777777" w:rsidR="004321AD" w:rsidRPr="009337A6" w:rsidRDefault="004321AD" w:rsidP="00D021A8">
      <w:pPr>
        <w:pStyle w:val="AppESBodyText"/>
        <w:numPr>
          <w:ilvl w:val="0"/>
          <w:numId w:val="15"/>
        </w:numPr>
        <w:rPr>
          <w:lang w:eastAsia="en-AU"/>
        </w:rPr>
      </w:pPr>
      <w:r w:rsidRPr="009337A6">
        <w:rPr>
          <w:lang w:eastAsia="en-AU"/>
        </w:rPr>
        <w:t>Mechanical or plumbing works</w:t>
      </w:r>
    </w:p>
    <w:p w14:paraId="68AB3142" w14:textId="77777777" w:rsidR="004321AD" w:rsidRPr="009337A6" w:rsidRDefault="004321AD" w:rsidP="00D021A8">
      <w:pPr>
        <w:pStyle w:val="AppESBodyText"/>
        <w:numPr>
          <w:ilvl w:val="0"/>
          <w:numId w:val="15"/>
        </w:numPr>
        <w:rPr>
          <w:lang w:eastAsia="en-AU"/>
        </w:rPr>
      </w:pPr>
      <w:r w:rsidRPr="009337A6">
        <w:rPr>
          <w:lang w:eastAsia="en-AU"/>
        </w:rPr>
        <w:t xml:space="preserve">Supply or installation of MSB  </w:t>
      </w:r>
    </w:p>
    <w:p w14:paraId="0A8D99E1" w14:textId="77777777" w:rsidR="004321AD" w:rsidRPr="009337A6" w:rsidRDefault="004321AD" w:rsidP="00D021A8">
      <w:pPr>
        <w:pStyle w:val="AppESBodyText"/>
        <w:numPr>
          <w:ilvl w:val="0"/>
          <w:numId w:val="15"/>
        </w:numPr>
        <w:rPr>
          <w:lang w:eastAsia="en-AU"/>
        </w:rPr>
      </w:pPr>
      <w:r w:rsidRPr="009337A6">
        <w:rPr>
          <w:lang w:eastAsia="en-AU"/>
        </w:rPr>
        <w:t>Supply or install of a BMCS</w:t>
      </w:r>
    </w:p>
    <w:p w14:paraId="75550B9A" w14:textId="36A81FCE" w:rsidR="004321AD" w:rsidRPr="009337A6" w:rsidRDefault="004321AD" w:rsidP="00D021A8">
      <w:pPr>
        <w:pStyle w:val="AppESBodyText"/>
        <w:numPr>
          <w:ilvl w:val="0"/>
          <w:numId w:val="15"/>
        </w:numPr>
        <w:rPr>
          <w:lang w:eastAsia="en-AU"/>
        </w:rPr>
      </w:pPr>
      <w:r w:rsidRPr="009337A6">
        <w:rPr>
          <w:lang w:eastAsia="en-AU"/>
        </w:rPr>
        <w:t xml:space="preserve">Supply or install a </w:t>
      </w:r>
      <w:r w:rsidR="00E355AD">
        <w:rPr>
          <w:lang w:eastAsia="en-AU"/>
        </w:rPr>
        <w:t>DX</w:t>
      </w:r>
      <w:r w:rsidRPr="009337A6">
        <w:rPr>
          <w:lang w:eastAsia="en-AU"/>
        </w:rPr>
        <w:t xml:space="preserve"> system Central controller </w:t>
      </w:r>
    </w:p>
    <w:p w14:paraId="5AAAFBFE" w14:textId="77777777" w:rsidR="004321AD" w:rsidRPr="009337A6" w:rsidRDefault="004321AD" w:rsidP="00D021A8">
      <w:pPr>
        <w:pStyle w:val="AppESBodyText"/>
        <w:numPr>
          <w:ilvl w:val="0"/>
          <w:numId w:val="15"/>
        </w:numPr>
        <w:rPr>
          <w:lang w:eastAsia="en-AU"/>
        </w:rPr>
      </w:pPr>
      <w:r w:rsidRPr="009337A6">
        <w:rPr>
          <w:lang w:eastAsia="en-AU"/>
        </w:rPr>
        <w:t>For NEBB Commissioning</w:t>
      </w:r>
    </w:p>
    <w:p w14:paraId="6C923296" w14:textId="77777777" w:rsidR="004321AD" w:rsidRPr="009337A6" w:rsidRDefault="004321AD" w:rsidP="00D021A8">
      <w:pPr>
        <w:pStyle w:val="AppESBodyText"/>
        <w:numPr>
          <w:ilvl w:val="0"/>
          <w:numId w:val="15"/>
        </w:numPr>
        <w:rPr>
          <w:lang w:eastAsia="en-AU"/>
        </w:rPr>
      </w:pPr>
      <w:r w:rsidRPr="009337A6">
        <w:rPr>
          <w:lang w:eastAsia="en-AU"/>
        </w:rPr>
        <w:t>For Air or Water balance</w:t>
      </w:r>
    </w:p>
    <w:p w14:paraId="3FAB933D" w14:textId="77777777" w:rsidR="004321AD" w:rsidRPr="009337A6" w:rsidRDefault="004321AD" w:rsidP="00D021A8">
      <w:pPr>
        <w:pStyle w:val="AppESBodyText"/>
        <w:numPr>
          <w:ilvl w:val="0"/>
          <w:numId w:val="15"/>
        </w:numPr>
        <w:rPr>
          <w:lang w:eastAsia="en-AU"/>
        </w:rPr>
      </w:pPr>
      <w:r w:rsidRPr="009337A6">
        <w:rPr>
          <w:lang w:eastAsia="en-AU"/>
        </w:rPr>
        <w:t>Cost associated with disabling of fire alarm during construction</w:t>
      </w:r>
    </w:p>
    <w:p w14:paraId="343C509F" w14:textId="77777777" w:rsidR="004321AD" w:rsidRPr="009337A6" w:rsidRDefault="004321AD" w:rsidP="00D021A8">
      <w:pPr>
        <w:pStyle w:val="AppESBodyText"/>
        <w:numPr>
          <w:ilvl w:val="0"/>
          <w:numId w:val="15"/>
        </w:numPr>
        <w:rPr>
          <w:lang w:eastAsia="en-AU"/>
        </w:rPr>
      </w:pPr>
      <w:r w:rsidRPr="009337A6">
        <w:rPr>
          <w:lang w:eastAsia="en-AU"/>
        </w:rPr>
        <w:t>Supply or installation of proprietary hardware of network cabling required for HLI systems</w:t>
      </w:r>
    </w:p>
    <w:p w14:paraId="08EDA5DA" w14:textId="76916013" w:rsidR="004321AD" w:rsidRDefault="004321AD" w:rsidP="00D021A8">
      <w:pPr>
        <w:pStyle w:val="AppESBodyText"/>
        <w:numPr>
          <w:ilvl w:val="0"/>
          <w:numId w:val="15"/>
        </w:numPr>
        <w:rPr>
          <w:lang w:eastAsia="en-AU"/>
        </w:rPr>
      </w:pPr>
      <w:r w:rsidRPr="009337A6">
        <w:rPr>
          <w:lang w:eastAsia="en-AU"/>
        </w:rPr>
        <w:t>Supply of NRD (non-return damper)</w:t>
      </w:r>
    </w:p>
    <w:p w14:paraId="421FBBCD" w14:textId="296BBC49" w:rsidR="00E70DC1" w:rsidRPr="009337A6" w:rsidRDefault="00E70DC1" w:rsidP="00D021A8">
      <w:pPr>
        <w:pStyle w:val="AppESBodyText"/>
        <w:numPr>
          <w:ilvl w:val="0"/>
          <w:numId w:val="15"/>
        </w:numPr>
        <w:rPr>
          <w:lang w:eastAsia="en-AU"/>
        </w:rPr>
      </w:pPr>
      <w:r>
        <w:rPr>
          <w:lang w:eastAsia="en-AU"/>
        </w:rPr>
        <w:t>Supply or installation of smoke and fire dampers</w:t>
      </w:r>
    </w:p>
    <w:p w14:paraId="2000579E" w14:textId="77777777" w:rsidR="004321AD" w:rsidRPr="009337A6" w:rsidRDefault="004321AD" w:rsidP="00D021A8">
      <w:pPr>
        <w:pStyle w:val="AppESBodyText"/>
        <w:numPr>
          <w:ilvl w:val="0"/>
          <w:numId w:val="15"/>
        </w:numPr>
        <w:rPr>
          <w:lang w:eastAsia="en-AU"/>
        </w:rPr>
      </w:pPr>
      <w:r w:rsidRPr="009337A6">
        <w:rPr>
          <w:lang w:eastAsia="en-AU"/>
        </w:rPr>
        <w:t>Trenching, Chasing or Core Hole Drilling</w:t>
      </w:r>
    </w:p>
    <w:p w14:paraId="482DFD73" w14:textId="77777777" w:rsidR="004321AD" w:rsidRPr="009337A6" w:rsidRDefault="004321AD" w:rsidP="00D021A8">
      <w:pPr>
        <w:pStyle w:val="AppESBodyText"/>
        <w:numPr>
          <w:ilvl w:val="0"/>
          <w:numId w:val="15"/>
        </w:numPr>
        <w:rPr>
          <w:lang w:eastAsia="en-AU"/>
        </w:rPr>
      </w:pPr>
      <w:r w:rsidRPr="009337A6">
        <w:rPr>
          <w:lang w:eastAsia="en-AU"/>
        </w:rPr>
        <w:t xml:space="preserve">Lifting Equipment </w:t>
      </w:r>
    </w:p>
    <w:p w14:paraId="2760EF55" w14:textId="77777777" w:rsidR="004321AD" w:rsidRPr="009337A6" w:rsidRDefault="004321AD" w:rsidP="00D021A8">
      <w:pPr>
        <w:pStyle w:val="AppESBodyText"/>
        <w:numPr>
          <w:ilvl w:val="0"/>
          <w:numId w:val="15"/>
        </w:numPr>
        <w:rPr>
          <w:lang w:eastAsia="en-AU"/>
        </w:rPr>
      </w:pPr>
      <w:r w:rsidRPr="009337A6">
        <w:rPr>
          <w:lang w:eastAsia="en-AU"/>
        </w:rPr>
        <w:t>NABERS or Green Star Compliance</w:t>
      </w:r>
    </w:p>
    <w:p w14:paraId="53226777" w14:textId="2B1598BD" w:rsidR="00E70DC1" w:rsidRPr="009337A6" w:rsidRDefault="004321AD" w:rsidP="00E70DC1">
      <w:pPr>
        <w:pStyle w:val="AppESBodyText"/>
        <w:numPr>
          <w:ilvl w:val="0"/>
          <w:numId w:val="15"/>
        </w:numPr>
        <w:rPr>
          <w:lang w:eastAsia="en-AU"/>
        </w:rPr>
      </w:pPr>
      <w:r w:rsidRPr="009337A6">
        <w:rPr>
          <w:lang w:eastAsia="en-AU"/>
        </w:rPr>
        <w:t>All demolition/make-safe works</w:t>
      </w:r>
    </w:p>
    <w:p w14:paraId="0BDC4F2B" w14:textId="77777777" w:rsidR="00433083" w:rsidRDefault="00433083" w:rsidP="004321AD">
      <w:pPr>
        <w:autoSpaceDE w:val="0"/>
        <w:autoSpaceDN w:val="0"/>
        <w:adjustRightInd w:val="0"/>
        <w:rPr>
          <w:rFonts w:asciiTheme="minorHAnsi" w:hAnsiTheme="minorHAnsi" w:cstheme="minorHAnsi"/>
          <w:b/>
          <w:bCs/>
          <w:sz w:val="22"/>
          <w:szCs w:val="22"/>
          <w:lang w:eastAsia="en-AU"/>
        </w:rPr>
      </w:pPr>
    </w:p>
    <w:p w14:paraId="3B21890C" w14:textId="58DCBCB3" w:rsidR="003339F1" w:rsidRPr="006D5C0E" w:rsidRDefault="00C62337" w:rsidP="006D5C0E">
      <w:pPr>
        <w:autoSpaceDE w:val="0"/>
        <w:autoSpaceDN w:val="0"/>
        <w:adjustRightInd w:val="0"/>
        <w:rPr>
          <w:rFonts w:asciiTheme="minorHAnsi" w:hAnsiTheme="minorHAnsi" w:cstheme="minorHAnsi"/>
          <w:b/>
          <w:bCs/>
          <w:sz w:val="22"/>
          <w:szCs w:val="22"/>
          <w:lang w:eastAsia="en-AU"/>
        </w:rPr>
      </w:pPr>
      <w:r>
        <w:rPr>
          <w:rFonts w:asciiTheme="minorHAnsi" w:hAnsiTheme="minorHAnsi" w:cstheme="minorHAnsi"/>
          <w:b/>
          <w:bCs/>
          <w:sz w:val="22"/>
          <w:szCs w:val="22"/>
          <w:lang w:eastAsia="en-AU"/>
        </w:rPr>
        <w:t>Specific Exclusions</w:t>
      </w:r>
    </w:p>
    <w:p w14:paraId="10936CED"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Fans</w:t>
      </w:r>
    </w:p>
    <w:p w14:paraId="02C6723B" w14:textId="59F2F639" w:rsidR="003339F1" w:rsidRPr="00C868A1" w:rsidRDefault="006D5C0E" w:rsidP="00C868A1">
      <w:pPr>
        <w:pStyle w:val="AppESBodyText"/>
        <w:numPr>
          <w:ilvl w:val="0"/>
          <w:numId w:val="15"/>
        </w:numPr>
        <w:rPr>
          <w:lang w:eastAsia="en-AU"/>
        </w:rPr>
      </w:pPr>
      <w:r>
        <w:rPr>
          <w:lang w:eastAsia="en-AU"/>
        </w:rPr>
        <w:t>S</w:t>
      </w:r>
      <w:r w:rsidR="003339F1" w:rsidRPr="00C868A1">
        <w:rPr>
          <w:lang w:eastAsia="en-AU"/>
        </w:rPr>
        <w:t xml:space="preserve">tatus cabling from pumps. </w:t>
      </w:r>
    </w:p>
    <w:p w14:paraId="5923C8D3" w14:textId="10A7A81E" w:rsidR="003339F1" w:rsidRPr="00C868A1" w:rsidRDefault="006D5C0E" w:rsidP="00C868A1">
      <w:pPr>
        <w:pStyle w:val="AppESBodyText"/>
        <w:numPr>
          <w:ilvl w:val="0"/>
          <w:numId w:val="15"/>
        </w:numPr>
        <w:rPr>
          <w:lang w:eastAsia="en-AU"/>
        </w:rPr>
      </w:pPr>
      <w:r>
        <w:rPr>
          <w:lang w:eastAsia="en-AU"/>
        </w:rPr>
        <w:t>F</w:t>
      </w:r>
      <w:r w:rsidR="003339F1" w:rsidRPr="00C868A1">
        <w:rPr>
          <w:lang w:eastAsia="en-AU"/>
        </w:rPr>
        <w:t>ire cabling from FIP.</w:t>
      </w:r>
    </w:p>
    <w:p w14:paraId="341F3037" w14:textId="42B18A72" w:rsidR="003339F1" w:rsidRPr="00C868A1" w:rsidRDefault="006D5C0E" w:rsidP="006D5C0E">
      <w:pPr>
        <w:pStyle w:val="AppESBodyText"/>
        <w:numPr>
          <w:ilvl w:val="0"/>
          <w:numId w:val="15"/>
        </w:numPr>
        <w:rPr>
          <w:lang w:eastAsia="en-AU"/>
        </w:rPr>
      </w:pPr>
      <w:r>
        <w:rPr>
          <w:lang w:eastAsia="en-AU"/>
        </w:rPr>
        <w:t>S</w:t>
      </w:r>
      <w:r w:rsidR="003339F1" w:rsidRPr="00C868A1">
        <w:rPr>
          <w:lang w:eastAsia="en-AU"/>
        </w:rPr>
        <w:t>ubstation ventilation power supply (including isolator)</w:t>
      </w:r>
    </w:p>
    <w:p w14:paraId="52A31A50" w14:textId="6FDD6889" w:rsidR="003339F1" w:rsidRPr="00C868A1" w:rsidRDefault="003339F1" w:rsidP="006D5C0E">
      <w:pPr>
        <w:pStyle w:val="AppESBodyText"/>
        <w:numPr>
          <w:ilvl w:val="0"/>
          <w:numId w:val="15"/>
        </w:numPr>
        <w:rPr>
          <w:lang w:eastAsia="en-AU"/>
        </w:rPr>
      </w:pPr>
      <w:r w:rsidRPr="00C868A1">
        <w:rPr>
          <w:lang w:eastAsia="en-AU"/>
        </w:rPr>
        <w:t xml:space="preserve"> Proprietary controller</w:t>
      </w:r>
      <w:r w:rsidR="006D5C0E">
        <w:rPr>
          <w:lang w:eastAsia="en-AU"/>
        </w:rPr>
        <w:t>s</w:t>
      </w:r>
    </w:p>
    <w:p w14:paraId="1FFFA953" w14:textId="77777777" w:rsidR="005C5DF1" w:rsidRPr="00C868A1" w:rsidRDefault="005C5DF1" w:rsidP="005C5DF1">
      <w:pPr>
        <w:pStyle w:val="AppESBodyText"/>
        <w:numPr>
          <w:ilvl w:val="0"/>
          <w:numId w:val="15"/>
        </w:numPr>
        <w:rPr>
          <w:lang w:eastAsia="en-AU"/>
        </w:rPr>
      </w:pPr>
      <w:r>
        <w:rPr>
          <w:lang w:eastAsia="en-AU"/>
        </w:rPr>
        <w:t>L</w:t>
      </w:r>
      <w:r w:rsidRPr="00C868A1">
        <w:rPr>
          <w:lang w:eastAsia="en-AU"/>
        </w:rPr>
        <w:t xml:space="preserve">ocal power supply and isolator for units. </w:t>
      </w:r>
    </w:p>
    <w:p w14:paraId="43F9EBB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Air Conditioning</w:t>
      </w:r>
    </w:p>
    <w:p w14:paraId="15528EA9" w14:textId="7D141FF4" w:rsidR="005C5DF1" w:rsidRDefault="005C5DF1" w:rsidP="00C868A1">
      <w:pPr>
        <w:pStyle w:val="AppESBodyText"/>
        <w:numPr>
          <w:ilvl w:val="0"/>
          <w:numId w:val="15"/>
        </w:numPr>
        <w:rPr>
          <w:lang w:eastAsia="en-AU"/>
        </w:rPr>
      </w:pPr>
      <w:r>
        <w:rPr>
          <w:lang w:eastAsia="en-AU"/>
        </w:rPr>
        <w:t>C</w:t>
      </w:r>
      <w:r w:rsidR="003339F1" w:rsidRPr="00C868A1">
        <w:rPr>
          <w:lang w:eastAsia="en-AU"/>
        </w:rPr>
        <w:t>abling from MSSB's to BMS system</w:t>
      </w:r>
    </w:p>
    <w:p w14:paraId="4AC83D58" w14:textId="59709027" w:rsidR="003339F1" w:rsidRPr="00C868A1" w:rsidRDefault="005C5DF1" w:rsidP="00C868A1">
      <w:pPr>
        <w:pStyle w:val="AppESBodyText"/>
        <w:numPr>
          <w:ilvl w:val="0"/>
          <w:numId w:val="15"/>
        </w:numPr>
        <w:rPr>
          <w:lang w:eastAsia="en-AU"/>
        </w:rPr>
      </w:pPr>
      <w:r>
        <w:rPr>
          <w:lang w:eastAsia="en-AU"/>
        </w:rPr>
        <w:t>Fi</w:t>
      </w:r>
      <w:r w:rsidR="003339F1" w:rsidRPr="00C868A1">
        <w:rPr>
          <w:lang w:eastAsia="en-AU"/>
        </w:rPr>
        <w:t>re cabling from FIP.</w:t>
      </w:r>
    </w:p>
    <w:p w14:paraId="2FA99BF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lastRenderedPageBreak/>
        <w:t>DX Air Conditioning</w:t>
      </w:r>
    </w:p>
    <w:p w14:paraId="322AE3B4" w14:textId="3AE1EF75" w:rsidR="003339F1" w:rsidRPr="00C868A1" w:rsidRDefault="003339F1" w:rsidP="005C5DF1">
      <w:pPr>
        <w:pStyle w:val="AppESBodyText"/>
        <w:numPr>
          <w:ilvl w:val="0"/>
          <w:numId w:val="15"/>
        </w:numPr>
        <w:rPr>
          <w:lang w:eastAsia="en-AU"/>
        </w:rPr>
      </w:pPr>
      <w:r w:rsidRPr="00C868A1">
        <w:rPr>
          <w:lang w:eastAsia="en-AU"/>
        </w:rPr>
        <w:t>VRF central controller supply and commissioning.</w:t>
      </w:r>
    </w:p>
    <w:p w14:paraId="40FAC640" w14:textId="46C20159" w:rsidR="00E9626F" w:rsidRDefault="005C5DF1" w:rsidP="00E9626F">
      <w:pPr>
        <w:pStyle w:val="AppESBodyText"/>
        <w:numPr>
          <w:ilvl w:val="0"/>
          <w:numId w:val="15"/>
        </w:numPr>
        <w:rPr>
          <w:lang w:eastAsia="en-AU"/>
        </w:rPr>
      </w:pPr>
      <w:r>
        <w:rPr>
          <w:lang w:eastAsia="en-AU"/>
        </w:rPr>
        <w:t>L</w:t>
      </w:r>
      <w:r w:rsidR="003339F1" w:rsidRPr="00C868A1">
        <w:rPr>
          <w:lang w:eastAsia="en-AU"/>
        </w:rPr>
        <w:t xml:space="preserve">ocal power supply and isolator for units. </w:t>
      </w:r>
    </w:p>
    <w:p w14:paraId="3CA1D436" w14:textId="77777777" w:rsidR="00E9626F" w:rsidRDefault="00E9626F" w:rsidP="00C868A1">
      <w:pPr>
        <w:pStyle w:val="AppESBodyText"/>
        <w:numPr>
          <w:ilvl w:val="0"/>
          <w:numId w:val="15"/>
        </w:numPr>
        <w:rPr>
          <w:lang w:eastAsia="en-AU"/>
        </w:rPr>
      </w:pPr>
      <w:r>
        <w:rPr>
          <w:lang w:eastAsia="en-AU"/>
        </w:rPr>
        <w:t>P</w:t>
      </w:r>
      <w:r w:rsidR="003339F1" w:rsidRPr="00C868A1">
        <w:rPr>
          <w:lang w:eastAsia="en-AU"/>
        </w:rPr>
        <w:t xml:space="preserve">roprietary air-conditioning controllers supply and installation. </w:t>
      </w:r>
    </w:p>
    <w:p w14:paraId="58A905E7" w14:textId="62B36760" w:rsidR="003339F1" w:rsidRPr="00C868A1" w:rsidRDefault="00E9626F" w:rsidP="00C868A1">
      <w:pPr>
        <w:pStyle w:val="AppESBodyText"/>
        <w:numPr>
          <w:ilvl w:val="0"/>
          <w:numId w:val="15"/>
        </w:numPr>
        <w:rPr>
          <w:lang w:eastAsia="en-AU"/>
        </w:rPr>
      </w:pPr>
      <w:r>
        <w:rPr>
          <w:lang w:eastAsia="en-AU"/>
        </w:rPr>
        <w:t>I</w:t>
      </w:r>
      <w:r w:rsidR="003339F1" w:rsidRPr="00C868A1">
        <w:rPr>
          <w:lang w:eastAsia="en-AU"/>
        </w:rPr>
        <w:t xml:space="preserve">nterface card for air-conditioning controllers. </w:t>
      </w:r>
    </w:p>
    <w:p w14:paraId="5DE6880E" w14:textId="77777777" w:rsidR="00E9626F" w:rsidRDefault="00E9626F" w:rsidP="00C868A1">
      <w:pPr>
        <w:pStyle w:val="AppESBodyText"/>
        <w:numPr>
          <w:ilvl w:val="0"/>
          <w:numId w:val="15"/>
        </w:numPr>
        <w:rPr>
          <w:lang w:eastAsia="en-AU"/>
        </w:rPr>
      </w:pPr>
      <w:r>
        <w:rPr>
          <w:lang w:eastAsia="en-AU"/>
        </w:rPr>
        <w:t>W</w:t>
      </w:r>
      <w:r w:rsidR="003339F1" w:rsidRPr="00C868A1">
        <w:rPr>
          <w:lang w:eastAsia="en-AU"/>
        </w:rPr>
        <w:t xml:space="preserve">ireless air-conditioning controllers. </w:t>
      </w:r>
    </w:p>
    <w:p w14:paraId="7F1E1C54" w14:textId="35ED8092" w:rsidR="003339F1" w:rsidRPr="00C868A1" w:rsidRDefault="00E9626F" w:rsidP="0084479A">
      <w:pPr>
        <w:pStyle w:val="AppESBodyText"/>
        <w:numPr>
          <w:ilvl w:val="0"/>
          <w:numId w:val="15"/>
        </w:numPr>
        <w:rPr>
          <w:lang w:eastAsia="en-AU"/>
        </w:rPr>
      </w:pPr>
      <w:r w:rsidRPr="003C0CFC">
        <w:rPr>
          <w:b/>
          <w:lang w:eastAsia="en-AU"/>
        </w:rPr>
        <w:t xml:space="preserve">[For PAC </w:t>
      </w:r>
      <w:r w:rsidR="003C0CFC">
        <w:rPr>
          <w:b/>
          <w:lang w:eastAsia="en-AU"/>
        </w:rPr>
        <w:t>U</w:t>
      </w:r>
      <w:r w:rsidRPr="003C0CFC">
        <w:rPr>
          <w:b/>
          <w:lang w:eastAsia="en-AU"/>
        </w:rPr>
        <w:t>nits]</w:t>
      </w:r>
      <w:r>
        <w:rPr>
          <w:lang w:eastAsia="en-AU"/>
        </w:rPr>
        <w:t xml:space="preserve"> P</w:t>
      </w:r>
      <w:r w:rsidR="003339F1" w:rsidRPr="00C868A1">
        <w:rPr>
          <w:lang w:eastAsia="en-AU"/>
        </w:rPr>
        <w:t xml:space="preserve">ower cabling from MSSB and local power isolator. Customers electrician to leave tails adjacent MSSB for </w:t>
      </w:r>
      <w:r w:rsidR="0084479A">
        <w:rPr>
          <w:lang w:eastAsia="en-AU"/>
        </w:rPr>
        <w:t>Integrated</w:t>
      </w:r>
      <w:r w:rsidR="003339F1" w:rsidRPr="00C868A1">
        <w:rPr>
          <w:lang w:eastAsia="en-AU"/>
        </w:rPr>
        <w:t xml:space="preserve"> to connect.</w:t>
      </w:r>
    </w:p>
    <w:p w14:paraId="4131B17C"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Smoke Management</w:t>
      </w:r>
    </w:p>
    <w:p w14:paraId="2A72BC56" w14:textId="737E0495" w:rsidR="003339F1" w:rsidRPr="00C868A1" w:rsidRDefault="0084479A" w:rsidP="00C868A1">
      <w:pPr>
        <w:pStyle w:val="AppESBodyText"/>
        <w:numPr>
          <w:ilvl w:val="0"/>
          <w:numId w:val="15"/>
        </w:numPr>
        <w:rPr>
          <w:lang w:eastAsia="en-AU"/>
        </w:rPr>
      </w:pPr>
      <w:r>
        <w:rPr>
          <w:lang w:eastAsia="en-AU"/>
        </w:rPr>
        <w:t>F</w:t>
      </w:r>
      <w:r w:rsidR="003339F1" w:rsidRPr="00C868A1">
        <w:rPr>
          <w:lang w:eastAsia="en-AU"/>
        </w:rPr>
        <w:t>ire cabling from FIP.</w:t>
      </w:r>
    </w:p>
    <w:p w14:paraId="753E2B9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Kitchen</w:t>
      </w:r>
    </w:p>
    <w:p w14:paraId="6868F555" w14:textId="731118DE" w:rsidR="0084479A" w:rsidRDefault="0084479A" w:rsidP="00C868A1">
      <w:pPr>
        <w:pStyle w:val="AppESBodyText"/>
        <w:numPr>
          <w:ilvl w:val="0"/>
          <w:numId w:val="15"/>
        </w:numPr>
        <w:rPr>
          <w:lang w:eastAsia="en-AU"/>
        </w:rPr>
      </w:pPr>
      <w:r>
        <w:rPr>
          <w:lang w:eastAsia="en-AU"/>
        </w:rPr>
        <w:t>L</w:t>
      </w:r>
      <w:r w:rsidRPr="00C868A1">
        <w:rPr>
          <w:lang w:eastAsia="en-AU"/>
        </w:rPr>
        <w:t xml:space="preserve">ocal power supply </w:t>
      </w:r>
      <w:r w:rsidR="003339F1" w:rsidRPr="00C868A1">
        <w:rPr>
          <w:lang w:eastAsia="en-AU"/>
        </w:rPr>
        <w:t>adjacent</w:t>
      </w:r>
      <w:r>
        <w:rPr>
          <w:lang w:eastAsia="en-AU"/>
        </w:rPr>
        <w:t xml:space="preserve"> to</w:t>
      </w:r>
      <w:r w:rsidR="003339F1" w:rsidRPr="00C868A1">
        <w:rPr>
          <w:lang w:eastAsia="en-AU"/>
        </w:rPr>
        <w:t xml:space="preserve"> fan</w:t>
      </w:r>
      <w:r>
        <w:rPr>
          <w:lang w:eastAsia="en-AU"/>
        </w:rPr>
        <w:t>s</w:t>
      </w:r>
    </w:p>
    <w:p w14:paraId="4C32B1A4" w14:textId="238CB8E9" w:rsidR="003339F1" w:rsidRPr="00C868A1" w:rsidRDefault="0084479A" w:rsidP="0084479A">
      <w:pPr>
        <w:pStyle w:val="AppESBodyText"/>
        <w:numPr>
          <w:ilvl w:val="0"/>
          <w:numId w:val="15"/>
        </w:numPr>
        <w:rPr>
          <w:lang w:eastAsia="en-AU"/>
        </w:rPr>
      </w:pPr>
      <w:r>
        <w:rPr>
          <w:lang w:eastAsia="en-AU"/>
        </w:rPr>
        <w:t>F</w:t>
      </w:r>
      <w:r w:rsidR="003339F1" w:rsidRPr="00C868A1">
        <w:rPr>
          <w:lang w:eastAsia="en-AU"/>
        </w:rPr>
        <w:t>ire cabling from FIP</w:t>
      </w:r>
    </w:p>
    <w:p w14:paraId="368F6D73" w14:textId="77777777" w:rsidR="0084479A" w:rsidRDefault="0084479A" w:rsidP="00C868A1">
      <w:pPr>
        <w:pStyle w:val="AppESBodyText"/>
        <w:numPr>
          <w:ilvl w:val="0"/>
          <w:numId w:val="15"/>
        </w:numPr>
        <w:rPr>
          <w:lang w:eastAsia="en-AU"/>
        </w:rPr>
      </w:pPr>
      <w:r>
        <w:rPr>
          <w:lang w:eastAsia="en-AU"/>
        </w:rPr>
        <w:t>S</w:t>
      </w:r>
      <w:r w:rsidR="003339F1" w:rsidRPr="00C868A1">
        <w:rPr>
          <w:lang w:eastAsia="en-AU"/>
        </w:rPr>
        <w:t>upply and install of gas solenoid</w:t>
      </w:r>
      <w:r>
        <w:rPr>
          <w:lang w:eastAsia="en-AU"/>
        </w:rPr>
        <w:t>s</w:t>
      </w:r>
    </w:p>
    <w:p w14:paraId="5E99A41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Other</w:t>
      </w:r>
    </w:p>
    <w:p w14:paraId="43DD970F" w14:textId="77777777" w:rsidR="00181A4C" w:rsidRDefault="003339F1" w:rsidP="00C868A1">
      <w:pPr>
        <w:pStyle w:val="AppESBodyText"/>
        <w:numPr>
          <w:ilvl w:val="0"/>
          <w:numId w:val="15"/>
        </w:numPr>
        <w:rPr>
          <w:lang w:eastAsia="en-AU"/>
        </w:rPr>
      </w:pPr>
      <w:r w:rsidRPr="00C868A1">
        <w:rPr>
          <w:lang w:eastAsia="en-AU"/>
        </w:rPr>
        <w:t xml:space="preserve">Power cabling from MSSB to heater and HPT. Customers electrician to leave tails adjacent MSSB for </w:t>
      </w:r>
      <w:r w:rsidR="00181A4C">
        <w:rPr>
          <w:lang w:eastAsia="en-AU"/>
        </w:rPr>
        <w:t>Integrated</w:t>
      </w:r>
      <w:r w:rsidRPr="00C868A1">
        <w:rPr>
          <w:lang w:eastAsia="en-AU"/>
        </w:rPr>
        <w:t xml:space="preserve"> to connect. </w:t>
      </w:r>
    </w:p>
    <w:p w14:paraId="1C4910C6" w14:textId="5486F503" w:rsidR="00181A4C" w:rsidRDefault="00181A4C" w:rsidP="00C868A1">
      <w:pPr>
        <w:pStyle w:val="AppESBodyText"/>
        <w:numPr>
          <w:ilvl w:val="0"/>
          <w:numId w:val="15"/>
        </w:numPr>
        <w:rPr>
          <w:lang w:eastAsia="en-AU"/>
        </w:rPr>
      </w:pPr>
      <w:r w:rsidRPr="003C0CFC">
        <w:rPr>
          <w:b/>
          <w:lang w:eastAsia="en-AU"/>
        </w:rPr>
        <w:t xml:space="preserve">[For </w:t>
      </w:r>
      <w:r w:rsidR="003C0CFC">
        <w:rPr>
          <w:b/>
          <w:lang w:eastAsia="en-AU"/>
        </w:rPr>
        <w:t>H</w:t>
      </w:r>
      <w:r w:rsidRPr="003C0CFC">
        <w:rPr>
          <w:b/>
          <w:lang w:eastAsia="en-AU"/>
        </w:rPr>
        <w:t>eaters]</w:t>
      </w:r>
      <w:r>
        <w:rPr>
          <w:lang w:eastAsia="en-AU"/>
        </w:rPr>
        <w:t xml:space="preserve"> C</w:t>
      </w:r>
      <w:r w:rsidR="003339F1" w:rsidRPr="00C868A1">
        <w:rPr>
          <w:lang w:eastAsia="en-AU"/>
        </w:rPr>
        <w:t xml:space="preserve">abling from MSSB's to BMS system </w:t>
      </w:r>
    </w:p>
    <w:p w14:paraId="55B335A1" w14:textId="2092EC08" w:rsidR="003339F1" w:rsidRPr="00181A4C" w:rsidRDefault="00181A4C" w:rsidP="00181A4C">
      <w:pPr>
        <w:pStyle w:val="AppESBodyText"/>
        <w:numPr>
          <w:ilvl w:val="0"/>
          <w:numId w:val="15"/>
        </w:numPr>
        <w:rPr>
          <w:lang w:eastAsia="en-AU"/>
        </w:rPr>
      </w:pPr>
      <w:r>
        <w:rPr>
          <w:lang w:eastAsia="en-AU"/>
        </w:rPr>
        <w:t>F</w:t>
      </w:r>
      <w:r w:rsidR="003339F1" w:rsidRPr="00C868A1">
        <w:rPr>
          <w:lang w:eastAsia="en-AU"/>
        </w:rPr>
        <w:t>ire cabling from FIP.</w:t>
      </w:r>
    </w:p>
    <w:p w14:paraId="571D534E" w14:textId="77777777" w:rsidR="003339F1" w:rsidRPr="003339F1" w:rsidRDefault="003339F1" w:rsidP="003339F1">
      <w:pPr>
        <w:spacing w:after="200" w:line="276" w:lineRule="auto"/>
        <w:rPr>
          <w:rFonts w:asciiTheme="minorHAnsi" w:hAnsiTheme="minorHAnsi" w:cstheme="minorHAnsi"/>
          <w:lang w:eastAsia="en-AU"/>
        </w:rPr>
      </w:pPr>
    </w:p>
    <w:p w14:paraId="1B11ADCE" w14:textId="77777777" w:rsidR="003339F1" w:rsidRPr="003339F1" w:rsidRDefault="003339F1" w:rsidP="003339F1">
      <w:pPr>
        <w:spacing w:after="200" w:line="276" w:lineRule="auto"/>
        <w:rPr>
          <w:rFonts w:asciiTheme="minorHAnsi" w:hAnsiTheme="minorHAnsi" w:cstheme="minorHAnsi"/>
          <w:lang w:eastAsia="en-AU"/>
        </w:rPr>
      </w:pPr>
    </w:p>
    <w:p w14:paraId="104582D8" w14:textId="77777777" w:rsidR="003339F1" w:rsidRPr="003339F1" w:rsidRDefault="003339F1" w:rsidP="003339F1">
      <w:pPr>
        <w:spacing w:after="200" w:line="276" w:lineRule="auto"/>
        <w:rPr>
          <w:rFonts w:asciiTheme="minorHAnsi" w:hAnsiTheme="minorHAnsi" w:cstheme="minorHAnsi"/>
          <w:lang w:eastAsia="en-AU"/>
        </w:rPr>
      </w:pPr>
    </w:p>
    <w:p w14:paraId="55B94520" w14:textId="77777777" w:rsidR="003339F1" w:rsidRPr="003339F1" w:rsidRDefault="003339F1" w:rsidP="003339F1">
      <w:pPr>
        <w:spacing w:after="200" w:line="276" w:lineRule="auto"/>
        <w:rPr>
          <w:rFonts w:asciiTheme="minorHAnsi" w:hAnsiTheme="minorHAnsi" w:cstheme="minorHAnsi"/>
          <w:lang w:eastAsia="en-AU"/>
        </w:rPr>
      </w:pPr>
    </w:p>
    <w:p w14:paraId="3F9DC05B" w14:textId="77777777" w:rsidR="003339F1" w:rsidRPr="003339F1" w:rsidRDefault="003339F1" w:rsidP="003339F1">
      <w:pPr>
        <w:spacing w:after="200" w:line="276" w:lineRule="auto"/>
        <w:rPr>
          <w:rFonts w:asciiTheme="minorHAnsi" w:hAnsiTheme="minorHAnsi" w:cstheme="minorHAnsi"/>
          <w:lang w:eastAsia="en-AU"/>
        </w:rPr>
      </w:pPr>
    </w:p>
    <w:p w14:paraId="1DF1260D" w14:textId="21E933D5" w:rsidR="00FB60AE" w:rsidRDefault="003339F1" w:rsidP="003339F1">
      <w:pPr>
        <w:spacing w:after="200" w:line="276" w:lineRule="auto"/>
        <w:rPr>
          <w:rFonts w:asciiTheme="minorHAnsi" w:hAnsiTheme="minorHAnsi" w:cstheme="minorHAnsi"/>
          <w:lang w:eastAsia="en-AU"/>
        </w:rPr>
      </w:pPr>
      <w:r w:rsidRPr="003339F1">
        <w:rPr>
          <w:rFonts w:asciiTheme="minorHAnsi" w:hAnsiTheme="minorHAnsi" w:cstheme="minorHAnsi"/>
          <w:lang w:eastAsia="en-AU"/>
        </w:rPr>
        <w:t xml:space="preserve"> </w:t>
      </w:r>
      <w:r w:rsidR="00FB60AE">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77777777" w:rsidR="002507A5" w:rsidRPr="00EB3956" w:rsidRDefault="002507A5" w:rsidP="00D021A8">
      <w:pPr>
        <w:pStyle w:val="AppESBodyText"/>
        <w:numPr>
          <w:ilvl w:val="0"/>
          <w:numId w:val="16"/>
        </w:numPr>
        <w:rPr>
          <w:lang w:eastAsia="en-AU"/>
        </w:rPr>
      </w:pPr>
      <w:r w:rsidRPr="00EB3956">
        <w:rPr>
          <w:lang w:eastAsia="en-AU"/>
        </w:rPr>
        <w:t xml:space="preserve">The price and tender </w:t>
      </w:r>
      <w:proofErr w:type="gramStart"/>
      <w:r w:rsidRPr="00EB3956">
        <w:rPr>
          <w:lang w:eastAsia="en-AU"/>
        </w:rPr>
        <w:t>is</w:t>
      </w:r>
      <w:proofErr w:type="gramEnd"/>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particulars of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particulars are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Integrated Group of Companies</w:t>
      </w:r>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(whether or not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Goods, any one or more of the following:</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replace the Goods or  acquire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possession, custody or control is at the Customer’s risk as regards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62EC92D6" w:rsidR="00FB60AE" w:rsidRDefault="00FB60AE" w:rsidP="002507A5">
      <w:pPr>
        <w:pStyle w:val="Heading1"/>
      </w:pPr>
    </w:p>
    <w:p w14:paraId="28CA1341" w14:textId="6B517396" w:rsidR="00D84327" w:rsidRDefault="00D84327" w:rsidP="00D84327">
      <w:pPr>
        <w:pStyle w:val="BodyText"/>
        <w:rPr>
          <w:lang w:eastAsia="en-US"/>
        </w:rPr>
      </w:pPr>
    </w:p>
    <w:p w14:paraId="2ECC2C91" w14:textId="69D67FE1" w:rsidR="00D84327" w:rsidRDefault="00D84327" w:rsidP="00D84327">
      <w:pPr>
        <w:pStyle w:val="BodyText"/>
        <w:rPr>
          <w:lang w:eastAsia="en-US"/>
        </w:rPr>
      </w:pPr>
    </w:p>
    <w:p w14:paraId="64F4C655" w14:textId="0EC621C9" w:rsidR="00D84327" w:rsidRPr="00D84327" w:rsidRDefault="00D84327" w:rsidP="00D84327">
      <w:pPr>
        <w:pStyle w:val="BodyText"/>
        <w:rPr>
          <w:lang w:eastAsia="en-US"/>
        </w:rPr>
      </w:pPr>
      <w:r>
        <w:rPr>
          <w:lang w:eastAsia="en-US"/>
        </w:rPr>
        <w:t xml:space="preserve">Document Revision: </w:t>
      </w:r>
      <w:sdt>
        <w:sdtPr>
          <w:rPr>
            <w:lang w:eastAsia="en-US"/>
          </w:rPr>
          <w:alias w:val="Status"/>
          <w:tag w:val=""/>
          <w:id w:val="-1964874958"/>
          <w:placeholder>
            <w:docPart w:val="7E665C5F01B34F11BA4C6219541535E1"/>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eastAsia="en-US"/>
            </w:rPr>
            <w:t>Rev 2.0</w:t>
          </w:r>
        </w:sdtContent>
      </w:sdt>
    </w:p>
    <w:sectPr w:rsidR="00D84327" w:rsidRPr="00D84327"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F23F4" w14:textId="77777777" w:rsidR="008741C5" w:rsidRDefault="008741C5" w:rsidP="00A71D53">
      <w:r>
        <w:separator/>
      </w:r>
    </w:p>
  </w:endnote>
  <w:endnote w:type="continuationSeparator" w:id="0">
    <w:p w14:paraId="7082287E" w14:textId="77777777" w:rsidR="008741C5" w:rsidRDefault="008741C5"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CE0B5" w14:textId="77777777" w:rsidR="008741C5" w:rsidRDefault="008741C5" w:rsidP="00A71D53">
      <w:r>
        <w:separator/>
      </w:r>
    </w:p>
  </w:footnote>
  <w:footnote w:type="continuationSeparator" w:id="0">
    <w:p w14:paraId="7ED671B2" w14:textId="77777777" w:rsidR="008741C5" w:rsidRDefault="008741C5"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2"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93303"/>
    <w:multiLevelType w:val="hybridMultilevel"/>
    <w:tmpl w:val="5C8E3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8"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9"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1"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2"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3"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4"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2"/>
  </w:num>
  <w:num w:numId="2">
    <w:abstractNumId w:val="11"/>
  </w:num>
  <w:num w:numId="3">
    <w:abstractNumId w:val="1"/>
  </w:num>
  <w:num w:numId="4">
    <w:abstractNumId w:val="10"/>
  </w:num>
  <w:num w:numId="5">
    <w:abstractNumId w:val="8"/>
  </w:num>
  <w:num w:numId="6">
    <w:abstractNumId w:val="7"/>
  </w:num>
  <w:num w:numId="7">
    <w:abstractNumId w:val="12"/>
  </w:num>
  <w:num w:numId="8">
    <w:abstractNumId w:val="11"/>
  </w:num>
  <w:num w:numId="9">
    <w:abstractNumId w:val="1"/>
  </w:num>
  <w:num w:numId="10">
    <w:abstractNumId w:val="10"/>
  </w:num>
  <w:num w:numId="11">
    <w:abstractNumId w:val="8"/>
  </w:num>
  <w:num w:numId="12">
    <w:abstractNumId w:val="7"/>
  </w:num>
  <w:num w:numId="13">
    <w:abstractNumId w:val="5"/>
  </w:num>
  <w:num w:numId="14">
    <w:abstractNumId w:val="0"/>
  </w:num>
  <w:num w:numId="15">
    <w:abstractNumId w:val="3"/>
  </w:num>
  <w:num w:numId="16">
    <w:abstractNumId w:val="9"/>
  </w:num>
  <w:num w:numId="17">
    <w:abstractNumId w:val="13"/>
  </w:num>
  <w:num w:numId="18">
    <w:abstractNumId w:val="14"/>
  </w:num>
  <w:num w:numId="19">
    <w:abstractNumId w:val="2"/>
  </w:num>
  <w:num w:numId="20">
    <w:abstractNumId w:val="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6"/>
  </w:num>
  <w:num w:numId="29">
    <w:abstractNumId w:val="5"/>
  </w:num>
  <w:num w:numId="30">
    <w:abstractNumId w:val="5"/>
  </w:num>
  <w:num w:numId="31">
    <w:abstractNumId w:val="5"/>
  </w:num>
  <w:num w:numId="3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0E6A"/>
    <w:rsid w:val="00012789"/>
    <w:rsid w:val="00013113"/>
    <w:rsid w:val="00054B19"/>
    <w:rsid w:val="00056EEF"/>
    <w:rsid w:val="00072252"/>
    <w:rsid w:val="000740C1"/>
    <w:rsid w:val="00082500"/>
    <w:rsid w:val="000A1EC4"/>
    <w:rsid w:val="000B0EAD"/>
    <w:rsid w:val="000F7135"/>
    <w:rsid w:val="001052A8"/>
    <w:rsid w:val="00112F3E"/>
    <w:rsid w:val="0011311F"/>
    <w:rsid w:val="001159D2"/>
    <w:rsid w:val="00136362"/>
    <w:rsid w:val="001431EB"/>
    <w:rsid w:val="00150EAC"/>
    <w:rsid w:val="00171CDB"/>
    <w:rsid w:val="00181A4C"/>
    <w:rsid w:val="0018663C"/>
    <w:rsid w:val="001C4C7A"/>
    <w:rsid w:val="001C7BB5"/>
    <w:rsid w:val="001E660A"/>
    <w:rsid w:val="00206D3A"/>
    <w:rsid w:val="00221352"/>
    <w:rsid w:val="00224EB8"/>
    <w:rsid w:val="0022790E"/>
    <w:rsid w:val="00233BBB"/>
    <w:rsid w:val="002403EB"/>
    <w:rsid w:val="00245212"/>
    <w:rsid w:val="002507A5"/>
    <w:rsid w:val="00250C6D"/>
    <w:rsid w:val="0025215D"/>
    <w:rsid w:val="00287D09"/>
    <w:rsid w:val="002A676B"/>
    <w:rsid w:val="002B3B40"/>
    <w:rsid w:val="002C0F1F"/>
    <w:rsid w:val="002C77C8"/>
    <w:rsid w:val="002E7FE6"/>
    <w:rsid w:val="00305570"/>
    <w:rsid w:val="003235FD"/>
    <w:rsid w:val="003339F1"/>
    <w:rsid w:val="003571A0"/>
    <w:rsid w:val="003740C5"/>
    <w:rsid w:val="00384D00"/>
    <w:rsid w:val="00390277"/>
    <w:rsid w:val="0039179F"/>
    <w:rsid w:val="00394326"/>
    <w:rsid w:val="003B7B23"/>
    <w:rsid w:val="003C0CFC"/>
    <w:rsid w:val="003D377F"/>
    <w:rsid w:val="003F1437"/>
    <w:rsid w:val="004163AF"/>
    <w:rsid w:val="004321AD"/>
    <w:rsid w:val="00433083"/>
    <w:rsid w:val="00442E84"/>
    <w:rsid w:val="00463AA7"/>
    <w:rsid w:val="00466767"/>
    <w:rsid w:val="00490BFE"/>
    <w:rsid w:val="004954A2"/>
    <w:rsid w:val="004A3427"/>
    <w:rsid w:val="004C1DD0"/>
    <w:rsid w:val="004C58EC"/>
    <w:rsid w:val="004D03E1"/>
    <w:rsid w:val="004D0D71"/>
    <w:rsid w:val="004D159F"/>
    <w:rsid w:val="004E5C9F"/>
    <w:rsid w:val="00551F67"/>
    <w:rsid w:val="0055286C"/>
    <w:rsid w:val="00562E86"/>
    <w:rsid w:val="00576AF4"/>
    <w:rsid w:val="005B02F3"/>
    <w:rsid w:val="005C5DF1"/>
    <w:rsid w:val="005C6B6A"/>
    <w:rsid w:val="005C74E9"/>
    <w:rsid w:val="005E36F6"/>
    <w:rsid w:val="005E7E0C"/>
    <w:rsid w:val="005F79FC"/>
    <w:rsid w:val="00621F2D"/>
    <w:rsid w:val="00650898"/>
    <w:rsid w:val="00673038"/>
    <w:rsid w:val="00681C30"/>
    <w:rsid w:val="00695122"/>
    <w:rsid w:val="006A34F3"/>
    <w:rsid w:val="006A687C"/>
    <w:rsid w:val="006A72C4"/>
    <w:rsid w:val="006B253B"/>
    <w:rsid w:val="006C3111"/>
    <w:rsid w:val="006C53F2"/>
    <w:rsid w:val="006D40F7"/>
    <w:rsid w:val="006D5C0E"/>
    <w:rsid w:val="006E57F6"/>
    <w:rsid w:val="006E67C8"/>
    <w:rsid w:val="00723E60"/>
    <w:rsid w:val="0072448F"/>
    <w:rsid w:val="00730F0C"/>
    <w:rsid w:val="00733C28"/>
    <w:rsid w:val="00755695"/>
    <w:rsid w:val="00764711"/>
    <w:rsid w:val="00765221"/>
    <w:rsid w:val="00794550"/>
    <w:rsid w:val="007A1555"/>
    <w:rsid w:val="007B4460"/>
    <w:rsid w:val="007B745F"/>
    <w:rsid w:val="007D169A"/>
    <w:rsid w:val="007D32B0"/>
    <w:rsid w:val="007D40C8"/>
    <w:rsid w:val="007D6F80"/>
    <w:rsid w:val="007E0399"/>
    <w:rsid w:val="007F0882"/>
    <w:rsid w:val="0083107F"/>
    <w:rsid w:val="0084479A"/>
    <w:rsid w:val="00847E6B"/>
    <w:rsid w:val="00857492"/>
    <w:rsid w:val="008741C5"/>
    <w:rsid w:val="008B06FA"/>
    <w:rsid w:val="008D2759"/>
    <w:rsid w:val="008D6D6A"/>
    <w:rsid w:val="008E05F7"/>
    <w:rsid w:val="008E7DB8"/>
    <w:rsid w:val="008F466C"/>
    <w:rsid w:val="008F6176"/>
    <w:rsid w:val="00902874"/>
    <w:rsid w:val="00914ED7"/>
    <w:rsid w:val="009241B7"/>
    <w:rsid w:val="009337A6"/>
    <w:rsid w:val="00936AC8"/>
    <w:rsid w:val="0095207D"/>
    <w:rsid w:val="00962402"/>
    <w:rsid w:val="00980CD7"/>
    <w:rsid w:val="00980DDE"/>
    <w:rsid w:val="009816EB"/>
    <w:rsid w:val="009C4A9D"/>
    <w:rsid w:val="009C6452"/>
    <w:rsid w:val="009D5C5B"/>
    <w:rsid w:val="009E1239"/>
    <w:rsid w:val="009F2B04"/>
    <w:rsid w:val="009F6279"/>
    <w:rsid w:val="00A03D6D"/>
    <w:rsid w:val="00A06DBF"/>
    <w:rsid w:val="00A1109A"/>
    <w:rsid w:val="00A2589C"/>
    <w:rsid w:val="00A25D33"/>
    <w:rsid w:val="00A279DD"/>
    <w:rsid w:val="00A31590"/>
    <w:rsid w:val="00A32CAA"/>
    <w:rsid w:val="00A33889"/>
    <w:rsid w:val="00A4000C"/>
    <w:rsid w:val="00A40A55"/>
    <w:rsid w:val="00A465D5"/>
    <w:rsid w:val="00A67771"/>
    <w:rsid w:val="00A71518"/>
    <w:rsid w:val="00A71D53"/>
    <w:rsid w:val="00A7294F"/>
    <w:rsid w:val="00A75FE8"/>
    <w:rsid w:val="00A7737B"/>
    <w:rsid w:val="00A922EA"/>
    <w:rsid w:val="00AC56D6"/>
    <w:rsid w:val="00AD5667"/>
    <w:rsid w:val="00AF40AE"/>
    <w:rsid w:val="00AF48F7"/>
    <w:rsid w:val="00B13C3F"/>
    <w:rsid w:val="00B14998"/>
    <w:rsid w:val="00B155B6"/>
    <w:rsid w:val="00B62B6A"/>
    <w:rsid w:val="00B65F10"/>
    <w:rsid w:val="00B71805"/>
    <w:rsid w:val="00B97913"/>
    <w:rsid w:val="00BA3DC6"/>
    <w:rsid w:val="00BA6A36"/>
    <w:rsid w:val="00BB7F61"/>
    <w:rsid w:val="00BC1F93"/>
    <w:rsid w:val="00BE3CD5"/>
    <w:rsid w:val="00BF3321"/>
    <w:rsid w:val="00BF3B78"/>
    <w:rsid w:val="00BF7E1C"/>
    <w:rsid w:val="00C010CE"/>
    <w:rsid w:val="00C03300"/>
    <w:rsid w:val="00C1193C"/>
    <w:rsid w:val="00C15BB0"/>
    <w:rsid w:val="00C223A2"/>
    <w:rsid w:val="00C2572F"/>
    <w:rsid w:val="00C46229"/>
    <w:rsid w:val="00C529CC"/>
    <w:rsid w:val="00C5467F"/>
    <w:rsid w:val="00C62337"/>
    <w:rsid w:val="00C828FC"/>
    <w:rsid w:val="00C868A1"/>
    <w:rsid w:val="00CA5484"/>
    <w:rsid w:val="00CB2D9D"/>
    <w:rsid w:val="00CC1E8D"/>
    <w:rsid w:val="00CC7C6E"/>
    <w:rsid w:val="00CD645D"/>
    <w:rsid w:val="00CF2328"/>
    <w:rsid w:val="00CF276F"/>
    <w:rsid w:val="00D021A8"/>
    <w:rsid w:val="00D0288A"/>
    <w:rsid w:val="00D170C4"/>
    <w:rsid w:val="00D22FD4"/>
    <w:rsid w:val="00D32176"/>
    <w:rsid w:val="00D52E87"/>
    <w:rsid w:val="00D5324C"/>
    <w:rsid w:val="00D7741E"/>
    <w:rsid w:val="00D84327"/>
    <w:rsid w:val="00D928BC"/>
    <w:rsid w:val="00DA023C"/>
    <w:rsid w:val="00DA51CB"/>
    <w:rsid w:val="00DA6FB2"/>
    <w:rsid w:val="00DB200F"/>
    <w:rsid w:val="00DB44F1"/>
    <w:rsid w:val="00DC67C5"/>
    <w:rsid w:val="00DD45F0"/>
    <w:rsid w:val="00DF131A"/>
    <w:rsid w:val="00E355AD"/>
    <w:rsid w:val="00E458B6"/>
    <w:rsid w:val="00E70DC1"/>
    <w:rsid w:val="00E7417C"/>
    <w:rsid w:val="00E77477"/>
    <w:rsid w:val="00E808DA"/>
    <w:rsid w:val="00E9626F"/>
    <w:rsid w:val="00EA1869"/>
    <w:rsid w:val="00EB0B6E"/>
    <w:rsid w:val="00EC5061"/>
    <w:rsid w:val="00EE0F22"/>
    <w:rsid w:val="00EE36DE"/>
    <w:rsid w:val="00F07427"/>
    <w:rsid w:val="00F10640"/>
    <w:rsid w:val="00F21FF3"/>
    <w:rsid w:val="00F354D4"/>
    <w:rsid w:val="00F65370"/>
    <w:rsid w:val="00F75806"/>
    <w:rsid w:val="00F82058"/>
    <w:rsid w:val="00F901C2"/>
    <w:rsid w:val="00FA635B"/>
    <w:rsid w:val="00FB09B6"/>
    <w:rsid w:val="00FB18FA"/>
    <w:rsid w:val="00FB60AE"/>
    <w:rsid w:val="00FB6355"/>
    <w:rsid w:val="00FC6AA9"/>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70">
      <w:bodyDiv w:val="1"/>
      <w:marLeft w:val="0"/>
      <w:marRight w:val="0"/>
      <w:marTop w:val="0"/>
      <w:marBottom w:val="0"/>
      <w:divBdr>
        <w:top w:val="none" w:sz="0" w:space="0" w:color="auto"/>
        <w:left w:val="none" w:sz="0" w:space="0" w:color="auto"/>
        <w:bottom w:val="none" w:sz="0" w:space="0" w:color="auto"/>
        <w:right w:val="none" w:sz="0" w:space="0" w:color="auto"/>
      </w:divBdr>
    </w:div>
    <w:div w:id="52192756">
      <w:bodyDiv w:val="1"/>
      <w:marLeft w:val="0"/>
      <w:marRight w:val="0"/>
      <w:marTop w:val="0"/>
      <w:marBottom w:val="0"/>
      <w:divBdr>
        <w:top w:val="none" w:sz="0" w:space="0" w:color="auto"/>
        <w:left w:val="none" w:sz="0" w:space="0" w:color="auto"/>
        <w:bottom w:val="none" w:sz="0" w:space="0" w:color="auto"/>
        <w:right w:val="none" w:sz="0" w:space="0" w:color="auto"/>
      </w:divBdr>
    </w:div>
    <w:div w:id="104279014">
      <w:bodyDiv w:val="1"/>
      <w:marLeft w:val="0"/>
      <w:marRight w:val="0"/>
      <w:marTop w:val="0"/>
      <w:marBottom w:val="0"/>
      <w:divBdr>
        <w:top w:val="none" w:sz="0" w:space="0" w:color="auto"/>
        <w:left w:val="none" w:sz="0" w:space="0" w:color="auto"/>
        <w:bottom w:val="none" w:sz="0" w:space="0" w:color="auto"/>
        <w:right w:val="none" w:sz="0" w:space="0" w:color="auto"/>
      </w:divBdr>
    </w:div>
    <w:div w:id="195318869">
      <w:bodyDiv w:val="1"/>
      <w:marLeft w:val="0"/>
      <w:marRight w:val="0"/>
      <w:marTop w:val="0"/>
      <w:marBottom w:val="0"/>
      <w:divBdr>
        <w:top w:val="none" w:sz="0" w:space="0" w:color="auto"/>
        <w:left w:val="none" w:sz="0" w:space="0" w:color="auto"/>
        <w:bottom w:val="none" w:sz="0" w:space="0" w:color="auto"/>
        <w:right w:val="none" w:sz="0" w:space="0" w:color="auto"/>
      </w:divBdr>
    </w:div>
    <w:div w:id="23042611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30069458">
      <w:bodyDiv w:val="1"/>
      <w:marLeft w:val="0"/>
      <w:marRight w:val="0"/>
      <w:marTop w:val="0"/>
      <w:marBottom w:val="0"/>
      <w:divBdr>
        <w:top w:val="none" w:sz="0" w:space="0" w:color="auto"/>
        <w:left w:val="none" w:sz="0" w:space="0" w:color="auto"/>
        <w:bottom w:val="none" w:sz="0" w:space="0" w:color="auto"/>
        <w:right w:val="none" w:sz="0" w:space="0" w:color="auto"/>
      </w:divBdr>
    </w:div>
    <w:div w:id="592519992">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873810950">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043359467">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 w:id="1256281657">
      <w:bodyDiv w:val="1"/>
      <w:marLeft w:val="0"/>
      <w:marRight w:val="0"/>
      <w:marTop w:val="0"/>
      <w:marBottom w:val="0"/>
      <w:divBdr>
        <w:top w:val="none" w:sz="0" w:space="0" w:color="auto"/>
        <w:left w:val="none" w:sz="0" w:space="0" w:color="auto"/>
        <w:bottom w:val="none" w:sz="0" w:space="0" w:color="auto"/>
        <w:right w:val="none" w:sz="0" w:space="0" w:color="auto"/>
      </w:divBdr>
    </w:div>
    <w:div w:id="166246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A2ABCD5E21B6469C8CD2AC7B3B4E713E"/>
        <w:category>
          <w:name w:val="General"/>
          <w:gallery w:val="placeholder"/>
        </w:category>
        <w:types>
          <w:type w:val="bbPlcHdr"/>
        </w:types>
        <w:behaviors>
          <w:behavior w:val="content"/>
        </w:behaviors>
        <w:guid w:val="{5B3DE14A-5D09-49A3-BB50-9AEE303B316B}"/>
      </w:docPartPr>
      <w:docPartBody>
        <w:p w:rsidR="00600D7F" w:rsidRDefault="00F46E4C">
          <w:r w:rsidRPr="00C931FB">
            <w:rPr>
              <w:rStyle w:val="PlaceholderText"/>
            </w:rPr>
            <w:t>[Category]</w:t>
          </w:r>
        </w:p>
      </w:docPartBody>
    </w:docPart>
    <w:docPart>
      <w:docPartPr>
        <w:name w:val="7E665C5F01B34F11BA4C6219541535E1"/>
        <w:category>
          <w:name w:val="General"/>
          <w:gallery w:val="placeholder"/>
        </w:category>
        <w:types>
          <w:type w:val="bbPlcHdr"/>
        </w:types>
        <w:behaviors>
          <w:behavior w:val="content"/>
        </w:behaviors>
        <w:guid w:val="{AF9A57F1-771A-4457-A034-F36F2071CACC}"/>
      </w:docPartPr>
      <w:docPartBody>
        <w:p w:rsidR="00A57D27" w:rsidRDefault="002E7083">
          <w:r w:rsidRPr="00437DC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B19C8"/>
    <w:rsid w:val="000B3282"/>
    <w:rsid w:val="00141436"/>
    <w:rsid w:val="001611A1"/>
    <w:rsid w:val="0016488D"/>
    <w:rsid w:val="001A3E27"/>
    <w:rsid w:val="002E7083"/>
    <w:rsid w:val="003E4BB5"/>
    <w:rsid w:val="004F79AA"/>
    <w:rsid w:val="0057654F"/>
    <w:rsid w:val="00600D7F"/>
    <w:rsid w:val="007530DB"/>
    <w:rsid w:val="0078764D"/>
    <w:rsid w:val="00845DDE"/>
    <w:rsid w:val="00897676"/>
    <w:rsid w:val="009241A5"/>
    <w:rsid w:val="00942065"/>
    <w:rsid w:val="009A27BC"/>
    <w:rsid w:val="00A57D27"/>
    <w:rsid w:val="00B20A68"/>
    <w:rsid w:val="00B76F25"/>
    <w:rsid w:val="00B84C29"/>
    <w:rsid w:val="00D455C6"/>
    <w:rsid w:val="00DA117A"/>
    <w:rsid w:val="00DC0395"/>
    <w:rsid w:val="00E82B03"/>
    <w:rsid w:val="00ED0280"/>
    <w:rsid w:val="00ED2CB6"/>
    <w:rsid w:val="00EF7BCF"/>
    <w:rsid w:val="00F46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083"/>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81BDB3-8984-411D-BB40-4F9896EB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Template>
  <TotalTime>1846</TotalTime>
  <Pages>10</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[JOB NAME]</vt:lpstr>
    </vt:vector>
  </TitlesOfParts>
  <Company>Integrated Controls &amp; Automation</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NAME]</dc:title>
  <dc:subject>[JOB NUMBER]</dc:subject>
  <dc:creator>Samuel Williams</dc:creator>
  <dc:description>[PRICE]</dc:description>
  <cp:lastModifiedBy>Mr Samuel Williams</cp:lastModifiedBy>
  <cp:revision>10</cp:revision>
  <cp:lastPrinted>2018-03-23T00:23:00Z</cp:lastPrinted>
  <dcterms:created xsi:type="dcterms:W3CDTF">2018-07-18T04:28:00Z</dcterms:created>
  <dcterms:modified xsi:type="dcterms:W3CDTF">2018-08-21T01:44:00Z</dcterms:modified>
  <cp:category>[LOCATION]</cp:category>
  <cp:contentStatus>Rev 2.0</cp:contentStatus>
</cp:coreProperties>
</file>