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17" w:rsidRDefault="00340617"/>
    <w:p w:rsidR="00A0109E" w:rsidRPr="00A0109E" w:rsidRDefault="00A0109E" w:rsidP="00A0109E">
      <w:pPr>
        <w:jc w:val="center"/>
        <w:rPr>
          <w:b/>
          <w:bCs/>
          <w:sz w:val="36"/>
          <w:szCs w:val="36"/>
          <w:u w:val="single"/>
        </w:rPr>
      </w:pPr>
      <w:r w:rsidRPr="00A0109E">
        <w:rPr>
          <w:b/>
          <w:bCs/>
          <w:sz w:val="36"/>
          <w:szCs w:val="36"/>
          <w:u w:val="single"/>
        </w:rPr>
        <w:t>CUSTOS DE TRANSPORTE</w:t>
      </w:r>
    </w:p>
    <w:p w:rsidR="00A0109E" w:rsidRDefault="00A0109E"/>
    <w:p w:rsidR="003E2839" w:rsidRDefault="00A0109E" w:rsidP="00A0109E">
      <w:pPr>
        <w:pBdr>
          <w:top w:val="nil"/>
          <w:left w:val="nil"/>
          <w:bottom w:val="nil"/>
          <w:right w:val="nil"/>
          <w:between w:val="nil"/>
        </w:pBdr>
        <w:spacing w:after="120" w:line="360" w:lineRule="auto"/>
        <w:ind w:left="720" w:firstLine="720"/>
        <w:jc w:val="both"/>
        <w:rPr>
          <w:rFonts w:ascii="Arial" w:eastAsia="Arial" w:hAnsi="Arial" w:cs="Arial"/>
        </w:rPr>
      </w:pPr>
      <w:r>
        <w:rPr>
          <w:rFonts w:ascii="Arial" w:eastAsia="Arial" w:hAnsi="Arial" w:cs="Arial"/>
        </w:rPr>
        <w:t xml:space="preserve">No que diz respeito à base de custos </w:t>
      </w:r>
      <w:r w:rsidR="00FD3B6D">
        <w:rPr>
          <w:rFonts w:ascii="Arial" w:eastAsia="Arial" w:hAnsi="Arial" w:cs="Arial"/>
        </w:rPr>
        <w:t>DE TRANSPORTE</w:t>
      </w:r>
      <w:r>
        <w:rPr>
          <w:rFonts w:ascii="Arial" w:eastAsia="Arial" w:hAnsi="Arial" w:cs="Arial"/>
        </w:rPr>
        <w:t xml:space="preserve"> necessários para alimentar o modelo, utilizou-se a metodologia de cálculo de fretes, proposta </w:t>
      </w:r>
      <w:r w:rsidR="00E47301">
        <w:rPr>
          <w:rFonts w:ascii="Arial" w:eastAsia="Arial" w:hAnsi="Arial" w:cs="Arial"/>
        </w:rPr>
        <w:t xml:space="preserve">por </w:t>
      </w:r>
      <w:r w:rsidR="00FD3B6D">
        <w:rPr>
          <w:rFonts w:ascii="Arial" w:eastAsia="Arial" w:hAnsi="Arial" w:cs="Arial"/>
        </w:rPr>
        <w:t xml:space="preserve">Vallim Filho e </w:t>
      </w:r>
      <w:proofErr w:type="spellStart"/>
      <w:r w:rsidR="00FD3B6D">
        <w:rPr>
          <w:rFonts w:ascii="Arial" w:eastAsia="Arial" w:hAnsi="Arial" w:cs="Arial"/>
        </w:rPr>
        <w:t>Kurihara</w:t>
      </w:r>
      <w:proofErr w:type="spellEnd"/>
      <w:r w:rsidR="00FD3B6D">
        <w:rPr>
          <w:rFonts w:ascii="Arial" w:eastAsia="Arial" w:hAnsi="Arial" w:cs="Arial"/>
        </w:rPr>
        <w:t xml:space="preserve"> (2001) e </w:t>
      </w:r>
      <w:r>
        <w:rPr>
          <w:rFonts w:ascii="Arial" w:eastAsia="Arial" w:hAnsi="Arial" w:cs="Arial"/>
        </w:rPr>
        <w:t xml:space="preserve">pela Agência Nacional de Transportes Terrestres (ANTT), na resolução número 5.820, que instituiu a Política de Preços Mínimos do Transporte Rodoviário de Cargas, e que foi emitida em decorrência da recente greve dos caminhoneiros ocorrida no país, no mês de maio de 2018. </w:t>
      </w:r>
    </w:p>
    <w:p w:rsidR="00A0109E" w:rsidRDefault="00A0109E" w:rsidP="00A0109E">
      <w:pPr>
        <w:pBdr>
          <w:top w:val="nil"/>
          <w:left w:val="nil"/>
          <w:bottom w:val="nil"/>
          <w:right w:val="nil"/>
          <w:between w:val="nil"/>
        </w:pBdr>
        <w:spacing w:after="120" w:line="360" w:lineRule="auto"/>
        <w:ind w:left="720" w:firstLine="720"/>
        <w:jc w:val="both"/>
        <w:rPr>
          <w:rFonts w:ascii="Arial" w:eastAsia="Arial" w:hAnsi="Arial" w:cs="Arial"/>
        </w:rPr>
      </w:pPr>
      <w:r>
        <w:rPr>
          <w:rFonts w:ascii="Arial" w:eastAsia="Arial" w:hAnsi="Arial" w:cs="Arial"/>
        </w:rPr>
        <w:t xml:space="preserve">A seguir, é possível visualizar os procedimentos de cálculo de custos fixos (tabela 1a) e custos variáveis (tabela 1b) de um veículo. Estes custos definiram os parâmetros a serem utilizados no experimento. Os cálculos foram baseados na metodologia </w:t>
      </w:r>
      <w:r w:rsidR="007055B2">
        <w:rPr>
          <w:rFonts w:ascii="Arial" w:eastAsia="Arial" w:hAnsi="Arial" w:cs="Arial"/>
        </w:rPr>
        <w:t xml:space="preserve">da </w:t>
      </w:r>
      <w:r>
        <w:rPr>
          <w:rFonts w:ascii="Arial" w:eastAsia="Arial" w:hAnsi="Arial" w:cs="Arial"/>
        </w:rPr>
        <w:t xml:space="preserve"> ANTT (2018).</w:t>
      </w:r>
    </w:p>
    <w:p w:rsidR="00A0109E" w:rsidRDefault="00A0109E" w:rsidP="00A0109E">
      <w:pPr>
        <w:pBdr>
          <w:top w:val="nil"/>
          <w:left w:val="nil"/>
          <w:bottom w:val="nil"/>
          <w:right w:val="nil"/>
          <w:between w:val="nil"/>
        </w:pBdr>
        <w:spacing w:after="120" w:line="360" w:lineRule="auto"/>
        <w:ind w:left="720" w:firstLine="720"/>
        <w:jc w:val="both"/>
        <w:rPr>
          <w:rFonts w:ascii="Arial" w:eastAsia="Arial" w:hAnsi="Arial" w:cs="Arial"/>
        </w:rPr>
      </w:pPr>
      <w:r>
        <w:rPr>
          <w:rFonts w:ascii="Arial" w:eastAsia="Arial" w:hAnsi="Arial" w:cs="Arial"/>
        </w:rPr>
        <w:t>Para cômputo desses custos foi considerado um veículo médio (capacidade de 12t) cujas características e custos de insumos foram obtidos em fornecedores e portais do mercado de transportes de carga.</w:t>
      </w:r>
    </w:p>
    <w:p w:rsidR="00A0109E" w:rsidRDefault="00A0109E" w:rsidP="00A0109E">
      <w:pPr>
        <w:pBdr>
          <w:top w:val="nil"/>
          <w:left w:val="nil"/>
          <w:bottom w:val="nil"/>
          <w:right w:val="nil"/>
          <w:between w:val="nil"/>
        </w:pBdr>
        <w:spacing w:after="120" w:line="360" w:lineRule="auto"/>
        <w:ind w:left="720" w:firstLine="720"/>
        <w:jc w:val="both"/>
        <w:rPr>
          <w:rFonts w:ascii="Arial" w:eastAsia="Arial" w:hAnsi="Arial" w:cs="Arial"/>
        </w:rPr>
      </w:pPr>
      <w:bookmarkStart w:id="0" w:name="_30j0zll" w:colFirst="0" w:colLast="0"/>
      <w:bookmarkEnd w:id="0"/>
      <w:r>
        <w:rPr>
          <w:rFonts w:ascii="Arial" w:eastAsia="Arial" w:hAnsi="Arial" w:cs="Arial"/>
        </w:rPr>
        <w:t>Na sequência (tabela 1c) pode ser visto um resumo dos resultados de custos das tabelas 1a e 1b, e também o cômputo de um custo total por km rodado que foi um parâmetro de entrada do algoritmo utilizado no experimento.</w:t>
      </w:r>
    </w:p>
    <w:p w:rsidR="00E47301" w:rsidRDefault="00E47301">
      <w:pPr>
        <w:spacing w:after="0" w:line="240" w:lineRule="auto"/>
        <w:rPr>
          <w:rFonts w:ascii="Arial" w:eastAsia="Arial" w:hAnsi="Arial" w:cs="Arial"/>
        </w:rPr>
      </w:pPr>
      <w:r>
        <w:rPr>
          <w:rFonts w:ascii="Arial" w:eastAsia="Arial" w:hAnsi="Arial" w:cs="Arial"/>
        </w:rPr>
        <w:br w:type="page"/>
      </w:r>
    </w:p>
    <w:p w:rsidR="00E47301" w:rsidRDefault="00E47301" w:rsidP="00A0109E">
      <w:pPr>
        <w:pBdr>
          <w:top w:val="nil"/>
          <w:left w:val="nil"/>
          <w:bottom w:val="nil"/>
          <w:right w:val="nil"/>
          <w:between w:val="nil"/>
        </w:pBdr>
        <w:spacing w:after="120" w:line="360" w:lineRule="auto"/>
        <w:ind w:left="720" w:firstLine="720"/>
        <w:jc w:val="both"/>
        <w:rPr>
          <w:rFonts w:ascii="Arial" w:eastAsia="Arial" w:hAnsi="Arial" w:cs="Arial"/>
          <w:i/>
          <w:sz w:val="16"/>
          <w:szCs w:val="16"/>
        </w:rPr>
      </w:pPr>
    </w:p>
    <w:p w:rsidR="008F7B26" w:rsidRPr="008F7B26" w:rsidRDefault="008F7B26" w:rsidP="008F7B26">
      <w:pPr>
        <w:spacing w:after="120" w:line="360" w:lineRule="auto"/>
        <w:ind w:left="720" w:firstLine="720"/>
        <w:jc w:val="center"/>
        <w:rPr>
          <w:rFonts w:ascii="Arial" w:eastAsia="Arial" w:hAnsi="Arial" w:cs="Arial"/>
          <w:b/>
          <w:bCs/>
          <w:color w:val="FF0000"/>
        </w:rPr>
      </w:pPr>
      <w:r w:rsidRPr="008F7B26">
        <w:rPr>
          <w:rFonts w:ascii="Arial" w:eastAsia="Arial" w:hAnsi="Arial" w:cs="Arial"/>
          <w:b/>
          <w:bCs/>
          <w:color w:val="FF0000"/>
          <w:highlight w:val="yellow"/>
        </w:rPr>
        <w:t>GERAR N</w:t>
      </w:r>
      <w:bookmarkStart w:id="1" w:name="_GoBack"/>
      <w:bookmarkEnd w:id="1"/>
      <w:r w:rsidRPr="008F7B26">
        <w:rPr>
          <w:rFonts w:ascii="Arial" w:eastAsia="Arial" w:hAnsi="Arial" w:cs="Arial"/>
          <w:b/>
          <w:bCs/>
          <w:color w:val="FF0000"/>
          <w:highlight w:val="yellow"/>
        </w:rPr>
        <w:t>OVA</w:t>
      </w:r>
      <w:r>
        <w:rPr>
          <w:rFonts w:ascii="Arial" w:eastAsia="Arial" w:hAnsi="Arial" w:cs="Arial"/>
          <w:b/>
          <w:bCs/>
          <w:color w:val="FF0000"/>
          <w:highlight w:val="yellow"/>
        </w:rPr>
        <w:t>S</w:t>
      </w:r>
      <w:r w:rsidRPr="008F7B26">
        <w:rPr>
          <w:rFonts w:ascii="Arial" w:eastAsia="Arial" w:hAnsi="Arial" w:cs="Arial"/>
          <w:b/>
          <w:bCs/>
          <w:color w:val="FF0000"/>
          <w:highlight w:val="yellow"/>
        </w:rPr>
        <w:t xml:space="preserve"> FIGURA</w:t>
      </w:r>
      <w:r>
        <w:rPr>
          <w:rFonts w:ascii="Arial" w:eastAsia="Arial" w:hAnsi="Arial" w:cs="Arial"/>
          <w:b/>
          <w:bCs/>
          <w:color w:val="FF0000"/>
          <w:highlight w:val="yellow"/>
        </w:rPr>
        <w:t>S</w:t>
      </w:r>
      <w:r w:rsidRPr="008F7B26">
        <w:rPr>
          <w:rFonts w:ascii="Arial" w:eastAsia="Arial" w:hAnsi="Arial" w:cs="Arial"/>
          <w:b/>
          <w:bCs/>
          <w:color w:val="FF0000"/>
          <w:highlight w:val="yellow"/>
        </w:rPr>
        <w:t xml:space="preserve"> A PARTIR DA PLANILHA EXCEL</w:t>
      </w:r>
    </w:p>
    <w:p w:rsidR="008F7B26" w:rsidRDefault="008F7B26" w:rsidP="00A0109E">
      <w:pPr>
        <w:pBdr>
          <w:top w:val="nil"/>
          <w:left w:val="nil"/>
          <w:bottom w:val="nil"/>
          <w:right w:val="nil"/>
          <w:between w:val="nil"/>
        </w:pBdr>
        <w:spacing w:after="120" w:line="360" w:lineRule="auto"/>
        <w:ind w:left="720" w:firstLine="720"/>
        <w:jc w:val="both"/>
        <w:rPr>
          <w:rFonts w:ascii="Arial" w:eastAsia="Arial" w:hAnsi="Arial" w:cs="Arial"/>
          <w:i/>
          <w:sz w:val="16"/>
          <w:szCs w:val="16"/>
        </w:rPr>
      </w:pPr>
    </w:p>
    <w:p w:rsidR="00A0109E" w:rsidRDefault="00A0109E" w:rsidP="00A0109E">
      <w:pPr>
        <w:spacing w:after="0" w:line="240" w:lineRule="auto"/>
        <w:ind w:firstLine="720"/>
        <w:jc w:val="both"/>
        <w:rPr>
          <w:rFonts w:ascii="Arial" w:eastAsia="Arial" w:hAnsi="Arial" w:cs="Arial"/>
          <w:b/>
          <w:sz w:val="20"/>
          <w:szCs w:val="20"/>
        </w:rPr>
      </w:pPr>
      <w:r>
        <w:rPr>
          <w:rFonts w:ascii="Arial" w:eastAsia="Arial" w:hAnsi="Arial" w:cs="Arial"/>
          <w:b/>
          <w:sz w:val="20"/>
          <w:szCs w:val="20"/>
        </w:rPr>
        <w:t>Tabela 1a – Planilha de Custos Fixos de um Veículo de Carga</w:t>
      </w:r>
    </w:p>
    <w:p w:rsidR="00A0109E" w:rsidRDefault="00A0109E" w:rsidP="00A0109E">
      <w:pPr>
        <w:spacing w:after="0" w:line="240" w:lineRule="auto"/>
        <w:ind w:firstLine="720"/>
        <w:jc w:val="both"/>
        <w:rPr>
          <w:rFonts w:ascii="Arial" w:eastAsia="Arial" w:hAnsi="Arial" w:cs="Arial"/>
          <w:i/>
          <w:sz w:val="16"/>
          <w:szCs w:val="16"/>
        </w:rPr>
      </w:pPr>
      <w:r>
        <w:rPr>
          <w:rFonts w:ascii="Arial" w:eastAsia="Arial" w:hAnsi="Arial" w:cs="Arial"/>
          <w:i/>
          <w:sz w:val="16"/>
          <w:szCs w:val="16"/>
        </w:rPr>
        <w:t>Base: Metodologia ANTT (ANTT, 2018)</w:t>
      </w:r>
    </w:p>
    <w:p w:rsidR="00A0109E" w:rsidRDefault="00A0109E" w:rsidP="00A0109E">
      <w:pPr>
        <w:rPr>
          <w:rFonts w:ascii="Arial" w:eastAsia="Arial" w:hAnsi="Arial" w:cs="Arial"/>
          <w:b/>
        </w:rPr>
      </w:pPr>
      <w:r>
        <w:rPr>
          <w:rFonts w:ascii="Arial" w:eastAsia="Arial" w:hAnsi="Arial" w:cs="Arial"/>
          <w:b/>
          <w:noProof/>
        </w:rPr>
        <w:drawing>
          <wp:inline distT="0" distB="0" distL="114300" distR="114300" wp14:anchorId="4BEC3983" wp14:editId="40673F6A">
            <wp:extent cx="5811520" cy="32689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1132"/>
                    <a:stretch>
                      <a:fillRect/>
                    </a:stretch>
                  </pic:blipFill>
                  <pic:spPr>
                    <a:xfrm>
                      <a:off x="0" y="0"/>
                      <a:ext cx="5811520" cy="3268980"/>
                    </a:xfrm>
                    <a:prstGeom prst="rect">
                      <a:avLst/>
                    </a:prstGeom>
                    <a:ln/>
                  </pic:spPr>
                </pic:pic>
              </a:graphicData>
            </a:graphic>
          </wp:inline>
        </w:drawing>
      </w:r>
    </w:p>
    <w:p w:rsidR="00A0109E" w:rsidRDefault="00A0109E" w:rsidP="00A0109E">
      <w:pPr>
        <w:spacing w:after="0" w:line="240" w:lineRule="auto"/>
        <w:ind w:firstLine="720"/>
        <w:jc w:val="both"/>
        <w:rPr>
          <w:rFonts w:ascii="Arial" w:eastAsia="Arial" w:hAnsi="Arial" w:cs="Arial"/>
          <w:i/>
          <w:sz w:val="16"/>
          <w:szCs w:val="16"/>
        </w:rPr>
      </w:pPr>
    </w:p>
    <w:p w:rsidR="00A0109E" w:rsidRDefault="00A0109E" w:rsidP="00A0109E">
      <w:pPr>
        <w:spacing w:after="0" w:line="240" w:lineRule="auto"/>
        <w:ind w:firstLine="720"/>
        <w:jc w:val="both"/>
        <w:rPr>
          <w:rFonts w:ascii="Arial" w:eastAsia="Arial" w:hAnsi="Arial" w:cs="Arial"/>
          <w:b/>
          <w:sz w:val="20"/>
          <w:szCs w:val="20"/>
        </w:rPr>
      </w:pPr>
      <w:r>
        <w:rPr>
          <w:rFonts w:ascii="Arial" w:eastAsia="Arial" w:hAnsi="Arial" w:cs="Arial"/>
          <w:b/>
          <w:sz w:val="20"/>
          <w:szCs w:val="20"/>
        </w:rPr>
        <w:t>Tabela 1b – Planilha de Custos Variáveis de um Veículo de Carga</w:t>
      </w:r>
    </w:p>
    <w:p w:rsidR="00A0109E" w:rsidRDefault="00A0109E" w:rsidP="00A0109E">
      <w:pPr>
        <w:spacing w:after="0" w:line="240" w:lineRule="auto"/>
        <w:ind w:firstLine="720"/>
        <w:jc w:val="both"/>
        <w:rPr>
          <w:rFonts w:ascii="Arial" w:eastAsia="Arial" w:hAnsi="Arial" w:cs="Arial"/>
          <w:i/>
          <w:sz w:val="16"/>
          <w:szCs w:val="16"/>
        </w:rPr>
      </w:pPr>
      <w:r>
        <w:rPr>
          <w:rFonts w:ascii="Arial" w:eastAsia="Arial" w:hAnsi="Arial" w:cs="Arial"/>
          <w:i/>
          <w:sz w:val="16"/>
          <w:szCs w:val="16"/>
        </w:rPr>
        <w:t>Base: Metodologia ANTT (ANTT, 2018)</w:t>
      </w:r>
    </w:p>
    <w:p w:rsidR="00A0109E" w:rsidRDefault="00A0109E" w:rsidP="00A0109E">
      <w:pPr>
        <w:pBdr>
          <w:top w:val="nil"/>
          <w:left w:val="nil"/>
          <w:bottom w:val="nil"/>
          <w:right w:val="nil"/>
          <w:between w:val="nil"/>
        </w:pBdr>
        <w:spacing w:after="120" w:line="360" w:lineRule="auto"/>
        <w:ind w:left="283" w:hanging="15"/>
        <w:jc w:val="both"/>
        <w:rPr>
          <w:rFonts w:ascii="Arial" w:eastAsia="Arial" w:hAnsi="Arial" w:cs="Arial"/>
          <w:b/>
        </w:rPr>
      </w:pPr>
      <w:r>
        <w:rPr>
          <w:rFonts w:ascii="Arial" w:eastAsia="Arial" w:hAnsi="Arial" w:cs="Arial"/>
          <w:b/>
          <w:noProof/>
        </w:rPr>
        <w:drawing>
          <wp:inline distT="0" distB="0" distL="0" distR="0" wp14:anchorId="53F8A3C4" wp14:editId="04AF8361">
            <wp:extent cx="4935538" cy="2924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35538" cy="2924175"/>
                    </a:xfrm>
                    <a:prstGeom prst="rect">
                      <a:avLst/>
                    </a:prstGeom>
                    <a:ln/>
                  </pic:spPr>
                </pic:pic>
              </a:graphicData>
            </a:graphic>
          </wp:inline>
        </w:drawing>
      </w:r>
    </w:p>
    <w:p w:rsidR="00A0109E" w:rsidRDefault="00A0109E" w:rsidP="00A0109E">
      <w:pPr>
        <w:spacing w:after="120" w:line="360" w:lineRule="auto"/>
        <w:ind w:left="720" w:firstLine="720"/>
        <w:jc w:val="both"/>
        <w:rPr>
          <w:rFonts w:ascii="Arial" w:eastAsia="Arial" w:hAnsi="Arial" w:cs="Arial"/>
        </w:rPr>
      </w:pPr>
      <w:r>
        <w:rPr>
          <w:rFonts w:ascii="Arial" w:eastAsia="Arial" w:hAnsi="Arial" w:cs="Arial"/>
        </w:rPr>
        <w:t>Os custos fixos do veículo são calculados em uma base mensal e são expressos em R$/mês. Os custos variáveis do veículo são calculados em uma base quilométrica, sendo expressos em R$/km.</w:t>
      </w:r>
    </w:p>
    <w:p w:rsidR="00891453" w:rsidRDefault="00891453">
      <w:pPr>
        <w:spacing w:after="0" w:line="240" w:lineRule="auto"/>
        <w:rPr>
          <w:rFonts w:ascii="Arial" w:eastAsia="Arial" w:hAnsi="Arial" w:cs="Arial"/>
        </w:rPr>
      </w:pPr>
      <w:r>
        <w:rPr>
          <w:rFonts w:ascii="Arial" w:eastAsia="Arial" w:hAnsi="Arial" w:cs="Arial"/>
        </w:rPr>
        <w:br w:type="page"/>
      </w:r>
    </w:p>
    <w:p w:rsidR="00891453" w:rsidRDefault="00891453" w:rsidP="00A0109E">
      <w:pPr>
        <w:spacing w:after="120" w:line="360" w:lineRule="auto"/>
        <w:ind w:left="720" w:firstLine="720"/>
        <w:jc w:val="both"/>
        <w:rPr>
          <w:rFonts w:ascii="Arial" w:eastAsia="Arial" w:hAnsi="Arial" w:cs="Arial"/>
          <w:sz w:val="20"/>
          <w:szCs w:val="20"/>
        </w:rPr>
      </w:pPr>
    </w:p>
    <w:p w:rsidR="008F7B26" w:rsidRPr="008F7B26" w:rsidRDefault="008F7B26" w:rsidP="008F7B26">
      <w:pPr>
        <w:spacing w:after="120" w:line="360" w:lineRule="auto"/>
        <w:ind w:left="720" w:firstLine="720"/>
        <w:jc w:val="center"/>
        <w:rPr>
          <w:rFonts w:ascii="Arial" w:eastAsia="Arial" w:hAnsi="Arial" w:cs="Arial"/>
          <w:b/>
          <w:bCs/>
          <w:color w:val="FF0000"/>
        </w:rPr>
      </w:pPr>
      <w:r w:rsidRPr="008F7B26">
        <w:rPr>
          <w:rFonts w:ascii="Arial" w:eastAsia="Arial" w:hAnsi="Arial" w:cs="Arial"/>
          <w:b/>
          <w:bCs/>
          <w:color w:val="FF0000"/>
          <w:highlight w:val="yellow"/>
        </w:rPr>
        <w:t>GERAR NOVA FIGURA A PARTIR DA PLANILHA EXCEL</w:t>
      </w:r>
    </w:p>
    <w:p w:rsidR="00A0109E" w:rsidRDefault="00A0109E" w:rsidP="00A0109E">
      <w:pPr>
        <w:spacing w:after="0" w:line="240" w:lineRule="auto"/>
        <w:ind w:left="720" w:firstLine="720"/>
        <w:jc w:val="both"/>
        <w:rPr>
          <w:rFonts w:ascii="Arial" w:eastAsia="Arial" w:hAnsi="Arial" w:cs="Arial"/>
          <w:b/>
          <w:sz w:val="20"/>
          <w:szCs w:val="20"/>
        </w:rPr>
      </w:pPr>
      <w:r>
        <w:rPr>
          <w:rFonts w:ascii="Arial" w:eastAsia="Arial" w:hAnsi="Arial" w:cs="Arial"/>
          <w:b/>
          <w:sz w:val="20"/>
          <w:szCs w:val="20"/>
        </w:rPr>
        <w:t>Tabela 1c – Planilha Resumo de Custos de um Veículo e Custo Total por Km</w:t>
      </w:r>
    </w:p>
    <w:p w:rsidR="00A0109E" w:rsidRDefault="00A0109E" w:rsidP="00A0109E">
      <w:pPr>
        <w:spacing w:after="0" w:line="240" w:lineRule="auto"/>
        <w:ind w:left="1440"/>
        <w:jc w:val="both"/>
        <w:rPr>
          <w:rFonts w:ascii="Arial" w:eastAsia="Arial" w:hAnsi="Arial" w:cs="Arial"/>
          <w:sz w:val="18"/>
          <w:szCs w:val="18"/>
        </w:rPr>
      </w:pPr>
      <w:r>
        <w:rPr>
          <w:rFonts w:ascii="Arial" w:eastAsia="Arial" w:hAnsi="Arial" w:cs="Arial"/>
          <w:i/>
          <w:sz w:val="16"/>
          <w:szCs w:val="16"/>
        </w:rPr>
        <w:t>Base: Metodologia ANTT (ANTT, 2018)</w:t>
      </w:r>
    </w:p>
    <w:p w:rsidR="00A0109E" w:rsidRDefault="00A0109E" w:rsidP="00A0109E">
      <w:pPr>
        <w:pBdr>
          <w:top w:val="nil"/>
          <w:left w:val="nil"/>
          <w:bottom w:val="nil"/>
          <w:right w:val="nil"/>
          <w:between w:val="nil"/>
        </w:pBdr>
        <w:spacing w:after="120" w:line="360" w:lineRule="auto"/>
        <w:ind w:left="1417" w:hanging="15"/>
        <w:jc w:val="both"/>
        <w:rPr>
          <w:rFonts w:ascii="Arial" w:eastAsia="Arial" w:hAnsi="Arial" w:cs="Arial"/>
        </w:rPr>
      </w:pPr>
      <w:r>
        <w:rPr>
          <w:rFonts w:ascii="Arial" w:eastAsia="Arial" w:hAnsi="Arial" w:cs="Arial"/>
          <w:noProof/>
        </w:rPr>
        <w:drawing>
          <wp:inline distT="114300" distB="114300" distL="114300" distR="114300" wp14:anchorId="5C4FC64D" wp14:editId="7B775C4C">
            <wp:extent cx="3544888" cy="313131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15316" t="31313" r="52320" b="21056"/>
                    <a:stretch>
                      <a:fillRect/>
                    </a:stretch>
                  </pic:blipFill>
                  <pic:spPr>
                    <a:xfrm>
                      <a:off x="0" y="0"/>
                      <a:ext cx="3544888" cy="3131317"/>
                    </a:xfrm>
                    <a:prstGeom prst="rect">
                      <a:avLst/>
                    </a:prstGeom>
                    <a:ln/>
                  </pic:spPr>
                </pic:pic>
              </a:graphicData>
            </a:graphic>
          </wp:inline>
        </w:drawing>
      </w:r>
    </w:p>
    <w:p w:rsidR="00A0109E" w:rsidRDefault="00A0109E">
      <w:bookmarkStart w:id="2" w:name="_x05rovnglsvh" w:colFirst="0" w:colLast="0"/>
      <w:bookmarkEnd w:id="2"/>
    </w:p>
    <w:p w:rsidR="00A0109E" w:rsidRDefault="00A0109E"/>
    <w:p w:rsidR="002660E0" w:rsidRDefault="002660E0" w:rsidP="002660E0">
      <w:pPr>
        <w:pBdr>
          <w:top w:val="nil"/>
          <w:left w:val="nil"/>
          <w:bottom w:val="nil"/>
          <w:right w:val="nil"/>
          <w:between w:val="nil"/>
        </w:pBdr>
        <w:spacing w:after="120" w:line="360" w:lineRule="auto"/>
        <w:ind w:left="360"/>
        <w:jc w:val="both"/>
      </w:pPr>
      <w:r>
        <w:rPr>
          <w:rFonts w:ascii="Arial" w:eastAsia="Arial" w:hAnsi="Arial" w:cs="Arial"/>
          <w:b/>
          <w:color w:val="000000"/>
        </w:rPr>
        <w:t>REFERÊNCIAS BIBLIOGRÁFICAS</w:t>
      </w:r>
    </w:p>
    <w:p w:rsidR="000B6AFB" w:rsidRDefault="000B6AFB" w:rsidP="000B6AFB">
      <w:pPr>
        <w:ind w:left="873" w:hanging="567"/>
        <w:jc w:val="both"/>
        <w:rPr>
          <w:rFonts w:ascii="Arial Narrow" w:eastAsia="Times New Roman" w:hAnsi="Arial Narrow"/>
        </w:rPr>
      </w:pPr>
      <w:r w:rsidRPr="000B6AFB">
        <w:rPr>
          <w:rFonts w:ascii="Arial Narrow" w:eastAsia="Times New Roman" w:hAnsi="Arial Narrow"/>
        </w:rPr>
        <w:t>ANTT (2019). RESOLUÇÃO nº 5.849, de 16 de julho de 2019.  Estabelece as regras gerais, a metodologia e os coeficientes dos pisos mínimos, referentes ao quilômetro rodado na realização do serviço de transporte rodoviário remunerado de cargas, por eixo carregado, instituído pela Política Nacional de Pisos Mínimos do Transporte Rodoviário de Cargas - PNPM-TRC.</w:t>
      </w:r>
    </w:p>
    <w:p w:rsidR="00636B1A" w:rsidRPr="00636B1A" w:rsidRDefault="00636B1A" w:rsidP="00636B1A">
      <w:pPr>
        <w:ind w:left="873" w:hanging="567"/>
        <w:jc w:val="both"/>
        <w:rPr>
          <w:rFonts w:ascii="Arial Narrow" w:eastAsia="Times New Roman" w:hAnsi="Arial Narrow"/>
        </w:rPr>
      </w:pPr>
      <w:r w:rsidRPr="00636B1A">
        <w:rPr>
          <w:rFonts w:ascii="Arial Narrow" w:eastAsia="Times New Roman" w:hAnsi="Arial Narrow"/>
        </w:rPr>
        <w:t>GITMAN, L. J. (2010). Princípios de Administração Financeira. 12ª Edição. Pearson Universidades. São Paulo, SP. 800p.</w:t>
      </w:r>
    </w:p>
    <w:p w:rsidR="000B6AFB" w:rsidRDefault="00636B1A" w:rsidP="00636B1A">
      <w:pPr>
        <w:ind w:left="873" w:hanging="567"/>
        <w:jc w:val="both"/>
        <w:rPr>
          <w:rFonts w:ascii="Arial Narrow" w:eastAsia="Times New Roman" w:hAnsi="Arial Narrow"/>
        </w:rPr>
      </w:pPr>
      <w:r w:rsidRPr="00636B1A">
        <w:rPr>
          <w:rFonts w:ascii="Arial Narrow" w:eastAsia="Times New Roman" w:hAnsi="Arial Narrow"/>
        </w:rPr>
        <w:t>MARTINS, E. (2018). Contabilidade de Custos - 11ª Edição. Editora Atlas. São Paulo, SP. 408p.</w:t>
      </w:r>
    </w:p>
    <w:p w:rsidR="000B6AFB" w:rsidRPr="006D1627" w:rsidRDefault="000B6AFB" w:rsidP="000B6AFB">
      <w:pPr>
        <w:ind w:left="873" w:hanging="567"/>
        <w:jc w:val="both"/>
        <w:rPr>
          <w:rFonts w:ascii="Arial Narrow" w:eastAsia="Times New Roman" w:hAnsi="Arial Narrow"/>
        </w:rPr>
      </w:pPr>
      <w:r w:rsidRPr="001011A5">
        <w:rPr>
          <w:rFonts w:ascii="Arial Narrow" w:eastAsia="Times New Roman" w:hAnsi="Arial Narrow"/>
        </w:rPr>
        <w:t>NTC</w:t>
      </w:r>
      <w:r>
        <w:rPr>
          <w:rFonts w:ascii="Arial Narrow" w:eastAsia="Times New Roman" w:hAnsi="Arial Narrow"/>
        </w:rPr>
        <w:t xml:space="preserve"> </w:t>
      </w:r>
      <w:r w:rsidRPr="001011A5">
        <w:rPr>
          <w:rFonts w:ascii="Arial Narrow" w:eastAsia="Times New Roman" w:hAnsi="Arial Narrow"/>
        </w:rPr>
        <w:t>&amp;</w:t>
      </w:r>
      <w:r>
        <w:rPr>
          <w:rFonts w:ascii="Arial Narrow" w:eastAsia="Times New Roman" w:hAnsi="Arial Narrow"/>
        </w:rPr>
        <w:t xml:space="preserve"> </w:t>
      </w:r>
      <w:r w:rsidRPr="001011A5">
        <w:rPr>
          <w:rFonts w:ascii="Arial Narrow" w:eastAsia="Times New Roman" w:hAnsi="Arial Narrow"/>
        </w:rPr>
        <w:t>Logística</w:t>
      </w:r>
      <w:r w:rsidRPr="006D1627">
        <w:rPr>
          <w:rFonts w:ascii="Arial Narrow" w:eastAsia="Times New Roman" w:hAnsi="Arial Narrow"/>
        </w:rPr>
        <w:t>. (20</w:t>
      </w:r>
      <w:r>
        <w:rPr>
          <w:rFonts w:ascii="Arial Narrow" w:eastAsia="Times New Roman" w:hAnsi="Arial Narrow"/>
        </w:rPr>
        <w:t>14</w:t>
      </w:r>
      <w:r w:rsidRPr="006D1627">
        <w:rPr>
          <w:rFonts w:ascii="Arial Narrow" w:eastAsia="Times New Roman" w:hAnsi="Arial Narrow"/>
        </w:rPr>
        <w:t xml:space="preserve">) Manual </w:t>
      </w:r>
      <w:r>
        <w:rPr>
          <w:rFonts w:ascii="Arial Narrow" w:eastAsia="Times New Roman" w:hAnsi="Arial Narrow"/>
        </w:rPr>
        <w:t>de cálculo de custos e formação de preços do transporte rodoviário de cargas – 2014.</w:t>
      </w:r>
      <w:r w:rsidRPr="006D1627">
        <w:rPr>
          <w:rFonts w:ascii="Arial Narrow" w:eastAsia="Times New Roman" w:hAnsi="Arial Narrow"/>
        </w:rPr>
        <w:t xml:space="preserve"> </w:t>
      </w:r>
      <w:r w:rsidRPr="001011A5">
        <w:rPr>
          <w:rFonts w:ascii="Arial Narrow" w:eastAsia="Times New Roman" w:hAnsi="Arial Narrow"/>
        </w:rPr>
        <w:t>Associação Nacional do Transporte de</w:t>
      </w:r>
      <w:r>
        <w:rPr>
          <w:rFonts w:ascii="Arial Narrow" w:eastAsia="Times New Roman" w:hAnsi="Arial Narrow"/>
        </w:rPr>
        <w:t xml:space="preserve"> </w:t>
      </w:r>
      <w:r w:rsidRPr="001011A5">
        <w:rPr>
          <w:rFonts w:ascii="Arial Narrow" w:eastAsia="Times New Roman" w:hAnsi="Arial Narrow"/>
        </w:rPr>
        <w:t>Cargas e Logística</w:t>
      </w:r>
      <w:r>
        <w:rPr>
          <w:rFonts w:ascii="Arial Narrow" w:eastAsia="Times New Roman" w:hAnsi="Arial Narrow"/>
        </w:rPr>
        <w:t>.</w:t>
      </w:r>
      <w:r w:rsidRPr="006D1627">
        <w:rPr>
          <w:rFonts w:ascii="Arial Narrow" w:eastAsia="Times New Roman" w:hAnsi="Arial Narrow"/>
        </w:rPr>
        <w:t xml:space="preserve"> São Paulo, SP.</w:t>
      </w:r>
    </w:p>
    <w:p w:rsidR="000B6AFB" w:rsidRDefault="000B6AFB" w:rsidP="000B6AFB">
      <w:pPr>
        <w:ind w:left="873" w:hanging="567"/>
        <w:jc w:val="both"/>
        <w:rPr>
          <w:rFonts w:ascii="Arial Narrow" w:eastAsia="Times New Roman" w:hAnsi="Arial Narrow"/>
        </w:rPr>
      </w:pPr>
      <w:r w:rsidRPr="006D1627">
        <w:rPr>
          <w:rFonts w:ascii="Arial Narrow" w:eastAsia="Times New Roman" w:hAnsi="Arial Narrow"/>
        </w:rPr>
        <w:t>VALLIM FILHO, A. R. A., KURIHARA, T. (2001). Um modelo matemático de decisões estratégicas para a logística de distribuição de produtos. Revista Mackenzie de Engenharia e Computação: v.2, p.42 - 62. São Paulo, SP.</w:t>
      </w:r>
    </w:p>
    <w:p w:rsidR="000B6AFB" w:rsidRDefault="000B6AFB" w:rsidP="000B6AFB">
      <w:pPr>
        <w:ind w:left="873" w:hanging="567"/>
        <w:jc w:val="both"/>
        <w:rPr>
          <w:rFonts w:ascii="Arial Narrow" w:eastAsia="Times New Roman" w:hAnsi="Arial Narrow"/>
        </w:rPr>
      </w:pPr>
    </w:p>
    <w:p w:rsidR="000B6AFB" w:rsidRDefault="000B6AFB" w:rsidP="002660E0">
      <w:pPr>
        <w:pBdr>
          <w:top w:val="nil"/>
          <w:left w:val="nil"/>
          <w:bottom w:val="nil"/>
          <w:right w:val="nil"/>
          <w:between w:val="nil"/>
        </w:pBdr>
        <w:spacing w:before="240" w:after="240" w:line="240" w:lineRule="auto"/>
        <w:ind w:left="720" w:hanging="10"/>
        <w:jc w:val="both"/>
        <w:rPr>
          <w:rFonts w:ascii="Arial" w:eastAsia="Arial" w:hAnsi="Arial" w:cs="Arial"/>
        </w:rPr>
      </w:pPr>
    </w:p>
    <w:p w:rsidR="000B6AFB" w:rsidRDefault="000B6AFB" w:rsidP="002660E0">
      <w:pPr>
        <w:pBdr>
          <w:top w:val="nil"/>
          <w:left w:val="nil"/>
          <w:bottom w:val="nil"/>
          <w:right w:val="nil"/>
          <w:between w:val="nil"/>
        </w:pBdr>
        <w:spacing w:before="240" w:after="240" w:line="240" w:lineRule="auto"/>
        <w:ind w:left="720" w:hanging="10"/>
        <w:jc w:val="both"/>
        <w:rPr>
          <w:rFonts w:ascii="Arial" w:eastAsia="Arial" w:hAnsi="Arial" w:cs="Arial"/>
        </w:rPr>
      </w:pPr>
    </w:p>
    <w:p w:rsidR="000B6AFB" w:rsidRDefault="000B6AFB" w:rsidP="002660E0">
      <w:pPr>
        <w:pBdr>
          <w:top w:val="nil"/>
          <w:left w:val="nil"/>
          <w:bottom w:val="nil"/>
          <w:right w:val="nil"/>
          <w:between w:val="nil"/>
        </w:pBdr>
        <w:spacing w:before="240" w:after="240" w:line="240" w:lineRule="auto"/>
        <w:ind w:left="720" w:hanging="10"/>
        <w:jc w:val="both"/>
        <w:rPr>
          <w:rFonts w:ascii="Arial" w:eastAsia="Arial" w:hAnsi="Arial" w:cs="Arial"/>
        </w:rPr>
      </w:pPr>
    </w:p>
    <w:p w:rsidR="00A0109E" w:rsidRDefault="00A0109E"/>
    <w:p w:rsidR="00A0109E" w:rsidRDefault="00A0109E"/>
    <w:p w:rsidR="00A0109E" w:rsidRDefault="00A0109E"/>
    <w:p w:rsidR="00A0109E" w:rsidRDefault="00A0109E"/>
    <w:p w:rsidR="00A0109E" w:rsidRDefault="00A0109E"/>
    <w:p w:rsidR="00A0109E" w:rsidRDefault="00A0109E"/>
    <w:p w:rsidR="00A0109E" w:rsidRDefault="00A0109E"/>
    <w:p w:rsidR="00A0109E" w:rsidRDefault="00A0109E"/>
    <w:p w:rsidR="00A0109E" w:rsidRDefault="00A0109E"/>
    <w:sectPr w:rsidR="00A01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959" w:rsidRDefault="00BE2959" w:rsidP="00A0109E">
      <w:pPr>
        <w:spacing w:after="0" w:line="240" w:lineRule="auto"/>
      </w:pPr>
      <w:r>
        <w:separator/>
      </w:r>
    </w:p>
  </w:endnote>
  <w:endnote w:type="continuationSeparator" w:id="0">
    <w:p w:rsidR="00BE2959" w:rsidRDefault="00BE2959" w:rsidP="00A0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959" w:rsidRDefault="00BE2959" w:rsidP="00A0109E">
      <w:pPr>
        <w:spacing w:after="0" w:line="240" w:lineRule="auto"/>
      </w:pPr>
      <w:r>
        <w:separator/>
      </w:r>
    </w:p>
  </w:footnote>
  <w:footnote w:type="continuationSeparator" w:id="0">
    <w:p w:rsidR="00BE2959" w:rsidRDefault="00BE2959" w:rsidP="00A01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9E"/>
    <w:rsid w:val="000B6AFB"/>
    <w:rsid w:val="002660E0"/>
    <w:rsid w:val="00340617"/>
    <w:rsid w:val="003E2839"/>
    <w:rsid w:val="005D49A9"/>
    <w:rsid w:val="00636B1A"/>
    <w:rsid w:val="007055B2"/>
    <w:rsid w:val="00891453"/>
    <w:rsid w:val="008F7B26"/>
    <w:rsid w:val="00982CD3"/>
    <w:rsid w:val="00A0109E"/>
    <w:rsid w:val="00A86FA9"/>
    <w:rsid w:val="00BE2959"/>
    <w:rsid w:val="00D47BB6"/>
    <w:rsid w:val="00E47301"/>
    <w:rsid w:val="00E80106"/>
    <w:rsid w:val="00FD3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3472"/>
  <w15:chartTrackingRefBased/>
  <w15:docId w15:val="{D954964C-1E3D-43D4-9D14-FE2B869D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09E"/>
    <w:pPr>
      <w:spacing w:after="160" w:line="259" w:lineRule="auto"/>
    </w:pPr>
    <w:rPr>
      <w:rFonts w:ascii="Calibri" w:eastAsia="Calibri" w:hAnsi="Calibri" w:cs="Calibri"/>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433</Words>
  <Characters>2339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VALLIM</dc:creator>
  <cp:keywords/>
  <dc:description/>
  <cp:lastModifiedBy>ARNALDO VALLIM</cp:lastModifiedBy>
  <cp:revision>18</cp:revision>
  <dcterms:created xsi:type="dcterms:W3CDTF">2020-09-09T23:40:00Z</dcterms:created>
  <dcterms:modified xsi:type="dcterms:W3CDTF">2020-09-10T00:03:00Z</dcterms:modified>
</cp:coreProperties>
</file>