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720" w:after="120"/>
        <w:jc w:val="center"/>
        <w:rPr>
          <w:rFonts w:hint="default" w:cs="Times New Roman"/>
          <w:b/>
          <w:bCs/>
          <w:i w:val="0"/>
          <w:iCs w:val="0"/>
          <w:color w:val="000000"/>
          <w:sz w:val="40"/>
          <w:szCs w:val="40"/>
          <w:u w:val="single"/>
          <w:lang w:val="en-US"/>
        </w:rPr>
      </w:pPr>
      <w:r>
        <w:rPr>
          <w:rFonts w:hint="default" w:cs="Times New Roman"/>
          <w:b/>
          <w:bCs/>
          <w:i w:val="0"/>
          <w:iCs w:val="0"/>
          <w:color w:val="000000"/>
          <w:sz w:val="40"/>
          <w:szCs w:val="40"/>
          <w:u w:val="single"/>
          <w:lang w:val="en-US"/>
        </w:rPr>
        <w:t>MBARARA UNIVERSITY OF SCIENCE AND TECHNOLOGY</w:t>
      </w:r>
    </w:p>
    <w:p>
      <w:pPr>
        <w:spacing w:before="720" w:after="120"/>
        <w:jc w:val="center"/>
        <w:rPr>
          <w:u w:val="singl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/>
          <w:sz w:val="40"/>
          <w:szCs w:val="40"/>
          <w:u w:val="single"/>
        </w:rPr>
        <w:t>DBMS Project Report</w:t>
      </w:r>
    </w:p>
    <w:p>
      <w:pPr>
        <w:spacing w:before="0" w:after="80"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color w:val="2E4057"/>
          <w:sz w:val="32"/>
          <w:szCs w:val="32"/>
          <w:u w:val="singl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2E4057"/>
          <w:sz w:val="32"/>
          <w:szCs w:val="32"/>
          <w:u w:val="single"/>
        </w:rPr>
        <w:t>Banking Management System</w:t>
      </w:r>
    </w:p>
    <w:p>
      <w:pPr>
        <w:spacing w:before="0" w:after="80"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color w:val="2E4057"/>
          <w:sz w:val="32"/>
          <w:szCs w:val="32"/>
          <w:u w:val="single"/>
        </w:rPr>
      </w:pPr>
    </w:p>
    <w:p>
      <w:pPr>
        <w:spacing w:before="0" w:after="80"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color w:val="2E4057"/>
          <w:sz w:val="32"/>
          <w:szCs w:val="32"/>
          <w:u w:val="single"/>
        </w:rPr>
      </w:pPr>
    </w:p>
    <w:p>
      <w:pPr>
        <w:spacing w:before="0" w:after="80"/>
        <w:jc w:val="left"/>
        <w:rPr>
          <w:rFonts w:ascii="Times New Roman" w:hAnsi="Times New Roman" w:eastAsia="Times New Roman" w:cs="Times New Roman"/>
          <w:b w:val="0"/>
          <w:bCs w:val="0"/>
          <w:i/>
          <w:iCs/>
          <w:color w:val="555555"/>
          <w:sz w:val="24"/>
          <w:szCs w:val="24"/>
        </w:rPr>
      </w:pPr>
      <w:r>
        <w:rPr>
          <w:rFonts w:hint="default" w:cs="Times New Roman"/>
          <w:b w:val="0"/>
          <w:bCs w:val="0"/>
          <w:i/>
          <w:iCs/>
          <w:color w:val="555555"/>
          <w:sz w:val="24"/>
          <w:szCs w:val="24"/>
          <w:lang w:val="en-US"/>
        </w:rPr>
        <w:t>AREA OF INTEREST:</w:t>
      </w:r>
      <w:r>
        <w:rPr>
          <w:rFonts w:ascii="Times New Roman" w:hAnsi="Times New Roman" w:eastAsia="Times New Roman" w:cs="Times New Roman"/>
          <w:b w:val="0"/>
          <w:bCs w:val="0"/>
          <w:i/>
          <w:iCs/>
          <w:color w:val="555555"/>
          <w:sz w:val="24"/>
          <w:szCs w:val="24"/>
        </w:rPr>
        <w:t xml:space="preserve"> Risk Management Database</w:t>
      </w:r>
    </w:p>
    <w:p>
      <w:pPr>
        <w:spacing w:before="0" w:after="80"/>
        <w:jc w:val="left"/>
        <w:rPr>
          <w:rFonts w:ascii="Times New Roman" w:hAnsi="Times New Roman" w:eastAsia="Times New Roman" w:cs="Times New Roman"/>
          <w:b w:val="0"/>
          <w:bCs w:val="0"/>
          <w:i/>
          <w:iCs/>
          <w:color w:val="555555"/>
          <w:sz w:val="24"/>
          <w:szCs w:val="24"/>
        </w:rPr>
      </w:pPr>
    </w:p>
    <w:p>
      <w:pPr>
        <w:spacing w:before="0" w:after="80"/>
        <w:jc w:val="left"/>
        <w:rPr>
          <w:rFonts w:hint="default" w:cs="Times New Roman"/>
          <w:b w:val="0"/>
          <w:bCs w:val="0"/>
          <w:i/>
          <w:iCs/>
          <w:color w:val="555555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i/>
          <w:iCs/>
          <w:color w:val="555555"/>
          <w:sz w:val="24"/>
          <w:szCs w:val="24"/>
          <w:lang w:val="en-US"/>
        </w:rPr>
        <w:t>PRESENTED BY  : SSEKASI SAMUEL</w:t>
      </w:r>
    </w:p>
    <w:p>
      <w:pPr>
        <w:spacing w:before="0" w:after="80"/>
        <w:jc w:val="left"/>
        <w:rPr>
          <w:rFonts w:hint="default" w:cs="Times New Roman"/>
          <w:b w:val="0"/>
          <w:bCs w:val="0"/>
          <w:i/>
          <w:iCs/>
          <w:color w:val="555555"/>
          <w:sz w:val="24"/>
          <w:szCs w:val="24"/>
          <w:lang w:val="en-US"/>
        </w:rPr>
      </w:pPr>
    </w:p>
    <w:p>
      <w:pPr>
        <w:spacing w:before="0" w:after="80"/>
        <w:jc w:val="left"/>
        <w:rPr>
          <w:rFonts w:hint="default" w:cs="Times New Roman"/>
          <w:b w:val="0"/>
          <w:bCs w:val="0"/>
          <w:i/>
          <w:iCs/>
          <w:color w:val="555555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i/>
          <w:iCs/>
          <w:color w:val="555555"/>
          <w:sz w:val="24"/>
          <w:szCs w:val="24"/>
          <w:lang w:val="en-US"/>
        </w:rPr>
        <w:t>REG NO : 2025/BCS/172/PS</w:t>
      </w:r>
    </w:p>
    <w:p>
      <w:pPr>
        <w:spacing w:before="0" w:after="80"/>
        <w:jc w:val="left"/>
        <w:rPr>
          <w:rFonts w:hint="default" w:cs="Times New Roman"/>
          <w:b w:val="0"/>
          <w:bCs w:val="0"/>
          <w:i/>
          <w:iCs/>
          <w:color w:val="555555"/>
          <w:sz w:val="24"/>
          <w:szCs w:val="24"/>
          <w:lang w:val="en-US"/>
        </w:rPr>
      </w:pPr>
    </w:p>
    <w:p>
      <w:pPr>
        <w:spacing w:before="0" w:after="80"/>
        <w:jc w:val="left"/>
        <w:rPr>
          <w:rFonts w:hint="default" w:cs="Times New Roman"/>
          <w:b w:val="0"/>
          <w:bCs w:val="0"/>
          <w:i/>
          <w:iCs/>
          <w:color w:val="555555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i/>
          <w:iCs/>
          <w:color w:val="555555"/>
          <w:sz w:val="24"/>
          <w:szCs w:val="24"/>
          <w:lang w:val="en-US"/>
        </w:rPr>
        <w:t>COURSE NAME : DBMS</w:t>
      </w:r>
    </w:p>
    <w:p>
      <w:pPr>
        <w:spacing w:before="0" w:after="80"/>
        <w:jc w:val="left"/>
        <w:rPr>
          <w:rFonts w:hint="default" w:cs="Times New Roman"/>
          <w:b w:val="0"/>
          <w:bCs w:val="0"/>
          <w:i/>
          <w:iCs/>
          <w:color w:val="555555"/>
          <w:sz w:val="24"/>
          <w:szCs w:val="24"/>
          <w:lang w:val="en-US"/>
        </w:rPr>
      </w:pPr>
    </w:p>
    <w:p>
      <w:pPr>
        <w:spacing w:before="0" w:after="80"/>
        <w:jc w:val="left"/>
        <w:rPr>
          <w:rFonts w:hint="default" w:cs="Times New Roman"/>
          <w:b w:val="0"/>
          <w:bCs w:val="0"/>
          <w:i/>
          <w:iCs/>
          <w:color w:val="555555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i/>
          <w:iCs/>
          <w:color w:val="555555"/>
          <w:sz w:val="24"/>
          <w:szCs w:val="24"/>
          <w:lang w:val="en-US"/>
        </w:rPr>
        <w:t>LECTURER : KENNETH BAGUMA</w:t>
      </w:r>
    </w:p>
    <w:p>
      <w:pPr>
        <w:spacing w:before="240" w:after="720"/>
        <w:jc w:val="center"/>
      </w:pPr>
    </w:p>
    <w:p>
      <w:pPr>
        <w:spacing w:before="240" w:after="720"/>
        <w:jc w:val="center"/>
      </w:pPr>
    </w:p>
    <w:p>
      <w:pPr>
        <w:spacing w:before="240" w:after="720"/>
        <w:jc w:val="center"/>
      </w:pPr>
    </w:p>
    <w:p>
      <w:pPr>
        <w:spacing w:before="240" w:after="720"/>
        <w:jc w:val="center"/>
      </w:pPr>
    </w:p>
    <w:p>
      <w:pPr>
        <w:spacing w:before="240" w:after="720"/>
        <w:jc w:val="both"/>
      </w:pPr>
    </w:p>
    <w:p>
      <w:pPr>
        <w:pBdr>
          <w:bottom w:val="single" w:color="2E4057" w:sz="12" w:space="1"/>
        </w:pBdr>
        <w:spacing w:before="0" w:after="480"/>
      </w:pPr>
    </w:p>
    <w:p>
      <w:pPr>
        <w:pStyle w:val="2"/>
        <w:spacing w:before="360" w:after="120" w:line="360" w:lineRule="auto"/>
        <w:rPr>
          <w:rFonts w:ascii="Times New Roman" w:hAnsi="Times New Roman" w:eastAsia="Times New Roman" w:cs="Times New Roman"/>
          <w:b/>
          <w:bCs/>
          <w:i w:val="0"/>
          <w:iCs w:val="0"/>
          <w:color w:val="000000"/>
          <w:sz w:val="28"/>
          <w:szCs w:val="28"/>
        </w:rPr>
      </w:pPr>
    </w:p>
    <w:p>
      <w:pPr>
        <w:pStyle w:val="2"/>
        <w:spacing w:before="360" w:after="120" w:line="360" w:lineRule="auto"/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/>
          <w:sz w:val="28"/>
          <w:szCs w:val="28"/>
        </w:rPr>
        <w:t>1. Selecting a Database Project</w:t>
      </w:r>
    </w:p>
    <w:p>
      <w:pPr>
        <w:pStyle w:val="3"/>
        <w:spacing w:before="240" w:after="80" w:line="360" w:lineRule="auto"/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/>
          <w:sz w:val="24"/>
          <w:szCs w:val="24"/>
        </w:rPr>
        <w:t>1.1  Area of Interest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>The selected area of interest is a Banking Management System, specifically focused on building a robust and regulatory-compliant risk management database.</w:t>
      </w:r>
    </w:p>
    <w:p>
      <w:pPr>
        <w:spacing w:before="0" w:after="120"/>
      </w:pPr>
    </w:p>
    <w:p>
      <w:pPr>
        <w:pStyle w:val="3"/>
        <w:spacing w:before="240" w:after="80" w:line="360" w:lineRule="auto"/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/>
          <w:sz w:val="24"/>
          <w:szCs w:val="24"/>
        </w:rPr>
        <w:t>1.2  Possible Database Systems Applicable</w:t>
      </w:r>
    </w:p>
    <w:p>
      <w:pPr>
        <w:pStyle w:val="16"/>
        <w:numPr>
          <w:ilvl w:val="0"/>
          <w:numId w:val="1"/>
        </w:numPr>
        <w:spacing w:before="0" w:after="60" w:line="360" w:lineRule="auto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>Core banking system (transactional) – e.g., Oracle FLEXCUBE, Temenos T24</w:t>
      </w:r>
    </w:p>
    <w:p>
      <w:pPr>
        <w:pStyle w:val="16"/>
        <w:numPr>
          <w:ilvl w:val="0"/>
          <w:numId w:val="1"/>
        </w:numPr>
        <w:spacing w:before="0" w:after="60" w:line="360" w:lineRule="auto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>Data warehouse – Snowflake, Amazon Redshift</w:t>
      </w:r>
    </w:p>
    <w:p>
      <w:pPr>
        <w:pStyle w:val="16"/>
        <w:numPr>
          <w:ilvl w:val="0"/>
          <w:numId w:val="1"/>
        </w:numPr>
        <w:spacing w:before="0" w:after="60" w:line="360" w:lineRule="auto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>CRM database – Salesforce Financial Services Cloud</w:t>
      </w:r>
    </w:p>
    <w:p>
      <w:pPr>
        <w:pStyle w:val="16"/>
        <w:numPr>
          <w:ilvl w:val="0"/>
          <w:numId w:val="1"/>
        </w:numPr>
        <w:spacing w:before="0" w:after="60" w:line="360" w:lineRule="auto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>Risk management database – custom-built on MySQL, PostgreSQL, or Oracle</w:t>
      </w:r>
    </w:p>
    <w:p>
      <w:pPr>
        <w:pStyle w:val="16"/>
        <w:numPr>
          <w:ilvl w:val="0"/>
          <w:numId w:val="1"/>
        </w:numPr>
        <w:spacing w:before="0" w:after="60" w:line="360" w:lineRule="auto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>Compliance &amp; fraud detection – Actimize, SAS Fraud Management</w:t>
      </w:r>
    </w:p>
    <w:p>
      <w:pPr>
        <w:spacing w:before="0" w:after="120"/>
      </w:pPr>
    </w:p>
    <w:p>
      <w:pPr>
        <w:pStyle w:val="3"/>
        <w:spacing w:before="240" w:after="80" w:line="360" w:lineRule="auto"/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/>
          <w:sz w:val="24"/>
          <w:szCs w:val="24"/>
        </w:rPr>
        <w:t>1.3  Chosen System: Custom Risk Management Database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>After evaluating the options above, the Custom Risk Management Database built on MySQL was selected as the most appropriate solution for this project.</w:t>
      </w:r>
    </w:p>
    <w:p>
      <w:pPr>
        <w:spacing w:before="0" w:after="120"/>
      </w:pPr>
    </w:p>
    <w:p>
      <w:pPr>
        <w:pStyle w:val="3"/>
        <w:spacing w:before="240" w:after="80" w:line="360" w:lineRule="auto"/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/>
          <w:sz w:val="24"/>
          <w:szCs w:val="24"/>
        </w:rPr>
        <w:t>1.4  Reasons for Choice</w:t>
      </w:r>
    </w:p>
    <w:p>
      <w:pPr>
        <w:pStyle w:val="16"/>
        <w:numPr>
          <w:ilvl w:val="0"/>
          <w:numId w:val="2"/>
        </w:numPr>
        <w:spacing w:before="0" w:after="60" w:line="360" w:lineRule="auto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>Cost-effective – MySQL is open-source with no licensing fees compared to Oracle or SQL Server.</w:t>
      </w:r>
    </w:p>
    <w:p>
      <w:pPr>
        <w:pStyle w:val="16"/>
        <w:numPr>
          <w:ilvl w:val="0"/>
          <w:numId w:val="2"/>
        </w:numPr>
        <w:spacing w:before="0" w:after="60" w:line="360" w:lineRule="auto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>ACID compliant – The InnoDB engine ensures transactional integrity for risk exposures.</w:t>
      </w:r>
    </w:p>
    <w:p>
      <w:pPr>
        <w:pStyle w:val="16"/>
        <w:numPr>
          <w:ilvl w:val="0"/>
          <w:numId w:val="2"/>
        </w:numPr>
        <w:spacing w:before="0" w:after="60" w:line="360" w:lineRule="auto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>Scalable – Supports partitioning, read replicas, and InnoDB Cluster for high availability.</w:t>
      </w:r>
    </w:p>
    <w:p>
      <w:pPr>
        <w:pStyle w:val="16"/>
        <w:numPr>
          <w:ilvl w:val="0"/>
          <w:numId w:val="2"/>
        </w:numPr>
        <w:spacing w:before="0" w:after="60" w:line="360" w:lineRule="auto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>Regulatory ready – Provides binary logging for audit trails, encryption for sensitive data, and role-based access control.</w:t>
      </w:r>
    </w:p>
    <w:p>
      <w:pPr>
        <w:pStyle w:val="16"/>
        <w:numPr>
          <w:ilvl w:val="0"/>
          <w:numId w:val="2"/>
        </w:numPr>
        <w:spacing w:before="0" w:after="60" w:line="360" w:lineRule="auto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>Flexible – Can store structured risk factors (exposures, Value-at-Risk) and semi-structured data.</w:t>
      </w:r>
    </w:p>
    <w:p>
      <w:pPr>
        <w:pStyle w:val="16"/>
        <w:numPr>
          <w:ilvl w:val="0"/>
          <w:numId w:val="2"/>
        </w:numPr>
        <w:spacing w:before="0" w:after="60" w:line="360" w:lineRule="auto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>Integration – Easily connects to ETL tools (Python, Talend) and BI dashboards (Tableau, Power BI).</w:t>
      </w:r>
    </w:p>
    <w:p>
      <w:pPr>
        <w:spacing w:before="0" w:after="120"/>
      </w:pPr>
    </w:p>
    <w:p>
      <w:pPr>
        <w:pStyle w:val="2"/>
        <w:spacing w:before="360" w:after="120" w:line="360" w:lineRule="auto"/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/>
          <w:sz w:val="28"/>
          <w:szCs w:val="28"/>
        </w:rPr>
        <w:t>2. Business Case for the Risk Management Database System</w:t>
      </w:r>
    </w:p>
    <w:p>
      <w:pPr>
        <w:pStyle w:val="3"/>
        <w:spacing w:before="240" w:after="80" w:line="360" w:lineRule="auto"/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/>
          <w:sz w:val="24"/>
          <w:szCs w:val="24"/>
        </w:rPr>
        <w:t>2.1  Application Domain</w:t>
      </w:r>
    </w:p>
    <w:p>
      <w:pPr>
        <w:spacing w:before="0" w:after="12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>The risk management database system is designed to support the full lifecycle of banking risk operations. The following tasks and operations are supported by the system</w:t>
      </w:r>
    </w:p>
    <w:p>
      <w:pPr>
        <w:spacing w:before="0" w:after="12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</w:pPr>
    </w:p>
    <w:p>
      <w:pPr>
        <w:spacing w:before="0" w:after="12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FFFFFF"/>
                <w:sz w:val="22"/>
                <w:szCs w:val="22"/>
              </w:rPr>
              <w:t>Task / Operation</w:t>
            </w:r>
          </w:p>
        </w:tc>
        <w:tc>
          <w:tcPr>
            <w:tcW w:w="451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FFFFFF"/>
                <w:sz w:val="22"/>
                <w:szCs w:val="22"/>
              </w:rPr>
              <w:t>Description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Daily VaR Calculation</w:t>
            </w:r>
          </w:p>
        </w:tc>
        <w:tc>
          <w:tcPr>
            <w:tcW w:w="451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Calculation of Value-at-Risk (VaR) per portfolio on a daily basis.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Counterparty Exposure</w:t>
            </w:r>
          </w:p>
        </w:tc>
        <w:tc>
          <w:tcPr>
            <w:tcW w:w="451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Tracking counterparty exposures and collateral coverage.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Operational Loss Recording</w:t>
            </w:r>
          </w:p>
        </w:tc>
        <w:tc>
          <w:tcPr>
            <w:tcW w:w="451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Recording operational loss events and linking them to risk controls.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Market Risk Factors</w:t>
            </w:r>
          </w:p>
        </w:tc>
        <w:tc>
          <w:tcPr>
            <w:tcW w:w="451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Storing market risk factors such as interest rates and asset prices.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Regulatory Reporting</w:t>
            </w:r>
          </w:p>
        </w:tc>
        <w:tc>
          <w:tcPr>
            <w:tcW w:w="451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Generating regulatory reports for compliance submissions.</w:t>
            </w:r>
          </w:p>
        </w:tc>
      </w:tr>
    </w:tbl>
    <w:p>
      <w:pPr>
        <w:spacing w:before="0" w:after="120"/>
      </w:pPr>
    </w:p>
    <w:p>
      <w:pPr>
        <w:pStyle w:val="3"/>
        <w:spacing w:before="240" w:after="80" w:line="360" w:lineRule="auto"/>
        <w:rPr>
          <w:rFonts w:ascii="Times New Roman" w:hAnsi="Times New Roman" w:eastAsia="Times New Roman" w:cs="Times New Roman"/>
          <w:b/>
          <w:bCs/>
          <w:i w:val="0"/>
          <w:iCs w:val="0"/>
          <w:color w:val="000000"/>
          <w:sz w:val="24"/>
          <w:szCs w:val="24"/>
        </w:rPr>
      </w:pPr>
    </w:p>
    <w:p>
      <w:pPr>
        <w:pStyle w:val="3"/>
        <w:spacing w:before="240" w:after="80" w:line="360" w:lineRule="auto"/>
        <w:rPr>
          <w:rFonts w:ascii="Times New Roman" w:hAnsi="Times New Roman" w:eastAsia="Times New Roman" w:cs="Times New Roman"/>
          <w:b/>
          <w:bCs/>
          <w:i w:val="0"/>
          <w:iCs w:val="0"/>
          <w:color w:val="000000"/>
          <w:sz w:val="24"/>
          <w:szCs w:val="24"/>
        </w:rPr>
      </w:pPr>
    </w:p>
    <w:p>
      <w:pPr>
        <w:pStyle w:val="3"/>
        <w:spacing w:before="240" w:after="80" w:line="360" w:lineRule="auto"/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/>
          <w:sz w:val="24"/>
          <w:szCs w:val="24"/>
        </w:rPr>
        <w:t>2.2  User Groups Served</w:t>
      </w:r>
    </w:p>
    <w:p>
      <w:pPr>
        <w:pStyle w:val="16"/>
        <w:numPr>
          <w:ilvl w:val="0"/>
          <w:numId w:val="1"/>
        </w:numPr>
        <w:spacing w:before="0" w:after="60" w:line="360" w:lineRule="auto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>Risk Analysts – run queries, monitor exposures, and validate VaR calculations.</w:t>
      </w:r>
    </w:p>
    <w:p>
      <w:pPr>
        <w:pStyle w:val="16"/>
        <w:numPr>
          <w:ilvl w:val="0"/>
          <w:numId w:val="1"/>
        </w:numPr>
        <w:spacing w:before="0" w:after="60" w:line="360" w:lineRule="auto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>Chief Risk Officer (CRO) – view dashboard summaries and approve risk limits.</w:t>
      </w:r>
    </w:p>
    <w:p>
      <w:pPr>
        <w:pStyle w:val="16"/>
        <w:numPr>
          <w:ilvl w:val="0"/>
          <w:numId w:val="1"/>
        </w:numPr>
        <w:spacing w:before="0" w:after="60" w:line="360" w:lineRule="auto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>Compliance Officers – audit data lineage and produce regulatory submissions.</w:t>
      </w:r>
    </w:p>
    <w:p>
      <w:pPr>
        <w:pStyle w:val="16"/>
        <w:numPr>
          <w:ilvl w:val="0"/>
          <w:numId w:val="1"/>
        </w:numPr>
        <w:spacing w:before="0" w:after="60" w:line="360" w:lineRule="auto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>Internal Audit – verify data integrity and access controls.</w:t>
      </w:r>
    </w:p>
    <w:p>
      <w:pPr>
        <w:spacing w:before="0" w:after="120"/>
      </w:pPr>
    </w:p>
    <w:p>
      <w:pPr>
        <w:pStyle w:val="3"/>
        <w:spacing w:before="240" w:after="80" w:line="360" w:lineRule="auto"/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/>
          <w:sz w:val="24"/>
          <w:szCs w:val="24"/>
        </w:rPr>
        <w:t>2.3  Assumptions</w:t>
      </w:r>
    </w:p>
    <w:p>
      <w:pPr>
        <w:pStyle w:val="16"/>
        <w:numPr>
          <w:ilvl w:val="0"/>
          <w:numId w:val="1"/>
        </w:numPr>
        <w:spacing w:before="0" w:after="60" w:line="360" w:lineRule="auto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>Daily data feeds from core banking, market data vendors (Bloomberg), and loan origination systems are available.</w:t>
      </w:r>
    </w:p>
    <w:p>
      <w:pPr>
        <w:pStyle w:val="16"/>
        <w:numPr>
          <w:ilvl w:val="0"/>
          <w:numId w:val="1"/>
        </w:numPr>
        <w:spacing w:before="0" w:after="60" w:line="360" w:lineRule="auto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>The bank has a data governance team in place to maintain data quality.</w:t>
      </w:r>
    </w:p>
    <w:p>
      <w:pPr>
        <w:pStyle w:val="16"/>
        <w:numPr>
          <w:ilvl w:val="0"/>
          <w:numId w:val="1"/>
        </w:numPr>
        <w:spacing w:before="0" w:after="60" w:line="360" w:lineRule="auto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>Existing spreadsheets or legacy risk databases are slow, error-prone, and not audit-ready, justifying migration to this new system.</w:t>
      </w:r>
    </w:p>
    <w:p>
      <w:pPr>
        <w:spacing w:before="0" w:after="120"/>
      </w:pPr>
    </w:p>
    <w:p>
      <w:pPr>
        <w:pStyle w:val="2"/>
        <w:spacing w:before="360" w:after="120" w:line="360" w:lineRule="auto"/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/>
          <w:sz w:val="28"/>
          <w:szCs w:val="28"/>
        </w:rPr>
        <w:t>3. Analysis of Benefits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>The following table summarises the key benefits delivered by the Custom Risk Management Database, categorised by type and tangibility.</w:t>
      </w:r>
    </w:p>
    <w:p>
      <w:pPr>
        <w:spacing w:before="0" w:after="120"/>
      </w:pPr>
    </w:p>
    <w:p>
      <w:pPr>
        <w:spacing w:before="0" w:after="120"/>
      </w:pPr>
    </w:p>
    <w:p>
      <w:pPr>
        <w:spacing w:before="0" w:after="120"/>
      </w:pPr>
    </w:p>
    <w:p>
      <w:pPr>
        <w:spacing w:before="0" w:after="120"/>
      </w:pPr>
    </w:p>
    <w:p>
      <w:pPr>
        <w:spacing w:before="0" w:after="120"/>
      </w:pPr>
    </w:p>
    <w:p>
      <w:pPr>
        <w:spacing w:before="0" w:after="120"/>
      </w:pPr>
    </w:p>
    <w:p>
      <w:pPr>
        <w:spacing w:before="0" w:after="120"/>
      </w:pPr>
    </w:p>
    <w:p>
      <w:pPr>
        <w:spacing w:before="0" w:after="120"/>
      </w:pPr>
    </w:p>
    <w:p>
      <w:pPr>
        <w:spacing w:before="0" w:after="120"/>
      </w:pPr>
    </w:p>
    <w:p>
      <w:pPr>
        <w:spacing w:before="0" w:after="12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06"/>
        <w:gridCol w:w="4320"/>
        <w:gridCol w:w="20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FFFFFF"/>
                <w:sz w:val="22"/>
                <w:szCs w:val="22"/>
              </w:rPr>
              <w:t>Benefit Type</w:t>
            </w:r>
          </w:p>
        </w:tc>
        <w:tc>
          <w:tcPr>
            <w:tcW w:w="43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FFFFFF"/>
                <w:sz w:val="22"/>
                <w:szCs w:val="22"/>
              </w:rPr>
              <w:t>Description</w:t>
            </w:r>
          </w:p>
        </w:tc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FFFFFF"/>
                <w:sz w:val="22"/>
                <w:szCs w:val="22"/>
              </w:rPr>
              <w:t>Tangible / Intangible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Regulatory Compliance</w:t>
            </w:r>
          </w:p>
        </w:tc>
        <w:tc>
          <w:tcPr>
            <w:tcW w:w="43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Meets BCBS 239 (risk data aggregation) and IFRS 9 requirements – avoids regulatory fines.</w:t>
            </w:r>
          </w:p>
        </w:tc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1A6B3A"/>
                <w:sz w:val="22"/>
                <w:szCs w:val="22"/>
              </w:rPr>
              <w:t>Tangible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Operational Efficiency</w:t>
            </w:r>
          </w:p>
        </w:tc>
        <w:tc>
          <w:tcPr>
            <w:tcW w:w="43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Reduces manual effort: risk reports generated in minutes instead of days.</w:t>
            </w:r>
          </w:p>
        </w:tc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1A6B3A"/>
                <w:sz w:val="22"/>
                <w:szCs w:val="22"/>
              </w:rPr>
              <w:t>Tangible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Lower IT Costs</w:t>
            </w:r>
          </w:p>
        </w:tc>
        <w:tc>
          <w:tcPr>
            <w:tcW w:w="43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Uses open-source MySQL instead of expensive proprietary databases, reducing software licensing expenditure.</w:t>
            </w:r>
          </w:p>
        </w:tc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1A6B3A"/>
                <w:sz w:val="22"/>
                <w:szCs w:val="22"/>
              </w:rPr>
              <w:t>Tangible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Better Risk Decisions</w:t>
            </w:r>
          </w:p>
        </w:tc>
        <w:tc>
          <w:tcPr>
            <w:tcW w:w="43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Real-time exposure views and stress testing capabilities help the bank avoid large financial losses.</w:t>
            </w:r>
          </w:p>
        </w:tc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7B3F00"/>
                <w:sz w:val="22"/>
                <w:szCs w:val="22"/>
              </w:rPr>
              <w:t>Intangible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Audit Readiness</w:t>
            </w:r>
          </w:p>
        </w:tc>
        <w:tc>
          <w:tcPr>
            <w:tcW w:w="43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Immutable audit logs and data lineage satisfy internal and external auditors, reducing audit fees and regulatory penalties.</w:t>
            </w:r>
          </w:p>
        </w:tc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1A6B3A"/>
                <w:sz w:val="22"/>
                <w:szCs w:val="22"/>
              </w:rPr>
              <w:t>Tangible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Competitive Advantage</w:t>
            </w:r>
          </w:p>
        </w:tc>
        <w:tc>
          <w:tcPr>
            <w:tcW w:w="43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Faster risk reporting enables quicker response to market changes, improving investor confidence and market positioning.</w:t>
            </w:r>
          </w:p>
        </w:tc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7B3F00"/>
                <w:sz w:val="22"/>
                <w:szCs w:val="22"/>
              </w:rPr>
              <w:t>Intangible</w:t>
            </w:r>
          </w:p>
        </w:tc>
      </w:tr>
    </w:tbl>
    <w:p>
      <w:pPr>
        <w:spacing w:before="0" w:after="120"/>
      </w:pPr>
    </w:p>
    <w:p>
      <w:pPr>
        <w:pStyle w:val="2"/>
        <w:spacing w:before="360" w:after="120" w:line="360" w:lineRule="auto"/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/>
          <w:sz w:val="28"/>
          <w:szCs w:val="28"/>
        </w:rPr>
        <w:t>4. Analysis of Costs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>The following table outlines the costs associated with implementing and maintaining the Custom Risk Management Database.</w:t>
      </w:r>
    </w:p>
    <w:p>
      <w:pPr>
        <w:spacing w:before="0" w:after="120"/>
      </w:pPr>
    </w:p>
    <w:p>
      <w:pPr>
        <w:spacing w:before="0" w:after="12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58"/>
        <w:gridCol w:w="3647"/>
        <w:gridCol w:w="1592"/>
        <w:gridCol w:w="162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FFFFFF"/>
                <w:sz w:val="22"/>
                <w:szCs w:val="22"/>
              </w:rPr>
              <w:t>Cost Type</w:t>
            </w:r>
          </w:p>
        </w:tc>
        <w:tc>
          <w:tcPr>
            <w:tcW w:w="38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FFFFFF"/>
                <w:sz w:val="22"/>
                <w:szCs w:val="22"/>
              </w:rPr>
              <w:t>Description</w:t>
            </w:r>
          </w:p>
        </w:tc>
        <w:tc>
          <w:tcPr>
            <w:tcW w:w="1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FFFFFF"/>
                <w:sz w:val="22"/>
                <w:szCs w:val="22"/>
              </w:rPr>
              <w:t>Tangible / Intangible</w:t>
            </w:r>
          </w:p>
        </w:tc>
        <w:tc>
          <w:tcPr>
            <w:tcW w:w="1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FFFFFF"/>
                <w:sz w:val="22"/>
                <w:szCs w:val="22"/>
              </w:rPr>
              <w:t>Est. Amount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Hardware / Cloud</w:t>
            </w:r>
          </w:p>
        </w:tc>
        <w:tc>
          <w:tcPr>
            <w:tcW w:w="38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MySQL server (on-premise or cloud VM): 4-core, 16GB RAM, 500GB SSD.</w:t>
            </w:r>
          </w:p>
        </w:tc>
        <w:tc>
          <w:tcPr>
            <w:tcW w:w="1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1A6B3A"/>
                <w:sz w:val="22"/>
                <w:szCs w:val="22"/>
              </w:rPr>
              <w:t>Tangible</w:t>
            </w:r>
          </w:p>
        </w:tc>
        <w:tc>
          <w:tcPr>
            <w:tcW w:w="1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~$200/mo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Software</w:t>
            </w:r>
          </w:p>
        </w:tc>
        <w:tc>
          <w:tcPr>
            <w:tcW w:w="38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MySQL Community Edition (free). Optional MySQL Enterprise Backup for automated backups.</w:t>
            </w:r>
          </w:p>
        </w:tc>
        <w:tc>
          <w:tcPr>
            <w:tcW w:w="1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1A6B3A"/>
                <w:sz w:val="22"/>
                <w:szCs w:val="22"/>
              </w:rPr>
              <w:t>Tangible</w:t>
            </w:r>
          </w:p>
        </w:tc>
        <w:tc>
          <w:tcPr>
            <w:tcW w:w="1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Low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Development</w:t>
            </w:r>
          </w:p>
        </w:tc>
        <w:tc>
          <w:tcPr>
            <w:tcW w:w="38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2 database developers over 2 months: schema design, ETL scripts, and stored procedures.</w:t>
            </w:r>
          </w:p>
        </w:tc>
        <w:tc>
          <w:tcPr>
            <w:tcW w:w="1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1A6B3A"/>
                <w:sz w:val="22"/>
                <w:szCs w:val="22"/>
              </w:rPr>
              <w:t>Tangible</w:t>
            </w:r>
          </w:p>
        </w:tc>
        <w:tc>
          <w:tcPr>
            <w:tcW w:w="1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~$20,000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Training</w:t>
            </w:r>
          </w:p>
        </w:tc>
        <w:tc>
          <w:tcPr>
            <w:tcW w:w="38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Risk analysts and IT staff trained on SQL and database management tools.</w:t>
            </w:r>
          </w:p>
        </w:tc>
        <w:tc>
          <w:tcPr>
            <w:tcW w:w="1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1A6B3A"/>
                <w:sz w:val="22"/>
                <w:szCs w:val="22"/>
              </w:rPr>
              <w:t>Tangible</w:t>
            </w:r>
          </w:p>
        </w:tc>
        <w:tc>
          <w:tcPr>
            <w:tcW w:w="1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~$3,000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Maintenance</w:t>
            </w:r>
          </w:p>
        </w:tc>
        <w:tc>
          <w:tcPr>
            <w:tcW w:w="38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DBA support (0.5 FTE), backups, monitoring, and patch management.</w:t>
            </w:r>
          </w:p>
        </w:tc>
        <w:tc>
          <w:tcPr>
            <w:tcW w:w="1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1A6B3A"/>
                <w:sz w:val="22"/>
                <w:szCs w:val="22"/>
              </w:rPr>
              <w:t>Tangible</w:t>
            </w:r>
          </w:p>
        </w:tc>
        <w:tc>
          <w:tcPr>
            <w:tcW w:w="1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~$30,000/yr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Migration Risk</w:t>
            </w:r>
          </w:p>
        </w:tc>
        <w:tc>
          <w:tcPr>
            <w:tcW w:w="38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Potential data quality issues or downtime during cutover. Mitigated by parallel run strategy.</w:t>
            </w:r>
          </w:p>
        </w:tc>
        <w:tc>
          <w:tcPr>
            <w:tcW w:w="1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7B3F00"/>
                <w:sz w:val="22"/>
                <w:szCs w:val="22"/>
              </w:rPr>
              <w:t>Intangible</w:t>
            </w:r>
          </w:p>
        </w:tc>
        <w:tc>
          <w:tcPr>
            <w:tcW w:w="1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Low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Change Management</w:t>
            </w:r>
          </w:p>
        </w:tc>
        <w:tc>
          <w:tcPr>
            <w:tcW w:w="38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Staff resistance to new system. Addressed through structured training and staff involvement in the design process.</w:t>
            </w:r>
          </w:p>
        </w:tc>
        <w:tc>
          <w:tcPr>
            <w:tcW w:w="1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7B3F00"/>
                <w:sz w:val="22"/>
                <w:szCs w:val="22"/>
              </w:rPr>
              <w:t>Intangible</w:t>
            </w:r>
          </w:p>
        </w:tc>
        <w:tc>
          <w:tcPr>
            <w:tcW w:w="1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Low</w:t>
            </w:r>
          </w:p>
        </w:tc>
      </w:tr>
    </w:tbl>
    <w:p>
      <w:pPr>
        <w:spacing w:before="0" w:after="120"/>
      </w:pPr>
    </w:p>
    <w:p>
      <w:pPr>
        <w:pStyle w:val="2"/>
        <w:spacing w:before="360" w:after="120" w:line="360" w:lineRule="auto"/>
        <w:rPr>
          <w:rFonts w:ascii="Times New Roman" w:hAnsi="Times New Roman" w:eastAsia="Times New Roman" w:cs="Times New Roman"/>
          <w:b/>
          <w:bCs/>
          <w:i w:val="0"/>
          <w:iCs w:val="0"/>
          <w:color w:val="000000"/>
          <w:sz w:val="28"/>
          <w:szCs w:val="28"/>
        </w:rPr>
      </w:pPr>
    </w:p>
    <w:p>
      <w:pPr>
        <w:pStyle w:val="2"/>
        <w:spacing w:before="360" w:after="120" w:line="360" w:lineRule="auto"/>
        <w:rPr>
          <w:rFonts w:ascii="Times New Roman" w:hAnsi="Times New Roman" w:eastAsia="Times New Roman" w:cs="Times New Roman"/>
          <w:b/>
          <w:bCs/>
          <w:i w:val="0"/>
          <w:iCs w:val="0"/>
          <w:color w:val="000000"/>
          <w:sz w:val="28"/>
          <w:szCs w:val="28"/>
        </w:rPr>
      </w:pPr>
    </w:p>
    <w:p>
      <w:pPr>
        <w:pStyle w:val="2"/>
        <w:spacing w:before="360" w:after="120" w:line="360" w:lineRule="auto"/>
      </w:pPr>
      <w:bookmarkStart w:id="0" w:name="_GoBack"/>
      <w:bookmarkEnd w:id="0"/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/>
          <w:sz w:val="28"/>
          <w:szCs w:val="28"/>
        </w:rPr>
        <w:t>5. Feasibility Summary</w:t>
      </w:r>
    </w:p>
    <w:p>
      <w:pPr>
        <w:pStyle w:val="3"/>
        <w:spacing w:before="240" w:after="80" w:line="360" w:lineRule="auto"/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/>
          <w:sz w:val="24"/>
          <w:szCs w:val="24"/>
        </w:rPr>
        <w:t>5.1  Tangible Benefits (Annual)</w:t>
      </w:r>
    </w:p>
    <w:p>
      <w:pPr>
        <w:pStyle w:val="16"/>
        <w:numPr>
          <w:ilvl w:val="0"/>
          <w:numId w:val="1"/>
        </w:numPr>
        <w:spacing w:before="0" w:after="60" w:line="360" w:lineRule="auto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>Avoided regulatory fines through BCBS 239 and IFRS 9 compliance.</w:t>
      </w:r>
    </w:p>
    <w:p>
      <w:pPr>
        <w:pStyle w:val="16"/>
        <w:numPr>
          <w:ilvl w:val="0"/>
          <w:numId w:val="1"/>
        </w:numPr>
        <w:spacing w:before="0" w:after="60" w:line="360" w:lineRule="auto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>Significant analyst time saved through automated reporting.</w:t>
      </w:r>
    </w:p>
    <w:p>
      <w:pPr>
        <w:pStyle w:val="16"/>
        <w:numPr>
          <w:ilvl w:val="0"/>
          <w:numId w:val="1"/>
        </w:numPr>
        <w:spacing w:before="0" w:after="60" w:line="360" w:lineRule="auto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>Licensing savings from adopting open-source MySQL.</w:t>
      </w:r>
    </w:p>
    <w:p>
      <w:pPr>
        <w:pStyle w:val="16"/>
        <w:numPr>
          <w:ilvl w:val="0"/>
          <w:numId w:val="1"/>
        </w:numPr>
        <w:spacing w:before="0" w:after="60" w:line="360" w:lineRule="auto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>Reduced audit fees through immutable audit logs and data lineage tracking.</w:t>
      </w:r>
    </w:p>
    <w:p>
      <w:pPr>
        <w:spacing w:before="0" w:after="120"/>
      </w:pPr>
    </w:p>
    <w:p>
      <w:pPr>
        <w:pStyle w:val="3"/>
        <w:spacing w:before="240" w:after="80" w:line="360" w:lineRule="auto"/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/>
          <w:sz w:val="24"/>
          <w:szCs w:val="24"/>
        </w:rPr>
        <w:t>5.2  Overall Assessment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>The system is highly economically feasible. The tangible benefits — including avoided regulatory fines, operational savings, and reduced IT licensing costs — far exceed the one-time development and ongoing maintenance costs. Intangible benefits such as better risk decisions and improved audit readiness further strengthen the business case and provide long-term strategic value to the organisation.</w:t>
      </w:r>
    </w:p>
    <w:p>
      <w:pPr>
        <w:spacing w:before="0" w:after="120"/>
      </w:pPr>
    </w:p>
    <w:p>
      <w:pPr>
        <w:spacing w:before="0" w:after="12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>In conclusion, the Custom Risk Management Database on MySQL represents a cost-effective, scalable, and regulatory-compliant solution that addresses the core risk management needs of the banking organisation, with a strong return on investment expected within the first year of full operation.</w:t>
      </w:r>
    </w:p>
    <w:p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br w:type="page"/>
      </w:r>
    </w:p>
    <w:p>
      <w:pPr>
        <w:spacing w:before="0" w:after="120" w:line="360" w:lineRule="auto"/>
        <w:jc w:val="both"/>
        <w:rPr>
          <w:rFonts w:hint="default" w:cs="Times New Roman"/>
          <w:b/>
          <w:bCs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cs="Times New Roman"/>
          <w:b/>
          <w:bCs/>
          <w:i w:val="0"/>
          <w:iCs w:val="0"/>
          <w:color w:val="000000"/>
          <w:sz w:val="24"/>
          <w:szCs w:val="24"/>
          <w:lang w:val="en-US"/>
        </w:rPr>
        <w:t>Description for the tables in the database</w:t>
      </w:r>
    </w:p>
    <w:p>
      <w:pPr>
        <w:spacing w:before="0" w:after="120" w:line="360" w:lineRule="auto"/>
        <w:jc w:val="both"/>
        <w:rPr>
          <w:rFonts w:hint="default" w:cs="Times New Roman"/>
          <w:b/>
          <w:bCs/>
          <w:i w:val="0"/>
          <w:iCs w:val="0"/>
          <w:color w:val="000000"/>
          <w:sz w:val="24"/>
          <w:szCs w:val="24"/>
          <w:lang w:val="en-US"/>
        </w:rPr>
      </w:pPr>
    </w:p>
    <w:p>
      <w:pPr>
        <w:spacing w:before="0" w:after="120" w:line="360" w:lineRule="auto"/>
        <w:jc w:val="both"/>
        <w:rPr>
          <w:rFonts w:hint="default" w:cs="Times New Roman"/>
          <w:b/>
          <w:bCs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cs="Times New Roman"/>
          <w:b/>
          <w:bCs/>
          <w:i w:val="0"/>
          <w:iCs w:val="0"/>
          <w:color w:val="000000"/>
          <w:sz w:val="24"/>
          <w:szCs w:val="24"/>
          <w:lang w:val="en-US"/>
        </w:rPr>
        <w:drawing>
          <wp:inline distT="0" distB="0" distL="114300" distR="114300">
            <wp:extent cx="5711825" cy="2258695"/>
            <wp:effectExtent l="0" t="0" r="3175" b="8255"/>
            <wp:docPr id="2" name="Picture 2" descr="Screenshot_20260505-0900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_20260505-090056"/>
                    <pic:cNvPicPr>
                      <a:picLocks noChangeAspect="1"/>
                    </pic:cNvPicPr>
                  </pic:nvPicPr>
                  <pic:blipFill>
                    <a:blip r:embed="rId6"/>
                    <a:srcRect t="42181"/>
                    <a:stretch>
                      <a:fillRect/>
                    </a:stretch>
                  </pic:blipFill>
                  <pic:spPr>
                    <a:xfrm>
                      <a:off x="0" y="0"/>
                      <a:ext cx="5711825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 w:line="360" w:lineRule="auto"/>
        <w:jc w:val="both"/>
        <w:rPr>
          <w:rFonts w:hint="default" w:cs="Times New Roman"/>
          <w:b/>
          <w:bCs/>
          <w:i w:val="0"/>
          <w:iCs w:val="0"/>
          <w:color w:val="000000"/>
          <w:sz w:val="24"/>
          <w:szCs w:val="24"/>
          <w:lang w:val="en-US"/>
        </w:rPr>
      </w:pPr>
    </w:p>
    <w:p>
      <w:pPr>
        <w:spacing w:before="0" w:after="120" w:line="360" w:lineRule="auto"/>
        <w:jc w:val="both"/>
        <w:rPr>
          <w:rFonts w:hint="default" w:cs="Times New Roman"/>
          <w:b/>
          <w:bCs/>
          <w:i w:val="0"/>
          <w:iCs w:val="0"/>
          <w:color w:val="000000"/>
          <w:sz w:val="24"/>
          <w:szCs w:val="24"/>
          <w:lang w:val="en-US"/>
        </w:rPr>
      </w:pPr>
    </w:p>
    <w:p>
      <w:pPr>
        <w:spacing w:before="0" w:after="120" w:line="360" w:lineRule="auto"/>
        <w:jc w:val="both"/>
        <w:rPr>
          <w:rFonts w:hint="default" w:cs="Times New Roman"/>
          <w:b/>
          <w:bCs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cs="Times New Roman"/>
          <w:b/>
          <w:bCs/>
          <w:i w:val="0"/>
          <w:iCs w:val="0"/>
          <w:color w:val="000000"/>
          <w:sz w:val="24"/>
          <w:szCs w:val="24"/>
          <w:lang w:val="en-US"/>
        </w:rPr>
        <w:drawing>
          <wp:inline distT="0" distB="0" distL="114300" distR="114300">
            <wp:extent cx="5826125" cy="2400300"/>
            <wp:effectExtent l="0" t="0" r="3175" b="0"/>
            <wp:docPr id="3" name="Picture 3" descr="Screenshot_20260505-090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_20260505-090031"/>
                    <pic:cNvPicPr>
                      <a:picLocks noChangeAspect="1"/>
                    </pic:cNvPicPr>
                  </pic:nvPicPr>
                  <pic:blipFill>
                    <a:blip r:embed="rId7"/>
                    <a:srcRect t="19010" b="30627"/>
                    <a:stretch>
                      <a:fillRect/>
                    </a:stretch>
                  </pic:blipFill>
                  <pic:spPr>
                    <a:xfrm>
                      <a:off x="0" y="0"/>
                      <a:ext cx="582612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 w:line="360" w:lineRule="auto"/>
        <w:jc w:val="both"/>
        <w:rPr>
          <w:rFonts w:hint="default" w:cs="Times New Roman"/>
          <w:b/>
          <w:bCs/>
          <w:i w:val="0"/>
          <w:iCs w:val="0"/>
          <w:color w:val="000000"/>
          <w:sz w:val="24"/>
          <w:szCs w:val="24"/>
          <w:lang w:val="en-US"/>
        </w:rPr>
      </w:pPr>
    </w:p>
    <w:p>
      <w:pPr>
        <w:spacing w:before="0" w:after="120" w:line="360" w:lineRule="auto"/>
        <w:jc w:val="both"/>
        <w:rPr>
          <w:rFonts w:hint="default" w:cs="Times New Roman"/>
          <w:b/>
          <w:bCs/>
          <w:i w:val="0"/>
          <w:iCs w:val="0"/>
          <w:color w:val="000000"/>
          <w:sz w:val="24"/>
          <w:szCs w:val="24"/>
          <w:lang w:val="en-US"/>
        </w:rPr>
      </w:pPr>
    </w:p>
    <w:p>
      <w:pPr>
        <w:spacing w:before="0" w:after="120" w:line="360" w:lineRule="auto"/>
        <w:jc w:val="both"/>
        <w:rPr>
          <w:rFonts w:hint="default" w:cs="Times New Roman"/>
          <w:b/>
          <w:bCs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cs="Times New Roman"/>
          <w:b/>
          <w:bCs/>
          <w:i w:val="0"/>
          <w:iCs w:val="0"/>
          <w:color w:val="000000"/>
          <w:sz w:val="24"/>
          <w:szCs w:val="24"/>
          <w:lang w:val="en-US"/>
        </w:rPr>
        <w:drawing>
          <wp:inline distT="0" distB="0" distL="114300" distR="114300">
            <wp:extent cx="5711825" cy="2742565"/>
            <wp:effectExtent l="0" t="0" r="3175" b="635"/>
            <wp:docPr id="4" name="Picture 4" descr="Screenshot_20260505-090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_20260505-090036"/>
                    <pic:cNvPicPr>
                      <a:picLocks noChangeAspect="1"/>
                    </pic:cNvPicPr>
                  </pic:nvPicPr>
                  <pic:blipFill>
                    <a:blip r:embed="rId8"/>
                    <a:srcRect t="26402" b="20418"/>
                    <a:stretch>
                      <a:fillRect/>
                    </a:stretch>
                  </pic:blipFill>
                  <pic:spPr>
                    <a:xfrm>
                      <a:off x="0" y="0"/>
                      <a:ext cx="5711825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 w:line="360" w:lineRule="auto"/>
        <w:jc w:val="both"/>
        <w:rPr>
          <w:rFonts w:hint="default" w:cs="Times New Roman"/>
          <w:b/>
          <w:bCs/>
          <w:i w:val="0"/>
          <w:iCs w:val="0"/>
          <w:color w:val="000000"/>
          <w:sz w:val="24"/>
          <w:szCs w:val="24"/>
          <w:lang w:val="en-US"/>
        </w:rPr>
      </w:pPr>
    </w:p>
    <w:p>
      <w:pPr>
        <w:spacing w:before="0" w:after="120" w:line="360" w:lineRule="auto"/>
        <w:jc w:val="both"/>
        <w:rPr>
          <w:rFonts w:hint="default" w:cs="Times New Roman"/>
          <w:b/>
          <w:bCs/>
          <w:i w:val="0"/>
          <w:iCs w:val="0"/>
          <w:color w:val="000000"/>
          <w:sz w:val="24"/>
          <w:szCs w:val="24"/>
          <w:lang w:val="en-US"/>
        </w:rPr>
      </w:pPr>
    </w:p>
    <w:p>
      <w:pPr>
        <w:spacing w:before="0" w:after="120" w:line="360" w:lineRule="auto"/>
        <w:jc w:val="both"/>
        <w:rPr>
          <w:rFonts w:hint="default" w:cs="Times New Roman"/>
          <w:b/>
          <w:bCs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cs="Times New Roman"/>
          <w:b/>
          <w:bCs/>
          <w:i w:val="0"/>
          <w:iCs w:val="0"/>
          <w:color w:val="000000"/>
          <w:sz w:val="24"/>
          <w:szCs w:val="24"/>
          <w:lang w:val="en-US"/>
        </w:rPr>
        <w:drawing>
          <wp:inline distT="0" distB="0" distL="114300" distR="114300">
            <wp:extent cx="6007100" cy="2908935"/>
            <wp:effectExtent l="0" t="0" r="12700" b="5715"/>
            <wp:docPr id="5" name="Picture 5" descr="Screenshot_20260505-090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_20260505-090040"/>
                    <pic:cNvPicPr>
                      <a:picLocks noChangeAspect="1"/>
                    </pic:cNvPicPr>
                  </pic:nvPicPr>
                  <pic:blipFill>
                    <a:blip r:embed="rId9"/>
                    <a:srcRect t="23938" b="17602"/>
                    <a:stretch>
                      <a:fillRect/>
                    </a:stretch>
                  </pic:blipFill>
                  <pic:spPr>
                    <a:xfrm>
                      <a:off x="0" y="0"/>
                      <a:ext cx="600710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 w:line="360" w:lineRule="auto"/>
        <w:jc w:val="both"/>
        <w:rPr>
          <w:rFonts w:hint="default" w:cs="Times New Roman"/>
          <w:b/>
          <w:bCs/>
          <w:i w:val="0"/>
          <w:iCs w:val="0"/>
          <w:color w:val="000000"/>
          <w:sz w:val="24"/>
          <w:szCs w:val="24"/>
          <w:lang w:val="en-US"/>
        </w:rPr>
      </w:pPr>
    </w:p>
    <w:p>
      <w:pPr>
        <w:spacing w:before="0" w:after="120" w:line="360" w:lineRule="auto"/>
        <w:jc w:val="both"/>
        <w:rPr>
          <w:rFonts w:hint="default" w:cs="Times New Roman"/>
          <w:b/>
          <w:bCs/>
          <w:i w:val="0"/>
          <w:iCs w:val="0"/>
          <w:color w:val="000000"/>
          <w:sz w:val="24"/>
          <w:szCs w:val="24"/>
          <w:lang w:val="en-US"/>
        </w:rPr>
      </w:pPr>
    </w:p>
    <w:p>
      <w:pPr>
        <w:spacing w:before="0" w:after="120" w:line="360" w:lineRule="auto"/>
        <w:jc w:val="both"/>
        <w:rPr>
          <w:rFonts w:hint="default" w:cs="Times New Roman"/>
          <w:b/>
          <w:bCs/>
          <w:i w:val="0"/>
          <w:iCs w:val="0"/>
          <w:color w:val="000000"/>
          <w:sz w:val="24"/>
          <w:szCs w:val="24"/>
          <w:lang w:val="en-US"/>
        </w:rPr>
      </w:pPr>
    </w:p>
    <w:p>
      <w:pPr>
        <w:spacing w:before="0" w:after="120" w:line="360" w:lineRule="auto"/>
        <w:jc w:val="both"/>
        <w:rPr>
          <w:rFonts w:hint="default" w:cs="Times New Roman"/>
          <w:b/>
          <w:bCs/>
          <w:i w:val="0"/>
          <w:iCs w:val="0"/>
          <w:color w:val="000000"/>
          <w:sz w:val="24"/>
          <w:szCs w:val="24"/>
          <w:lang w:val="en-US"/>
        </w:rPr>
      </w:pPr>
    </w:p>
    <w:p>
      <w:pPr>
        <w:spacing w:before="0" w:after="120" w:line="360" w:lineRule="auto"/>
        <w:jc w:val="both"/>
        <w:rPr>
          <w:rFonts w:hint="default" w:cs="Times New Roman"/>
          <w:b/>
          <w:bCs/>
          <w:i w:val="0"/>
          <w:iCs w:val="0"/>
          <w:color w:val="000000"/>
          <w:sz w:val="24"/>
          <w:szCs w:val="24"/>
          <w:lang w:val="en-US"/>
        </w:rPr>
      </w:pPr>
    </w:p>
    <w:p>
      <w:pPr>
        <w:spacing w:before="0" w:after="120" w:line="360" w:lineRule="auto"/>
        <w:jc w:val="both"/>
        <w:rPr>
          <w:rFonts w:hint="default" w:cs="Times New Roman"/>
          <w:b/>
          <w:bCs/>
          <w:i w:val="0"/>
          <w:iCs w:val="0"/>
          <w:color w:val="000000"/>
          <w:sz w:val="24"/>
          <w:szCs w:val="24"/>
          <w:lang w:val="en-US"/>
        </w:rPr>
      </w:pPr>
    </w:p>
    <w:p>
      <w:pPr>
        <w:spacing w:before="0" w:after="120" w:line="360" w:lineRule="auto"/>
        <w:jc w:val="both"/>
        <w:rPr>
          <w:rFonts w:hint="default" w:cs="Times New Roman"/>
          <w:b/>
          <w:bCs/>
          <w:i w:val="0"/>
          <w:iCs w:val="0"/>
          <w:color w:val="000000"/>
          <w:sz w:val="24"/>
          <w:szCs w:val="24"/>
          <w:lang w:val="en-US"/>
        </w:rPr>
      </w:pPr>
    </w:p>
    <w:p>
      <w:pPr>
        <w:spacing w:before="0" w:after="120" w:line="360" w:lineRule="auto"/>
        <w:jc w:val="both"/>
        <w:rPr>
          <w:rFonts w:hint="default" w:cs="Times New Roman"/>
          <w:b/>
          <w:bCs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cs="Times New Roman"/>
          <w:b/>
          <w:bCs/>
          <w:i w:val="0"/>
          <w:iCs w:val="0"/>
          <w:color w:val="000000"/>
          <w:sz w:val="24"/>
          <w:szCs w:val="24"/>
          <w:lang w:val="en-US"/>
        </w:rPr>
        <w:t>ER  DIAGRAM</w:t>
      </w:r>
    </w:p>
    <w:p>
      <w:pPr>
        <w:spacing w:before="0" w:after="120" w:line="360" w:lineRule="auto"/>
        <w:jc w:val="both"/>
        <w:rPr>
          <w:rFonts w:hint="default" w:cs="Times New Roman"/>
          <w:b/>
          <w:bCs/>
          <w:i w:val="0"/>
          <w:iCs w:val="0"/>
          <w:color w:val="000000"/>
          <w:sz w:val="24"/>
          <w:szCs w:val="24"/>
          <w:lang w:val="en-US"/>
        </w:rPr>
      </w:pPr>
    </w:p>
    <w:p>
      <w:pPr>
        <w:spacing w:before="0" w:after="120" w:line="360" w:lineRule="auto"/>
        <w:jc w:val="both"/>
        <w:rPr>
          <w:rFonts w:hint="default" w:cs="Times New Roman"/>
          <w:b/>
          <w:bCs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cs="Times New Roman"/>
          <w:b/>
          <w:bCs/>
          <w:i w:val="0"/>
          <w:iCs w:val="0"/>
          <w:color w:val="000000"/>
          <w:sz w:val="24"/>
          <w:szCs w:val="24"/>
          <w:lang w:val="en-US"/>
        </w:rPr>
        <w:drawing>
          <wp:inline distT="0" distB="0" distL="114300" distR="114300">
            <wp:extent cx="5919470" cy="6910705"/>
            <wp:effectExtent l="0" t="0" r="5080" b="4445"/>
            <wp:docPr id="1" name="Picture 1" descr="deepseek_mermaid_20260505_9233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epseek_mermaid_20260505_92336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19470" cy="691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 w:line="360" w:lineRule="auto"/>
        <w:jc w:val="both"/>
        <w:rPr>
          <w:rFonts w:hint="default" w:cs="Times New Roman"/>
          <w:b/>
          <w:bCs/>
          <w:i w:val="0"/>
          <w:iCs w:val="0"/>
          <w:color w:val="000000"/>
          <w:sz w:val="24"/>
          <w:szCs w:val="24"/>
          <w:lang w:val="en-US"/>
        </w:rPr>
      </w:pP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DejaVu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single" w:color="2E4057" w:sz="4" w:space="1"/>
      </w:pBdr>
      <w:spacing w:before="100" w:after="0"/>
      <w:jc w:val="right"/>
    </w:pPr>
    <w:r>
      <w:rPr>
        <w:rFonts w:ascii="Times New Roman" w:hAnsi="Times New Roman" w:eastAsia="Times New Roman" w:cs="Times New Roman"/>
        <w:b w:val="0"/>
        <w:bCs w:val="0"/>
        <w:i w:val="0"/>
        <w:iCs w:val="0"/>
        <w:color w:val="666666"/>
        <w:sz w:val="18"/>
        <w:szCs w:val="18"/>
      </w:rPr>
      <w:t xml:space="preserve">Page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single" w:color="2E4057" w:sz="4" w:space="1"/>
      </w:pBdr>
      <w:spacing w:before="0" w:after="100"/>
    </w:pPr>
    <w:r>
      <w:rPr>
        <w:rFonts w:ascii="Times New Roman" w:hAnsi="Times New Roman" w:eastAsia="Times New Roman" w:cs="Times New Roman"/>
        <w:b w:val="0"/>
        <w:bCs w:val="0"/>
        <w:i/>
        <w:iCs/>
        <w:color w:val="666666"/>
        <w:sz w:val="18"/>
        <w:szCs w:val="18"/>
      </w:rPr>
      <w:t>Banking Management System — DBMS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FE65D62"/>
    <w:multiLevelType w:val="singleLevel"/>
    <w:tmpl w:val="5FE65D62"/>
    <w:lvl w:ilvl="0" w:tentative="0">
      <w:start w:val="1"/>
      <w:numFmt w:val="bullet"/>
      <w:lvlText w:val="·"/>
      <w:lvlJc w:val="left"/>
      <w:pPr>
        <w:ind w:left="720" w:hanging="360"/>
      </w:pPr>
    </w:lvl>
  </w:abstractNum>
  <w:abstractNum w:abstractNumId="1">
    <w:nsid w:val="7FFF5BF5"/>
    <w:multiLevelType w:val="singleLevel"/>
    <w:tmpl w:val="7FFF5BF5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2D13013A"/>
    <w:rsid w:val="4FFDEB40"/>
    <w:rsid w:val="5FFC59B8"/>
    <w:rsid w:val="B4174D19"/>
    <w:rsid w:val="FFFB5820"/>
    <w:rsid w:val="FFFF2DC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</w:rPr>
  </w:style>
  <w:style w:type="paragraph" w:styleId="2">
    <w:name w:val="heading 1"/>
    <w:next w:val="1"/>
    <w:qFormat/>
    <w:uiPriority w:val="0"/>
    <w:pPr>
      <w:spacing w:before="360" w:after="120" w:line="360" w:lineRule="auto"/>
      <w:outlineLvl w:val="0"/>
    </w:pPr>
    <w:rPr>
      <w:rFonts w:ascii="Times New Roman" w:hAnsi="Times New Roman" w:eastAsia="Times New Roman" w:cs="Times New Roman"/>
      <w:b/>
      <w:bCs/>
      <w:color w:val="1A1A2E"/>
      <w:sz w:val="28"/>
      <w:szCs w:val="28"/>
    </w:rPr>
  </w:style>
  <w:style w:type="paragraph" w:styleId="3">
    <w:name w:val="heading 2"/>
    <w:next w:val="1"/>
    <w:qFormat/>
    <w:uiPriority w:val="0"/>
    <w:pPr>
      <w:spacing w:before="240" w:after="80" w:line="360" w:lineRule="auto"/>
      <w:outlineLvl w:val="1"/>
    </w:pPr>
    <w:rPr>
      <w:rFonts w:ascii="Times New Roman" w:hAnsi="Times New Roman" w:eastAsia="Times New Roman" w:cs="Times New Roman"/>
      <w:b/>
      <w:bCs/>
      <w:color w:val="2E4057"/>
      <w:sz w:val="24"/>
      <w:szCs w:val="24"/>
    </w:rPr>
  </w:style>
  <w:style w:type="paragraph" w:styleId="4">
    <w:name w:val="heading 3"/>
    <w:next w:val="1"/>
    <w:qFormat/>
    <w:uiPriority w:val="0"/>
    <w:rPr>
      <w:rFonts w:ascii="Times New Roman" w:hAnsi="Times New Roman" w:eastAsia="Times New Roman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Times New Roman" w:cs="Times New Roman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Times New Roman" w:hAnsi="Times New Roman" w:eastAsia="Times New Roman" w:cs="Times New Roman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Times New Roman" w:hAnsi="Times New Roman" w:eastAsia="Times New Roman" w:cs="Times New Roman"/>
      <w:color w:val="1F4D78"/>
      <w:sz w:val="24"/>
      <w:szCs w:val="24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Times New Roman" w:hAnsi="Times New Roman" w:eastAsia="Times New Roman" w:cs="Times New Roman"/>
      <w:sz w:val="56"/>
      <w:szCs w:val="56"/>
    </w:rPr>
  </w:style>
  <w:style w:type="paragraph" w:styleId="16">
    <w:name w:val="List Paragraph"/>
    <w:qFormat/>
    <w:uiPriority w:val="0"/>
    <w:rPr>
      <w:rFonts w:ascii="Times New Roman" w:hAnsi="Times New Roman" w:eastAsia="Times New Roman" w:cs="Times New Roman"/>
      <w:sz w:val="24"/>
      <w:szCs w:val="24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10</TotalTime>
  <ScaleCrop>false</ScaleCrop>
  <LinksUpToDate>false</LinksUpToDate>
  <Application>WPS Office_11.1.0.11723_F1E327BC-269C-435d-A152-05C5408002CA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1900-01-00T00:00:00Z</dcterms:created>
  <dc:creator>Un-named</dc:creator>
  <cp:lastModifiedBy>stephen</cp:lastModifiedBy>
  <dcterms:modified xsi:type="dcterms:W3CDTF">2026-05-06T18:21:41Z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