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Protocolo de alta — Apendicectomía laparoscópica</w:t>
      </w:r>
    </w:p>
    <w:p>
      <w:r>
        <w:t xml:space="preserve">Servicio de Cirugía General. Documento de referencia para el seguimiento telefónico durante los primeros catorce días tras la intervención.</w:t>
      </w:r>
    </w:p>
    <w:p>
      <w:pPr>
        <w:pStyle w:val="Heading2"/>
      </w:pPr>
      <w:r>
        <w:t xml:space="preserve">Cuidado de la herida</w:t>
      </w:r>
    </w:p>
    <w:p>
      <w:r>
        <w:t xml:space="preserve">La apendicectomía laparoscópica deja tres incisiones pequeñas: una en el ombligo y dos en la parte baja del abdomen. Mantenga los apósitos limpios y secos durante las primeras cuarenta y ocho horas. Pasado ese plazo puede retirarlos y ducharse con normalidad, dejando correr el agua sobre las incisiones sin frotarlas y secando después con una toalla limpia, a toquecitos.</w:t>
      </w:r>
    </w:p>
    <w:p>
      <w:r>
        <w:t xml:space="preserve">No aplique cremas, pomadas, alcohol ni agua oxigenada sobre las incisiones salvo indicación médica expresa: retrasan la cicatrización y ocultan los signos de infección que precisamente queremos vigilar. Evite bañeras, piscinas y jacuzzis hasta que el cirujano retire los puntos.</w:t>
      </w:r>
    </w:p>
    <w:p>
      <w:pPr>
        <w:pStyle w:val="Heading3"/>
      </w:pPr>
      <w:r>
        <w:t xml:space="preserve">Cómo curar la herida en casa</w:t>
      </w:r>
    </w:p>
    <w:p>
      <w:r>
        <w:t xml:space="preserve">Si el cirujano le indicó curas diarias, siga estos pasos en orden:</w:t>
      </w:r>
    </w:p>
    <w:p>
      <w:r>
        <w:t xml:space="preserve">1. Lávese las manos con agua y jabón durante al menos veinte segundos.</w:t>
      </w:r>
    </w:p>
    <w:p>
      <w:r>
        <w:t xml:space="preserve">2. Retire el apósito anterior tirando en paralelo a la piel, nunca hacia arriba.</w:t>
      </w:r>
    </w:p>
    <w:p>
      <w:r>
        <w:t xml:space="preserve">3. Limpie cada incisión con suero fisiológico, de dentro hacia afuera, usando una gasa distinta para cada una.</w:t>
      </w:r>
    </w:p>
    <w:p>
      <w:r>
        <w:t xml:space="preserve">4. Deje secar al aire un minuto sin soplar sobre la herida.</w:t>
      </w:r>
    </w:p>
    <w:p>
      <w:r>
        <w:t xml:space="preserve">5. Coloque un apósito nuevo y anote en un papel cómo vio la herida ese día.</w:t>
      </w:r>
    </w:p>
    <w:p>
      <w:r>
        <w:t xml:space="preserve">Si en algún paso observa pus, mal olor o separación de los bordes, detenga la cura y llame al equipo antes de continuar.</w:t>
      </w:r>
    </w:p>
    <w:p>
      <w:pPr>
        <w:pStyle w:val="Heading2"/>
      </w:pPr>
      <w:r>
        <w:t xml:space="preserve">Medicación</w:t>
      </w:r>
    </w:p>
    <w:p>
      <w:r>
        <w:t xml:space="preserve">El tratamiento al alta combina un antibiótico y un analgésico. No suspenda el antibiótico aunque se sienta bien: la pauta completa es lo que evita la infección del lecho quirúrgico.</w:t>
      </w:r>
    </w:p>
    <w:tbl>
      <w:tblPr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Medicamento</w:t>
            </w:r>
          </w:p>
        </w:tc>
        <w:tc>
          <w:tcPr>
            <w:tcW w:w="1800" w:type="dxa"/>
          </w:tcPr>
          <w:p>
            <w:r>
              <w:t xml:space="preserve">Dosis</w:t>
            </w:r>
          </w:p>
        </w:tc>
        <w:tc>
          <w:tcPr>
            <w:tcW w:w="1800" w:type="dxa"/>
          </w:tcPr>
          <w:p>
            <w:r>
              <w:t xml:space="preserve">Pauta</w:t>
            </w:r>
          </w:p>
        </w:tc>
        <w:tc>
          <w:tcPr>
            <w:tcW w:w="1800" w:type="dxa"/>
          </w:tcPr>
          <w:p>
            <w:r>
              <w:t xml:space="preserve">Duración</w:t>
            </w:r>
          </w:p>
        </w:tc>
        <w:tc>
          <w:tcPr>
            <w:tcW w:w="1800" w:type="dxa"/>
          </w:tcPr>
          <w:p>
            <w:r>
              <w:t xml:space="preserve">Observaciones</w:t>
            </w:r>
          </w:p>
        </w:tc>
      </w:tr>
      <w:tr>
        <w:tc>
          <w:tcPr>
            <w:tcW w:w="1800" w:type="dxa"/>
          </w:tcPr>
          <w:p>
            <w:r>
              <w:t xml:space="preserve">Cefalexina</w:t>
            </w:r>
          </w:p>
        </w:tc>
        <w:tc>
          <w:tcPr>
            <w:tcW w:w="1800" w:type="dxa"/>
          </w:tcPr>
          <w:p>
            <w:r>
              <w:t xml:space="preserve">500 mg</w:t>
            </w:r>
          </w:p>
        </w:tc>
        <w:tc>
          <w:tcPr>
            <w:tcW w:w="1800" w:type="dxa"/>
          </w:tcPr>
          <w:p>
            <w:r>
              <w:t xml:space="preserve">cada 8 horas</w:t>
            </w:r>
          </w:p>
        </w:tc>
        <w:tc>
          <w:tcPr>
            <w:tcW w:w="1800" w:type="dxa"/>
          </w:tcPr>
          <w:p>
            <w:r>
              <w:t xml:space="preserve">7 días</w:t>
            </w:r>
          </w:p>
        </w:tc>
        <w:tc>
          <w:tcPr>
            <w:tcW w:w="1800" w:type="dxa"/>
          </w:tcPr>
          <w:p>
            <w:r>
              <w:t xml:space="preserve">Tomar con alimentos</w:t>
            </w:r>
          </w:p>
        </w:tc>
      </w:tr>
      <w:tr>
        <w:tc>
          <w:tcPr>
            <w:tcW w:w="1800" w:type="dxa"/>
          </w:tcPr>
          <w:p>
            <w:r>
              <w:t xml:space="preserve">Acetaminofén</w:t>
            </w:r>
          </w:p>
        </w:tc>
        <w:tc>
          <w:tcPr>
            <w:tcW w:w="1800" w:type="dxa"/>
          </w:tcPr>
          <w:p>
            <w:r>
              <w:t xml:space="preserve">1 g</w:t>
            </w:r>
          </w:p>
        </w:tc>
        <w:tc>
          <w:tcPr>
            <w:tcW w:w="1800" w:type="dxa"/>
          </w:tcPr>
          <w:p>
            <w:r>
              <w:t xml:space="preserve">cada 8 horas</w:t>
            </w:r>
          </w:p>
        </w:tc>
        <w:tc>
          <w:tcPr>
            <w:tcW w:w="1800" w:type="dxa"/>
          </w:tcPr>
          <w:p>
            <w:r>
              <w:t xml:space="preserve">5 días</w:t>
            </w:r>
          </w:p>
        </w:tc>
        <w:tc>
          <w:tcPr>
            <w:tcW w:w="1800" w:type="dxa"/>
          </w:tcPr>
          <w:p>
            <w:r>
              <w:t xml:space="preserve">No superar 4 g en 24 horas</w:t>
            </w:r>
          </w:p>
        </w:tc>
      </w:tr>
      <w:tr>
        <w:tc>
          <w:tcPr>
            <w:tcW w:w="1800" w:type="dxa"/>
          </w:tcPr>
          <w:p>
            <w:r>
              <w:t xml:space="preserve">Ibuprofeno</w:t>
            </w:r>
          </w:p>
        </w:tc>
        <w:tc>
          <w:tcPr>
            <w:tcW w:w="1800" w:type="dxa"/>
          </w:tcPr>
          <w:p>
            <w:r>
              <w:t xml:space="preserve">400 mg</w:t>
            </w:r>
          </w:p>
        </w:tc>
        <w:tc>
          <w:tcPr>
            <w:tcW w:w="1800" w:type="dxa"/>
          </w:tcPr>
          <w:p>
            <w:r>
              <w:t xml:space="preserve">cada 12 horas</w:t>
            </w:r>
          </w:p>
        </w:tc>
        <w:tc>
          <w:tcPr>
            <w:tcW w:w="1800" w:type="dxa"/>
          </w:tcPr>
          <w:p>
            <w:r>
              <w:t xml:space="preserve">si dolor</w:t>
            </w:r>
          </w:p>
        </w:tc>
        <w:tc>
          <w:tcPr>
            <w:tcW w:w="1800" w:type="dxa"/>
          </w:tcPr>
          <w:p>
            <w:r>
              <w:t xml:space="preserve">Solo si el acetaminofén no es suficiente</w:t>
            </w:r>
          </w:p>
        </w:tc>
      </w:tr>
      <w:tr>
        <w:tc>
          <w:tcPr>
            <w:tcW w:w="1800" w:type="dxa"/>
          </w:tcPr>
          <w:p>
            <w:r>
              <w:t xml:space="preserve">Omeprazol</w:t>
            </w:r>
          </w:p>
        </w:tc>
        <w:tc>
          <w:tcPr>
            <w:tcW w:w="1800" w:type="dxa"/>
          </w:tcPr>
          <w:p>
            <w:r>
              <w:t xml:space="preserve">20 mg</w:t>
            </w:r>
          </w:p>
        </w:tc>
        <w:tc>
          <w:tcPr>
            <w:tcW w:w="1800" w:type="dxa"/>
          </w:tcPr>
          <w:p>
            <w:r>
              <w:t xml:space="preserve">una vez al día</w:t>
            </w:r>
          </w:p>
        </w:tc>
        <w:tc>
          <w:tcPr>
            <w:tcW w:w="1800" w:type="dxa"/>
          </w:tcPr>
          <w:p>
            <w:r>
              <w:t xml:space="preserve">7 días</w:t>
            </w:r>
          </w:p>
        </w:tc>
        <w:tc>
          <w:tcPr>
            <w:tcW w:w="1800" w:type="dxa"/>
          </w:tcPr>
          <w:p>
            <w:r>
              <w:t xml:space="preserve">En ayunas, si toma antiinflamatorios</w:t>
            </w:r>
          </w:p>
        </w:tc>
      </w:tr>
    </w:tbl>
    <w:p/>
    <w:p>
      <w:r>
        <w:t xml:space="preserve">Si olvida una toma del antibiótico, tómela en cuanto se acuerde salvo que falten menos de dos horas para la siguiente. Nunca duplique la dosis para compensar.</w:t>
      </w:r>
    </w:p>
    <w:p>
      <w:pPr>
        <w:pStyle w:val="Heading2"/>
      </w:pPr>
      <w:r>
        <w:t xml:space="preserve">Signos de alarma</w:t>
      </w:r>
    </w:p>
    <w:p>
      <w:r>
        <w:t xml:space="preserve">Acuda al servicio de urgencias si presenta fiebre superior a 38.5 grados, sangrado activo por las incisiones, dehiscencia de la herida, dolor abdominal intenso que no cede con la analgesia pautada, vómitos persistentes que le impidan tolerar líquidos, o ausencia de gases y deposiciones durante más de setenta y dos horas acompañada de distensión del abdomen.</w:t>
      </w:r>
    </w:p>
    <w:p>
      <w:r>
        <w:t xml:space="preserve">Enrojecimiento que se extiende alrededor de una incisión, secreción purulenta o un aumento del dolor a partir del cuarto día son signos de infección de la herida y requieren valoración el mismo día, aunque no haya fiebre.</w:t>
      </w:r>
    </w:p>
    <w:p>
      <w:pPr>
        <w:pStyle w:val="Heading3"/>
      </w:pPr>
      <w:r>
        <w:t xml:space="preserve">Cuándo llamar al equipo</w:t>
      </w:r>
    </w:p>
    <w:p>
      <w:r>
        <w:t xml:space="preserve">Si el dolor aumenta de forma progresiva durante más de veinticuatro horas.</w:t>
      </w:r>
    </w:p>
    <w:p>
      <w:pPr>
        <w:pStyle w:val="Heading2"/>
      </w:pPr>
      <w:r>
        <w:t xml:space="preserve">Actividad</w:t>
      </w:r>
    </w:p>
    <w:p>
      <w:r>
        <w:t xml:space="preserve">Camine desde el primer día en casa, en trayectos cortos y varias veces al día: la movilización temprana previene trombosis y ayuda a que el intestino recupere su ritmo. Suba escaleras despacio y sin cargar peso.</w:t>
      </w:r>
    </w:p>
    <w:p>
      <w:r>
        <w:t xml:space="preserve">Evite levantar más de cinco kilos y los esfuerzos abdominales — abdominales, gimnasio, cargar niños en brazos — durante cuatro semanas. Puede conducir cuando sea capaz de hacer una frenada de emergencia sin dolor, lo que suele ocurrir entre el séptimo y el décimo día. La reincorporación laboral depende del tipo de trabajo: de siete a diez días en labores de oficina, de tres a cuatro semanas si implica esfuerzo físico.</w:t>
      </w:r>
    </w:p>
    <w:p>
      <w:pPr>
        <w:pStyle w:val="Heading2"/>
      </w:pPr>
      <w:r>
        <w:t xml:space="preserve">Dieta</w:t>
      </w:r>
    </w:p>
    <w:p>
      <w:r>
        <w:t xml:space="preserve">Empiece con líquidos claros y comidas ligeras en pequeñas cantidades y aumente según tolerancia. La mayoría de los pacientes vuelve a su dieta habitual en tres o cuatro días.</w:t>
      </w:r>
    </w:p>
    <w:p>
      <w:r>
        <w:t xml:space="preserve">Beba al menos dos litros de agua al día e incorpore fruta, verdura y cereales integrales: los analgésicos opioides y la propia cirugía estriñen, y hacer fuerza en el baño es justo lo que conviene evitar durante las primeras semanas. Si al tercer día no ha tenido deposición, consúltelo en la llamada de seguimiento.</w:t>
      </w:r>
    </w:p>
    <w:p>
      <w:pPr>
        <w:pStyle w:val="Heading2"/>
      </w:pPr>
      <w:r>
        <w:t xml:space="preserve">Cita de control</w:t>
      </w:r>
    </w:p>
    <w:p>
      <w:r>
        <w:t xml:space="preserve">La revisión de la herida y el retiro de puntos se programan a los siete días de la intervención en el consultorio indicado en su hoja de alta. Acuda aunque se encuentre perfectamente: la valoración de la cicatriz no se puede hacer por teléfono.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0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