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Protocolo de alta — Herniorrafia inguinal con malla</w:t>
      </w:r>
    </w:p>
    <w:p>
      <w:r>
        <w:t xml:space="preserve">Servicio de Cirugía General. Seguimiento telefónico del paciente operado de hernia inguinal con colocación de malla de polipropileno, con alta el mismo día.</w:t>
      </w:r>
    </w:p>
    <w:p>
      <w:pPr>
        <w:pStyle w:val="Heading2"/>
      </w:pPr>
      <w:r>
        <w:t xml:space="preserve">Cuidado de la herida</w:t>
      </w:r>
    </w:p>
    <w:p>
      <w:r>
        <w:t xml:space="preserve">La incisión va en el pliegue de la ingle y mide entre cinco y ocho centímetros. Manténgala limpia y seca cuarenta y ocho horas; después puede ducharse a diario, secando la zona con cuidado y sin frotar. No sumerja la herida en bañeras ni piscinas hasta la revisión.</w:t>
      </w:r>
    </w:p>
    <w:p>
      <w:r>
        <w:t xml:space="preserve">Es normal que aparezcan hematoma e hinchazón en la ingle, y que bajen hacia el escroto o el labio mayor por gravedad durante la primera semana. Cambian de color del morado al verde y al amarillo antes de desaparecer, y pueden tardar de dos a tres semanas. Un suspensorio o ropa interior ajustada alivia la molestia.</w:t>
      </w:r>
    </w:p>
    <w:p>
      <w:r>
        <w:t xml:space="preserve">Notará un bulto duro bajo la cicatriz durante varias semanas: es la reacción del tejido a la malla, no una recidiva de la hernia. Se ablanda solo.</w:t>
      </w:r>
    </w:p>
    <w:p>
      <w:pPr>
        <w:pStyle w:val="Heading2"/>
      </w:pPr>
      <w:r>
        <w:t xml:space="preserve">Medicación</w:t>
      </w:r>
    </w:p>
    <w:p>
      <w:r>
        <w:t xml:space="preserve">El dolor de este posoperatorio es moderado y se controla bien con analgésicos simples. La malla no requiere antibiótico al alta.</w:t>
      </w:r>
    </w:p>
    <w:tbl>
      <w:tblPr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 xml:space="preserve">Medicamento</w:t>
            </w:r>
          </w:p>
        </w:tc>
        <w:tc>
          <w:tcPr>
            <w:tcW w:w="1800" w:type="dxa"/>
          </w:tcPr>
          <w:p>
            <w:r>
              <w:t xml:space="preserve">Dosis</w:t>
            </w:r>
          </w:p>
        </w:tc>
        <w:tc>
          <w:tcPr>
            <w:tcW w:w="1800" w:type="dxa"/>
          </w:tcPr>
          <w:p>
            <w:r>
              <w:t xml:space="preserve">Pauta</w:t>
            </w:r>
          </w:p>
        </w:tc>
        <w:tc>
          <w:tcPr>
            <w:tcW w:w="1800" w:type="dxa"/>
          </w:tcPr>
          <w:p>
            <w:r>
              <w:t xml:space="preserve">Duración</w:t>
            </w:r>
          </w:p>
        </w:tc>
        <w:tc>
          <w:tcPr>
            <w:tcW w:w="1800" w:type="dxa"/>
          </w:tcPr>
          <w:p>
            <w:r>
              <w:t xml:space="preserve">Observaciones</w:t>
            </w:r>
          </w:p>
        </w:tc>
      </w:tr>
      <w:tr>
        <w:tc>
          <w:tcPr>
            <w:tcW w:w="1800" w:type="dxa"/>
          </w:tcPr>
          <w:p>
            <w:r>
              <w:t xml:space="preserve">Acetaminofén</w:t>
            </w:r>
          </w:p>
        </w:tc>
        <w:tc>
          <w:tcPr>
            <w:tcW w:w="1800" w:type="dxa"/>
          </w:tcPr>
          <w:p>
            <w:r>
              <w:t xml:space="preserve">500 mg</w:t>
            </w:r>
          </w:p>
        </w:tc>
        <w:tc>
          <w:tcPr>
            <w:tcW w:w="1800" w:type="dxa"/>
          </w:tcPr>
          <w:p>
            <w:r>
              <w:t xml:space="preserve">cada 6 horas</w:t>
            </w:r>
          </w:p>
        </w:tc>
        <w:tc>
          <w:tcPr>
            <w:tcW w:w="1800" w:type="dxa"/>
          </w:tcPr>
          <w:p>
            <w:r>
              <w:t xml:space="preserve">5 días</w:t>
            </w:r>
          </w:p>
        </w:tc>
        <w:tc>
          <w:tcPr>
            <w:tcW w:w="1800" w:type="dxa"/>
          </w:tcPr>
          <w:p>
            <w:r>
              <w:t xml:space="preserve">No superar 4 g en 24 horas</w:t>
            </w:r>
          </w:p>
        </w:tc>
      </w:tr>
      <w:tr>
        <w:tc>
          <w:tcPr>
            <w:tcW w:w="1800" w:type="dxa"/>
          </w:tcPr>
          <w:p>
            <w:r>
              <w:t xml:space="preserve">Ibuprofeno</w:t>
            </w:r>
          </w:p>
        </w:tc>
        <w:tc>
          <w:tcPr>
            <w:tcW w:w="1800" w:type="dxa"/>
          </w:tcPr>
          <w:p>
            <w:r>
              <w:t xml:space="preserve">400 mg</w:t>
            </w:r>
          </w:p>
        </w:tc>
        <w:tc>
          <w:tcPr>
            <w:tcW w:w="1800" w:type="dxa"/>
          </w:tcPr>
          <w:p>
            <w:r>
              <w:t xml:space="preserve">cada 8 horas</w:t>
            </w:r>
          </w:p>
        </w:tc>
        <w:tc>
          <w:tcPr>
            <w:tcW w:w="1800" w:type="dxa"/>
          </w:tcPr>
          <w:p>
            <w:r>
              <w:t xml:space="preserve">si dolor</w:t>
            </w:r>
          </w:p>
        </w:tc>
        <w:tc>
          <w:tcPr>
            <w:tcW w:w="1800" w:type="dxa"/>
          </w:tcPr>
          <w:p>
            <w:r>
              <w:t xml:space="preserve">Con alimentos, máximo 5 días</w:t>
            </w:r>
          </w:p>
        </w:tc>
      </w:tr>
    </w:tbl>
    <w:p/>
    <w:p>
      <w:r>
        <w:t xml:space="preserve">Tome el analgésico a horas fijas los dos primeros días en lugar de esperar a que aparezca el dolor: cuesta menos controlarlo que recuperarlo una vez instaurado.</w:t>
      </w:r>
    </w:p>
    <w:p>
      <w:pPr>
        <w:pStyle w:val="Heading2"/>
      </w:pPr>
      <w:r>
        <w:t xml:space="preserve">Signos de alarma</w:t>
      </w:r>
    </w:p>
    <w:p>
      <w:r>
        <w:t xml:space="preserve">Acuda a urgencias si presenta fiebre superior a 38.5 grados, enrojecimiento caliente que se extiende alrededor de la incisión, salida de pus por la herida, dolor inguinal intenso y creciente que no cede con la analgesia pautada, imposibilidad de orinar durante más de ocho horas, o aparición de un bulto doloroso, duro e irreductible en la ingle acompañado de náuseas y vómitos.</w:t>
      </w:r>
    </w:p>
    <w:p>
      <w:r>
        <w:t xml:space="preserve">Ese último cuadro sugiere una hernia atascada y es la urgencia quirúrgica de este posoperatorio: no espere a la cita de control ni a la llamada de seguimiento.</w:t>
      </w:r>
    </w:p>
    <w:p>
      <w:pPr>
        <w:pStyle w:val="Heading3"/>
      </w:pPr>
      <w:r>
        <w:t xml:space="preserve">Retención urinaria</w:t>
      </w:r>
    </w:p>
    <w:p>
      <w:r>
        <w:t xml:space="preserve">No orinar en ocho horas es motivo de consulta inmediata.</w:t>
      </w:r>
    </w:p>
    <w:p>
      <w:pPr>
        <w:pStyle w:val="Heading2"/>
      </w:pPr>
      <w:r>
        <w:t xml:space="preserve">Actividad</w:t>
      </w:r>
    </w:p>
    <w:p>
      <w:r>
        <w:t xml:space="preserve">Levántese y camine el mismo día de la operación. La deambulación precoz es lo que más reduce el riesgo de trombosis y de retención urinaria.</w:t>
      </w:r>
    </w:p>
    <w:p>
      <w:r>
        <w:t xml:space="preserve">Evite levantar más de cinco kilos durante dos semanas y no supere los diez kilos hasta el mes. Toser y estornudar sujetando la ingle con la mano abierta reduce mucho la molestia. Puede reanudar las relaciones sexuales cuando resulten cómodas, en general a partir de la segunda semana. El deporte de impacto y el levantamiento de pesas se reanudan a las cuatro o seis semanas, y siempre de forma progresiva.</w:t>
      </w:r>
    </w:p>
    <w:p>
      <w:r>
        <w:t xml:space="preserve">Conducir es seguro cuando pueda frenar de golpe y girar el tronco sin dolor, habitualmente entre el quinto y el séptimo día.</w:t>
      </w:r>
    </w:p>
    <w:p>
      <w:pPr>
        <w:pStyle w:val="Heading2"/>
      </w:pPr>
      <w:r>
        <w:t xml:space="preserve">Dieta</w:t>
      </w:r>
    </w:p>
    <w:p>
      <w:r>
        <w:t xml:space="preserve">No hay restricciones dietéticas después de una herniorrafia: puede volver a su alimentación habitual desde el mismo día.</w:t>
      </w:r>
    </w:p>
    <w:p>
      <w:r>
        <w:t xml:space="preserve">Lo único que sí importa es evitar el estreñimiento, porque hacer fuerza en el baño somete la reparación a la misma presión que levantar peso. Beba al menos dos litros de agua al día, incluya fruta, verdura y cereales integrales, y si al tercer día no ha tenido deposición pida un laxante suave en la llamada de seguimiento antes de forzar.</w:t>
      </w:r>
    </w:p>
    <w:p>
      <w:pPr>
        <w:pStyle w:val="Heading2"/>
      </w:pPr>
      <w:r>
        <w:t xml:space="preserve">Cita de control</w:t>
      </w:r>
    </w:p>
    <w:p>
      <w:r>
        <w:t xml:space="preserve">La revisión de la malla y de la cicatriz se programa a los nueve días en el consultorio indicado en su hoja de alta.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0"/>
    </w:rPr>
  </w:style>
  <w:style w:type="paragraph" w:styleId="Heading2">
    <w:name w:val="heading 2"/>
    <w:basedOn w:val="Normal"/>
    <w:pPr>
      <w:outlineLvl w:val="1"/>
    </w:pPr>
    <w:rPr>
      <w:b/>
      <w:sz w:val="30"/>
    </w:rPr>
  </w:style>
  <w:style w:type="paragraph" w:styleId="Heading3">
    <w:name w:val="heading 3"/>
    <w:basedOn w:val="Normal"/>
    <w:pPr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