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Documentation Glossary and Policy Appendix</w:t>
      </w:r>
    </w:p>
    <w:p>
      <w:r>
        <w:t>Version: 1.0</w:t>
      </w:r>
    </w:p>
    <w:p>
      <w:r>
        <w:t>Status: Shared terminology and policy baseline for project documentation</w:t>
      </w:r>
    </w:p>
    <w:p>
      <w:r>
        <w:t>Date: February 28, 2026</w:t>
      </w:r>
    </w:p>
    <w:p>
      <w:r>
        <w:t>---</w:t>
      </w:r>
    </w:p>
    <w:p>
      <w:pPr>
        <w:pStyle w:val="Heading2"/>
      </w:pPr>
      <w:r>
        <w:t>Purpose</w:t>
      </w:r>
    </w:p>
    <w:p>
      <w:r>
        <w:t>This appendix defines the standard terminology and policy rules that all active Project Siddhanta documents should use. It exists to prevent drift across strategy, specification, research, and analysis artifacts.</w:t>
      </w:r>
    </w:p>
    <w:p>
      <w:r>
        <w:t>Active planning documents should reference this appendix rather than inventing local terminology for AI oversight, integration readiness, or data residency.</w:t>
      </w:r>
    </w:p>
    <w:p>
      <w:r>
        <w:t>---</w:t>
      </w:r>
    </w:p>
    <w:p>
      <w:pPr>
        <w:pStyle w:val="Heading2"/>
      </w:pPr>
      <w:r>
        <w:t>Standard Terms</w:t>
      </w:r>
    </w:p>
    <w:p>
      <w:pPr>
        <w:pStyle w:val="Heading3"/>
      </w:pPr>
      <w:r>
        <w:t>AI Oversight Taxonomy</w:t>
      </w:r>
    </w:p>
    <w:p>
      <w:pPr>
        <w:pStyle w:val="ListBullet"/>
      </w:pPr>
      <w:r>
        <w:t>`deterministic_controls_only`</w:t>
      </w:r>
      <w:r>
        <w:t>`deterministic_controls_only`</w:t>
      </w:r>
    </w:p>
    <w:p>
      <w:pPr>
        <w:pStyle w:val="ListBullet"/>
      </w:pPr>
      <w:r>
        <w:t>Fixed rules execute the decision. AI may observe, score, or prioritize, but cannot decide the action.</w:t>
      </w:r>
      <w:r>
        <w:t>Fixed rules execute the decision. AI may observe, score, or prioritize, but cannot decide the action.</w:t>
      </w:r>
    </w:p>
    <w:p>
      <w:pPr>
        <w:pStyle w:val="ListBullet"/>
      </w:pPr>
      <w:r>
        <w:t>`human_review_required`</w:t>
      </w:r>
      <w:r>
        <w:t>`human_review_required`</w:t>
      </w:r>
    </w:p>
    <w:p>
      <w:pPr>
        <w:pStyle w:val="ListBullet"/>
      </w:pPr>
      <w:r>
        <w:t>AI may prepare draft outputs or recommendations, but no effect occurs until a human explicitly reviews and approves.</w:t>
      </w:r>
      <w:r>
        <w:t>AI may prepare draft outputs or recommendations, but no effect occurs until a human explicitly reviews and approves.</w:t>
      </w:r>
    </w:p>
    <w:p>
      <w:pPr>
        <w:pStyle w:val="ListBullet"/>
      </w:pPr>
      <w:r>
        <w:t>`human_in_the_loop`</w:t>
      </w:r>
      <w:r>
        <w:t>`human_in_the_loop`</w:t>
      </w:r>
    </w:p>
    <w:p>
      <w:pPr>
        <w:pStyle w:val="ListBullet"/>
      </w:pPr>
      <w:r>
        <w:t>AI participates in the decision path, but a human approval step is required before final effect.</w:t>
      </w:r>
      <w:r>
        <w:t>AI participates in the decision path, but a human approval step is required before final effect.</w:t>
      </w:r>
    </w:p>
    <w:p>
      <w:pPr>
        <w:pStyle w:val="ListBullet"/>
      </w:pPr>
      <w:r>
        <w:t>`human_on_the_loop`</w:t>
      </w:r>
      <w:r>
        <w:t>`human_on_the_loop`</w:t>
      </w:r>
    </w:p>
    <w:p>
      <w:pPr>
        <w:pStyle w:val="ListBullet"/>
      </w:pPr>
      <w:r>
        <w:t>AI may execute within pre-approved guardrails while a human monitors exceptions, audit trails, and override controls.</w:t>
      </w:r>
      <w:r>
        <w:t>AI may execute within pre-approved guardrails while a human monitors exceptions, audit trails, and override controls.</w:t>
      </w:r>
    </w:p>
    <w:p>
      <w:pPr>
        <w:pStyle w:val="Heading3"/>
      </w:pPr>
      <w:r>
        <w:t>Automation Scope</w:t>
      </w:r>
    </w:p>
    <w:p>
      <w:pPr>
        <w:pStyle w:val="ListBullet"/>
      </w:pPr>
      <w:r>
        <w:t>`bounded autonomous`</w:t>
      </w:r>
      <w:r>
        <w:t>`bounded autonomous`</w:t>
      </w:r>
    </w:p>
    <w:p>
      <w:pPr>
        <w:pStyle w:val="ListBullet"/>
      </w:pPr>
      <w:r>
        <w:t>Automation allowed only for tightly bounded, low-impact, well-understood workflows with explicit scope limits, fallback behavior, and auditable controls.</w:t>
      </w:r>
      <w:r>
        <w:t>Automation allowed only for tightly bounded, low-impact, well-understood workflows with explicit scope limits, fallback behavior, and auditable controls.</w:t>
      </w:r>
    </w:p>
    <w:p>
      <w:pPr>
        <w:pStyle w:val="ListBullet"/>
      </w:pPr>
      <w:r>
        <w:t>`standard-case straight-through automation`</w:t>
      </w:r>
      <w:r>
        <w:t>`standard-case straight-through automation`</w:t>
      </w:r>
    </w:p>
    <w:p>
      <w:pPr>
        <w:pStyle w:val="ListBullet"/>
      </w:pPr>
      <w:r>
        <w:t>Automation targets that apply only to routine, structured, low-variance cases. Exceptions, edge cases, and material events remain reviewable.</w:t>
      </w:r>
      <w:r>
        <w:t>Automation targets that apply only to routine, structured, low-variance cases. Exceptions, edge cases, and material events remain reviewable.</w:t>
      </w:r>
    </w:p>
    <w:p>
      <w:pPr>
        <w:pStyle w:val="Heading3"/>
      </w:pPr>
      <w:r>
        <w:t>Integration Readiness</w:t>
      </w:r>
    </w:p>
    <w:p>
      <w:pPr>
        <w:pStyle w:val="ListBullet"/>
      </w:pPr>
      <w:r>
        <w:t>`approval-dependent eKYC`</w:t>
      </w:r>
      <w:r>
        <w:t>`approval-dependent eKYC`</w:t>
      </w:r>
    </w:p>
    <w:p>
      <w:pPr>
        <w:pStyle w:val="ListBullet"/>
      </w:pPr>
      <w:r>
        <w:t>National ID / eKYC integration is a strategic target, but production use depends on regulator approval, contractual access, legal permissibility, and interface readiness.</w:t>
      </w:r>
      <w:r>
        <w:t>National ID / eKYC integration is a strategic target, but production use depends on regulator approval, contractual access, legal permissibility, and interface readiness.</w:t>
      </w:r>
    </w:p>
    <w:p>
      <w:pPr>
        <w:pStyle w:val="ListBullet"/>
      </w:pPr>
      <w:r>
        <w:t>`integration adapter`</w:t>
      </w:r>
      <w:r>
        <w:t>`integration adapter`</w:t>
      </w:r>
    </w:p>
    <w:p>
      <w:pPr>
        <w:pStyle w:val="ListBullet"/>
      </w:pPr>
      <w:r>
        <w:t>External connectivity should be described as an adapter pattern, not assumed uniform API access. Adapters may use API, file exchange, SFTP, batch, or assisted workflows.</w:t>
      </w:r>
      <w:r>
        <w:t>External connectivity should be described as an adapter pattern, not assumed uniform API access. Adapters may use API, file exchange, SFTP, batch, or assisted workflows.</w:t>
      </w:r>
    </w:p>
    <w:p>
      <w:pPr>
        <w:pStyle w:val="Heading3"/>
      </w:pPr>
      <w:r>
        <w:t>Data Residency</w:t>
      </w:r>
    </w:p>
    <w:p>
      <w:pPr>
        <w:pStyle w:val="ListBullet"/>
      </w:pPr>
      <w:r>
        <w:t>`in-country default data residency`</w:t>
      </w:r>
      <w:r>
        <w:t>`in-country default data residency`</w:t>
      </w:r>
    </w:p>
    <w:p>
      <w:pPr>
        <w:pStyle w:val="ListBullet"/>
      </w:pPr>
      <w:r>
        <w:t>Regulated data should remain in-country by default. Cross-border processing, failover, or tooling is allowed only where explicitly permitted by the applicable regulator or legal framework.</w:t>
      </w:r>
      <w:r>
        <w:t>Regulated data should remain in-country by default. Cross-border processing, failover, or tooling is allowed only where explicitly permitted by the applicable regulator or legal framework.</w:t>
      </w:r>
    </w:p>
    <w:p>
      <w:pPr>
        <w:pStyle w:val="Heading3"/>
      </w:pPr>
      <w:r>
        <w:t>Evidence and Forecasting Language</w:t>
      </w:r>
    </w:p>
    <w:p>
      <w:pPr>
        <w:pStyle w:val="ListBullet"/>
      </w:pPr>
      <w:r>
        <w:t>`verified metric`</w:t>
      </w:r>
      <w:r>
        <w:t>`verified metric`</w:t>
      </w:r>
    </w:p>
    <w:p>
      <w:pPr>
        <w:pStyle w:val="ListBullet"/>
      </w:pPr>
      <w:r>
        <w:t>A date-sensitive fact backed by a cited source and a clear as-of date.</w:t>
      </w:r>
      <w:r>
        <w:t>A date-sensitive fact backed by a cited source and a clear as-of date.</w:t>
      </w:r>
    </w:p>
    <w:p>
      <w:pPr>
        <w:pStyle w:val="ListBullet"/>
      </w:pPr>
      <w:r>
        <w:t>`illustrative estimate`</w:t>
      </w:r>
      <w:r>
        <w:t>`illustrative estimate`</w:t>
      </w:r>
    </w:p>
    <w:p>
      <w:pPr>
        <w:pStyle w:val="ListBullet"/>
      </w:pPr>
      <w:r>
        <w:t>A planning estimate or modelled range used for strategy, not a committed forecast or guaranteed commercial outcome.</w:t>
      </w:r>
      <w:r>
        <w:t>A planning estimate or modelled range used for strategy, not a committed forecast or guaranteed commercial outcome.</w:t>
      </w:r>
    </w:p>
    <w:p>
      <w:r>
        <w:t>---</w:t>
      </w:r>
    </w:p>
    <w:p>
      <w:pPr>
        <w:pStyle w:val="Heading2"/>
      </w:pPr>
      <w:r>
        <w:t>Policy Rules</w:t>
      </w:r>
    </w:p>
    <w:p>
      <w:pPr>
        <w:pStyle w:val="ListNumber"/>
      </w:pPr>
      <w:r>
        <w:t>High-impact regulated actions must not be described as `full autonomy` or `human_out_of_the_loop`.</w:t>
      </w:r>
      <w:r>
        <w:t>High-impact regulated actions must not be described as `full autonomy` or `human_out_of_the_loop`.</w:t>
      </w:r>
    </w:p>
    <w:p>
      <w:pPr>
        <w:pStyle w:val="ListNumber"/>
      </w:pPr>
      <w:r>
        <w:t>National ID / eKYC references must use approval-dependent language unless production availability is independently confirmed.</w:t>
      </w:r>
      <w:r>
        <w:t>National ID / eKYC references must use approval-dependent language unless production availability is independently confirmed.</w:t>
      </w:r>
    </w:p>
    <w:p>
      <w:pPr>
        <w:pStyle w:val="ListNumber"/>
      </w:pPr>
      <w:r>
        <w:t>Data residency language must default to in-country storage for regulated data unless an explicit exception is stated.</w:t>
      </w:r>
      <w:r>
        <w:t>Data residency language must default to in-country storage for regulated data unless an explicit exception is stated.</w:t>
      </w:r>
    </w:p>
    <w:p>
      <w:pPr>
        <w:pStyle w:val="ListNumber"/>
      </w:pPr>
      <w:r>
        <w:t>Performance claims must be bounded by scope, conditions, and operating context.</w:t>
      </w:r>
      <w:r>
        <w:t>Performance claims must be bounded by scope, conditions, and operating context.</w:t>
      </w:r>
    </w:p>
    <w:p>
      <w:pPr>
        <w:pStyle w:val="ListNumber"/>
      </w:pPr>
      <w:r>
        <w:t>Metrics in active planning documents should include explicit dates when they are time-sensitive.</w:t>
      </w:r>
      <w:r>
        <w:t>Metrics in active planning documents should include explicit dates when they are time-sensitive.</w:t>
      </w:r>
    </w:p>
    <w:p>
      <w:pPr>
        <w:pStyle w:val="ListNumber"/>
      </w:pPr>
      <w:r>
        <w:t>Archived or superseded documents are non-authoritative and should be labeled accordingly.</w:t>
      </w:r>
      <w:r>
        <w:t>Archived or superseded documents are non-authoritative and should be labeled accordingly.</w:t>
      </w:r>
    </w:p>
    <w:p>
      <w:r>
        <w:t>---</w:t>
      </w:r>
    </w:p>
    <w:p>
      <w:pPr>
        <w:pStyle w:val="Heading2"/>
      </w:pPr>
      <w:r>
        <w:t>Active Source Precedence</w:t>
      </w:r>
    </w:p>
    <w:p>
      <w:r>
        <w:t>For conflicts between active documents, use this order:</w:t>
      </w:r>
    </w:p>
    <w:p>
      <w:pPr>
        <w:pStyle w:val="ListNumber"/>
      </w:pPr>
      <w:r>
        <w:t>`Siddhanta_Platform_Specification.md`</w:t>
      </w:r>
      <w:r>
        <w:t>`Siddhanta_Platform_Specification.md`</w:t>
      </w:r>
    </w:p>
    <w:p>
      <w:pPr>
        <w:pStyle w:val="ListNumber"/>
      </w:pPr>
      <w:r>
        <w:t>`siddhanta.md`</w:t>
      </w:r>
      <w:r>
        <w:t>`siddhanta.md`</w:t>
      </w:r>
    </w:p>
    <w:p>
      <w:pPr>
        <w:pStyle w:val="ListNumber"/>
      </w:pPr>
      <w:r>
        <w:t>`revised_comprehensive_analysis.md`</w:t>
      </w:r>
      <w:r>
        <w:t>`revised_comprehensive_analysis.md`</w:t>
      </w:r>
    </w:p>
    <w:p>
      <w:pPr>
        <w:pStyle w:val="ListNumber"/>
      </w:pPr>
      <w:r>
        <w:t>`deep-research-report (2).md`</w:t>
      </w:r>
      <w:r>
        <w:t>`deep-research-report (2).md`</w:t>
      </w:r>
    </w:p>
    <w:p>
      <w:pPr>
        <w:pStyle w:val="ListNumber"/>
      </w:pPr>
      <w:r>
        <w:t>`All_In_One_Capital_Markets_Platform_Specification.md`</w:t>
      </w:r>
      <w:r>
        <w:t>`All_In_One_Capital_Markets_Platform_Specification.md`</w:t>
      </w:r>
    </w:p>
    <w:p>
      <w:r>
        <w:t>Archived materials and generated intermediate reports are reference-only.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Documentation_Glossary_and_Policy_Appendix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