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Siddhanta Bundle</w:t>
      </w:r>
    </w:p>
    <w:p>
      <w:pPr>
        <w:jc w:val="center"/>
      </w:pPr>
      <w:r>
        <w:rPr>
          <w:sz w:val="22"/>
        </w:rPr>
        <w:t>Compiled DOCX from `docs/siddhanta.md` and its direct markdown references</w:t>
      </w:r>
    </w:p>
    <w:p>
      <w:pPr>
        <w:jc w:val="center"/>
      </w:pPr>
      <w:r>
        <w:rPr>
          <w:i/>
          <w:sz w:val="20"/>
        </w:rPr>
        <w:t>Generated on March 2, 2026</w:t>
      </w:r>
    </w:p>
    <w:p/>
    <w:p>
      <w:r>
        <w:rPr>
          <w:b/>
        </w:rPr>
        <w:t>Included sources:</w:t>
      </w:r>
    </w:p>
    <w:p>
      <w:pPr>
        <w:pStyle w:val="ListBullet"/>
      </w:pPr>
      <w:r>
        <w:t>docs/siddhanta.md</w:t>
      </w:r>
    </w:p>
    <w:p>
      <w:pPr>
        <w:pStyle w:val="ListBullet"/>
      </w:pPr>
      <w:r>
        <w:t>Documentation_Glossary_and_Policy_Appendix.md -&gt; project-files/Documentation_Glossary_and_Policy_Appendix.md</w:t>
      </w:r>
    </w:p>
    <w:p>
      <w:pPr>
        <w:pStyle w:val="ListBullet"/>
      </w:pPr>
      <w:r>
        <w:t>Authoritative_Source_Register.md -&gt; docs/Authoritative_Source_Register.md</w:t>
      </w:r>
    </w:p>
    <w:p>
      <w:pPr>
        <w:pStyle w:val="ListBullet"/>
      </w:pPr>
      <w:r>
        <w:t>Legal_Claim_Citation_Appendix.md -&gt; docs/Legal_Claim_Citation_Appendix.md</w:t>
      </w:r>
    </w:p>
    <w:p>
      <w:r>
        <w:br w:type="page"/>
      </w:r>
    </w:p>
    <w:p>
      <w:pPr>
        <w:pStyle w:val="Heading1"/>
      </w:pPr>
      <w:r>
        <w:t>siddhanta</w:t>
      </w:r>
    </w:p>
    <w:p>
      <w:pPr>
        <w:jc w:val="left"/>
      </w:pPr>
      <w:r>
        <w:rPr>
          <w:i/>
          <w:sz w:val="18"/>
        </w:rPr>
        <w:t>Source: docs/siddhanta.md</w:t>
      </w:r>
    </w:p>
    <w:p>
      <w:pPr>
        <w:pStyle w:val="Heading2"/>
      </w:pPr>
      <w:r>
        <w:t>**Project Siddhanta: An AI-Native Capital Markets Platform for Nepal**</w:t>
      </w:r>
    </w:p>
    <w:p>
      <w:r>
        <w:rPr>
          <w:b/>
        </w:rPr>
        <w:t>Strategic Vision, Tactical Blueprint &amp; Technical Reference Document</w:t>
      </w:r>
    </w:p>
    <w:p>
      <w:r>
        <w:t>Version: 1.0 | Status: Strategic &amp; Tactical Reference | Date: March 1, 2026</w:t>
      </w:r>
    </w:p>
    <w:p>
      <w:r>
        <w:t xml:space="preserve">Shared terminology and policy baseline: </w:t>
      </w:r>
      <w:r>
        <w:t>Documentation_Glossary_and_Policy_Appendix.md (Documentation_Glossary_and_Policy_Appendix.md)</w:t>
      </w:r>
    </w:p>
    <w:p>
      <w:r>
        <w:t xml:space="preserve">Shared authoritative source register: </w:t>
      </w:r>
      <w:r>
        <w:t>Authoritative_Source_Register.md (Authoritative_Source_Register.md)</w:t>
      </w:r>
    </w:p>
    <w:p>
      <w:r>
        <w:t xml:space="preserve">Reference style for time-sensitive external facts: </w:t>
      </w:r>
      <w:r>
        <w:rPr>
          <w:rFonts w:ascii="Courier New" w:hAnsi="Courier New"/>
          <w:sz w:val="20"/>
        </w:rPr>
        <w:t>ASR-*</w:t>
      </w:r>
      <w:r>
        <w:t xml:space="preserve"> IDs from the shared source register.</w:t>
      </w:r>
    </w:p>
    <w:p>
      <w:r>
        <w:t xml:space="preserve">Legal-claim traceability: </w:t>
      </w:r>
      <w:r>
        <w:t>Legal_Claim_Citation_Appendix.md (Legal_Claim_Citation_Appendix.md)</w:t>
      </w:r>
    </w:p>
    <w:p>
      <w:r>
        <w:t xml:space="preserve">Reference style for legal / regulatory claims: </w:t>
      </w:r>
      <w:r>
        <w:rPr>
          <w:rFonts w:ascii="Courier New" w:hAnsi="Courier New"/>
          <w:sz w:val="20"/>
        </w:rPr>
        <w:t>LCA-*</w:t>
      </w:r>
      <w:r>
        <w:t xml:space="preserve"> IDs from the legal appendix.</w:t>
      </w:r>
    </w:p>
    <w:p>
      <w:pPr>
        <w:ind w:left="432"/>
      </w:pPr>
      <w:r>
        <w:rPr>
          <w:i/>
        </w:rPr>
        <w:t>**Validation policy (MUST READ):** This document mixes (a) **clause-verified** requirements, (b) **document-verified** baselines, and (c) **planning assumptions / illustrative estimates**.</w:t>
      </w:r>
    </w:p>
    <w:p>
      <w:pPr>
        <w:ind w:left="432"/>
      </w:pPr>
      <w:r>
        <w:rPr>
          <w:i/>
        </w:rPr>
      </w:r>
    </w:p>
    <w:p>
      <w:pPr>
        <w:ind w:left="432"/>
      </w:pPr>
      <w:r>
        <w:rPr>
          <w:i/>
        </w:rPr>
        <w:t>- Every **numeric** market fact and time-sensitive statement MUST be backed by a primary source and mapped to an `ASR-*` entry in **Authoritative_Source_Register.md**.</w:t>
      </w:r>
    </w:p>
    <w:p>
      <w:pPr>
        <w:ind w:left="432"/>
      </w:pPr>
      <w:r>
        <w:rPr>
          <w:i/>
        </w:rPr>
        <w:t>- Every **legal / regulatory** claim MUST be mapped to an `LCA-*` entry in **Legal_Claim_Citation_Appendix.md**.</w:t>
      </w:r>
    </w:p>
    <w:p>
      <w:pPr>
        <w:ind w:left="432"/>
      </w:pPr>
      <w:r>
        <w:rPr>
          <w:i/>
        </w:rPr>
        <w:t>- Where a primary source is not yet attached or clause extraction is pending, the claim MUST be tagged **[VERIFY]** and listed in **Appendix A: Source Validation Ledger** with the missing authority needed.</w:t>
      </w:r>
    </w:p>
    <w:p>
      <w:r>
        <w:t>---</w:t>
      </w:r>
    </w:p>
    <w:p>
      <w:pPr>
        <w:pStyle w:val="Heading3"/>
      </w:pPr>
      <w:r>
        <w:t>**Executive Overview: The Nepalese Imperative**</w:t>
      </w:r>
    </w:p>
    <w:p>
      <w:r>
        <w:t xml:space="preserve">This document outlines the strategy for </w:t>
      </w:r>
      <w:r>
        <w:rPr>
          <w:b/>
        </w:rPr>
        <w:t>Project Siddhanta</w:t>
      </w:r>
      <w:r>
        <w:t xml:space="preserve"> (सिद्धान्त), an AI-native, all-in-one capital markets platform designed explicitly for Nepal. While building upon the global and South Asian analysis in the foundational report, this plan recognizes that Nepal is not a smaller version of India—it is a unique market with distinct regulatory fractures, infrastructure bottlenecks, and a digitally-savvy investor base constrained by legacy systems.</w:t>
      </w:r>
    </w:p>
    <w:p>
      <w:r>
        <w:t xml:space="preserve">The core thesis is that Nepal's market is at a critical juncture. Recent promoter-share and issuer-structure disputes underline that the current system is struggling to scale. The opportunity is not to merely digitize existing broken processes, but to introduce an </w:t>
      </w:r>
      <w:r>
        <w:rPr>
          <w:b/>
        </w:rPr>
        <w:t>AI-native platform that provides the "source of truth" and automated governance</w:t>
      </w:r>
      <w:r>
        <w:t xml:space="preserve"> that regulators and the market desperately need.</w:t>
      </w:r>
    </w:p>
    <w:p>
      <w:r>
        <w:rPr>
          <w:b/>
        </w:rPr>
        <w:t>The Strategic Wedge:</w:t>
      </w:r>
      <w:r>
        <w:t xml:space="preserve"> In Nepal, the entry point is not competing on trade execution speed, but on </w:t>
      </w:r>
      <w:r>
        <w:rPr>
          <w:b/>
        </w:rPr>
        <w:t>regulatory clarity, automated compliance, and operational integrity.</w:t>
      </w:r>
      <w:r>
        <w:t xml:space="preserve"> The platform will position itself as the solution to the "Nepali paradox"—a market with 7,511,020 demat accounts (</w:t>
      </w:r>
      <w:r>
        <w:rPr>
          <w:rFonts w:ascii="Courier New" w:hAnsi="Courier New"/>
          <w:sz w:val="20"/>
        </w:rPr>
        <w:t>Ref: ASR-NEP-CDSC-2026-03-01</w:t>
      </w:r>
      <w:r>
        <w:t>), 122 depository participants, and growing adjacent operator categories, but still burdened by manual overrides, fragmented integrations, flagging code failures, and policy paralysis.</w:t>
      </w:r>
    </w:p>
    <w:p>
      <w:pPr>
        <w:pStyle w:val="Heading4"/>
      </w:pPr>
      <w:r>
        <w:t>**A Generic Core, Jurisdiction-Specific Plugins**</w:t>
      </w:r>
    </w:p>
    <w:p>
      <w:r>
        <w:t xml:space="preserve">While this document is Nepal-focused, </w:t>
      </w:r>
      <w:r>
        <w:rPr>
          <w:b/>
        </w:rPr>
        <w:t>Project Siddhanta is not a Nepal-only system</w:t>
      </w:r>
      <w:r>
        <w:t xml:space="preserve">. The long-term vision is a </w:t>
      </w:r>
      <w:r>
        <w:rPr>
          <w:b/>
        </w:rPr>
        <w:t>generic capital-markets core platform</w:t>
      </w:r>
      <w:r>
        <w:t xml:space="preserve"> with a plugin-driven specialization layer that adapts to location, regulator, and sector.</w:t>
      </w:r>
    </w:p>
    <w:p>
      <w:r>
        <w:t>The architecture separates:</w:t>
      </w:r>
    </w:p>
    <w:p>
      <w:pPr>
        <w:pStyle w:val="ListBullet"/>
      </w:pPr>
      <w:r>
        <w:rPr>
          <w:b/>
        </w:rPr>
        <w:t>Generic Core (Global Layer)</w:t>
      </w:r>
    </w:p>
    <w:p>
      <w:pPr>
        <w:pStyle w:val="ListBullet"/>
      </w:pPr>
      <w:r>
        <w:t>Event-sourced ledger</w:t>
      </w:r>
    </w:p>
    <w:p>
      <w:pPr>
        <w:pStyle w:val="ListBullet"/>
      </w:pPr>
      <w:r>
        <w:t>Order management abstraction</w:t>
      </w:r>
    </w:p>
    <w:p>
      <w:pPr>
        <w:pStyle w:val="ListBullet"/>
      </w:pPr>
      <w:r>
        <w:t>Corporate actions engine</w:t>
      </w:r>
    </w:p>
    <w:p>
      <w:pPr>
        <w:pStyle w:val="ListBullet"/>
      </w:pPr>
      <w:r>
        <w:t>Reconciliation engine</w:t>
      </w:r>
    </w:p>
    <w:p>
      <w:pPr>
        <w:pStyle w:val="ListBullet"/>
      </w:pPr>
      <w:r>
        <w:t>AI services layer (model governance, explainability, RAG, monitoring)</w:t>
      </w:r>
    </w:p>
    <w:p>
      <w:pPr>
        <w:pStyle w:val="ListBullet"/>
      </w:pPr>
      <w:r>
        <w:t>Multi-tenant isolation framework</w:t>
      </w:r>
    </w:p>
    <w:p>
      <w:pPr>
        <w:pStyle w:val="ListBullet"/>
      </w:pPr>
      <w:r>
        <w:t>Dual-calendar engine (extensible beyond BS/Gregorian)</w:t>
      </w:r>
    </w:p>
    <w:p>
      <w:pPr>
        <w:pStyle w:val="ListBullet"/>
      </w:pPr>
      <w:r>
        <w:t>Configurable fee, tax, and entitlement engines</w:t>
      </w:r>
    </w:p>
    <w:p>
      <w:pPr>
        <w:pStyle w:val="ListBullet"/>
      </w:pPr>
      <w:r>
        <w:rPr>
          <w:b/>
        </w:rPr>
        <w:t>Jurisdiction Plugins (Localization Layer)</w:t>
      </w:r>
    </w:p>
    <w:p>
      <w:pPr>
        <w:pStyle w:val="ListBullet"/>
      </w:pPr>
      <w:r>
        <w:t>Regulator rule packs (e.g., SEBON, NRB, Beema Samiti)</w:t>
      </w:r>
    </w:p>
    <w:p>
      <w:pPr>
        <w:pStyle w:val="ListBullet"/>
      </w:pPr>
      <w:r>
        <w:t>Exchange adapters (e.g., NEPSE feed model)</w:t>
      </w:r>
    </w:p>
    <w:p>
      <w:pPr>
        <w:pStyle w:val="ListBullet"/>
      </w:pPr>
      <w:r>
        <w:t>Depository adapters (e.g., CDSC integration contract)</w:t>
      </w:r>
    </w:p>
    <w:p>
      <w:pPr>
        <w:pStyle w:val="ListBullet"/>
      </w:pPr>
      <w:r>
        <w:t>Instrument-type extensions (e.g., irredeemable preference shares)</w:t>
      </w:r>
    </w:p>
    <w:p>
      <w:pPr>
        <w:pStyle w:val="ListBullet"/>
      </w:pPr>
      <w:r>
        <w:t>Tax computation packs (e.g., Nepal CGT/TDS rules)</w:t>
      </w:r>
    </w:p>
    <w:p>
      <w:pPr>
        <w:pStyle w:val="ListBullet"/>
      </w:pPr>
      <w:r>
        <w:t>Language packs (Nepali-first, English secondary)</w:t>
      </w:r>
    </w:p>
    <w:p>
      <w:pPr>
        <w:pStyle w:val="ListBullet"/>
      </w:pPr>
      <w:r>
        <w:t>Calendar packs (Bikram Sambat support)</w:t>
      </w:r>
    </w:p>
    <w:p>
      <w:pPr>
        <w:pStyle w:val="ListBullet"/>
      </w:pPr>
      <w:r>
        <w:rPr>
          <w:b/>
        </w:rPr>
        <w:t>Operator Packs (Role-Specific Layer)</w:t>
      </w:r>
    </w:p>
    <w:p>
      <w:pPr>
        <w:pStyle w:val="ListBullet"/>
      </w:pPr>
      <w:r>
        <w:t>Broker pack</w:t>
      </w:r>
    </w:p>
    <w:p>
      <w:pPr>
        <w:pStyle w:val="ListBullet"/>
      </w:pPr>
      <w:r>
        <w:t>Merchant banker / RTA pack</w:t>
      </w:r>
    </w:p>
    <w:p>
      <w:pPr>
        <w:pStyle w:val="ListBullet"/>
      </w:pPr>
      <w:r>
        <w:t>Fund manager pack</w:t>
      </w:r>
    </w:p>
    <w:p>
      <w:pPr>
        <w:pStyle w:val="ListBullet"/>
      </w:pPr>
      <w:r>
        <w:t>Depository participant pack</w:t>
      </w:r>
    </w:p>
    <w:p>
      <w:pPr>
        <w:pStyle w:val="ListBullet"/>
      </w:pPr>
      <w:r>
        <w:t>Issuer pack</w:t>
      </w:r>
    </w:p>
    <w:p>
      <w:pPr>
        <w:pStyle w:val="ListBullet"/>
      </w:pPr>
      <w:r>
        <w:t>Regulator supervisory pack</w:t>
      </w:r>
    </w:p>
    <w:p>
      <w:r>
        <w:t>This separation ensures that:</w:t>
      </w:r>
    </w:p>
    <w:p>
      <w:pPr>
        <w:pStyle w:val="ListNumber"/>
      </w:pPr>
      <w:r>
        <w:t>No core logic is hardcoded to Nepal-specific rules.</w:t>
      </w:r>
    </w:p>
    <w:p>
      <w:pPr>
        <w:pStyle w:val="ListNumber"/>
      </w:pPr>
      <w:r>
        <w:t>Country-specific regulatory changes are implemented as plugin upgrades, not system rewrites.</w:t>
      </w:r>
    </w:p>
    <w:p>
      <w:pPr>
        <w:pStyle w:val="ListNumber"/>
      </w:pPr>
      <w:r>
        <w:t>Regional expansion (India, Bangladesh, Sri Lanka, Myanmar) becomes a matter of adding new regulator + exchange + tax packs.</w:t>
      </w:r>
    </w:p>
    <w:p>
      <w:pPr>
        <w:pStyle w:val="ListNumber"/>
      </w:pPr>
      <w:r>
        <w:t>Multi-country deployment can coexist in a single core platform without regulatory cross-contamination.</w:t>
      </w:r>
    </w:p>
    <w:p>
      <w:r>
        <w:t xml:space="preserve">Nepal is the </w:t>
      </w:r>
      <w:r>
        <w:rPr>
          <w:b/>
        </w:rPr>
        <w:t>first instantiation</w:t>
      </w:r>
      <w:r>
        <w:t>, not the architectural boundary.</w:t>
      </w:r>
    </w:p>
    <w:p>
      <w:pPr>
        <w:pStyle w:val="Heading4"/>
      </w:pPr>
      <w:r>
        <w:t>**Core vs Plugin Responsibility Matrix**</w:t>
      </w:r>
    </w:p>
    <w:p>
      <w:r>
        <w:t>The table below defines strict separation of concerns between the Generic Core and all Plugin layers. Engineering teams must treat this as a non-negotiable architectural boundary.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Capability Domain</w:t>
            </w:r>
          </w:p>
        </w:tc>
        <w:tc>
          <w:tcPr>
            <w:tcW w:type="dxa" w:w="2160"/>
            <w:shd w:fill="D9EAF7"/>
          </w:tcPr>
          <w:p>
            <w:r>
              <w:rPr>
                <w:b/>
              </w:rPr>
            </w:r>
            <w:r>
              <w:rPr>
                <w:b/>
              </w:rPr>
              <w:t>Generic Core Responsibility</w:t>
            </w:r>
          </w:p>
        </w:tc>
        <w:tc>
          <w:tcPr>
            <w:tcW w:type="dxa" w:w="2160"/>
            <w:shd w:fill="D9EAF7"/>
          </w:tcPr>
          <w:p>
            <w:r>
              <w:rPr>
                <w:b/>
              </w:rPr>
            </w:r>
            <w:r>
              <w:rPr>
                <w:b/>
              </w:rPr>
              <w:t>Jurisdiction Plugin Responsibility</w:t>
            </w:r>
          </w:p>
        </w:tc>
        <w:tc>
          <w:tcPr>
            <w:tcW w:type="dxa" w:w="2160"/>
            <w:shd w:fill="D9EAF7"/>
          </w:tcPr>
          <w:p>
            <w:r>
              <w:rPr>
                <w:b/>
              </w:rPr>
            </w:r>
            <w:r>
              <w:rPr>
                <w:b/>
              </w:rPr>
              <w:t>Operator Pack Responsibility</w:t>
            </w:r>
          </w:p>
        </w:tc>
      </w:tr>
      <w:tr>
        <w:tc>
          <w:tcPr>
            <w:tcW w:type="dxa" w:w="2160"/>
          </w:tcPr>
          <w:p>
            <w:r/>
            <w:r>
              <w:rPr>
                <w:b/>
              </w:rPr>
              <w:t>Ledger &amp; Accounting</w:t>
            </w:r>
          </w:p>
        </w:tc>
        <w:tc>
          <w:tcPr>
            <w:tcW w:type="dxa" w:w="2160"/>
          </w:tcPr>
          <w:p>
            <w:r/>
            <w:r>
              <w:t>Event-sourced double-entry ledger; immutable audit trail; DvP abstraction; multi-currency support</w:t>
            </w:r>
          </w:p>
        </w:tc>
        <w:tc>
          <w:tcPr>
            <w:tcW w:type="dxa" w:w="2160"/>
          </w:tcPr>
          <w:p>
            <w:r/>
            <w:r>
              <w:t>Settlement-cycle configuration (e.g., T+2 vs T+1); regulatory posting rules</w:t>
            </w:r>
          </w:p>
        </w:tc>
        <w:tc>
          <w:tcPr>
            <w:tcW w:type="dxa" w:w="2160"/>
          </w:tcPr>
          <w:p>
            <w:r/>
            <w:r>
              <w:t>Broker-specific sub-ledger structure; chart-of-accounts customization</w:t>
            </w:r>
          </w:p>
        </w:tc>
      </w:tr>
      <w:tr>
        <w:tc>
          <w:tcPr>
            <w:tcW w:type="dxa" w:w="2160"/>
          </w:tcPr>
          <w:p>
            <w:r/>
            <w:r>
              <w:rPr>
                <w:b/>
              </w:rPr>
              <w:t>Order Management</w:t>
            </w:r>
          </w:p>
        </w:tc>
        <w:tc>
          <w:tcPr>
            <w:tcW w:type="dxa" w:w="2160"/>
          </w:tcPr>
          <w:p>
            <w:r/>
            <w:r>
              <w:t>Order lifecycle state machine; risk-check framework; market-agnostic execution abstraction</w:t>
            </w:r>
          </w:p>
        </w:tc>
        <w:tc>
          <w:tcPr>
            <w:tcW w:type="dxa" w:w="2160"/>
          </w:tcPr>
          <w:p>
            <w:r/>
            <w:r>
              <w:t>Exchange rule pack (tick size, circuit limits, allowed order types)</w:t>
            </w:r>
          </w:p>
        </w:tc>
        <w:tc>
          <w:tcPr>
            <w:tcW w:type="dxa" w:w="2160"/>
          </w:tcPr>
          <w:p>
            <w:r/>
            <w:r>
              <w:t>Broker exposure limits; internal dealing-desk controls</w:t>
            </w:r>
          </w:p>
        </w:tc>
      </w:tr>
      <w:tr>
        <w:tc>
          <w:tcPr>
            <w:tcW w:type="dxa" w:w="2160"/>
          </w:tcPr>
          <w:p>
            <w:r/>
            <w:r>
              <w:rPr>
                <w:b/>
              </w:rPr>
              <w:t>Corporate Actions Engine</w:t>
            </w:r>
          </w:p>
        </w:tc>
        <w:tc>
          <w:tcPr>
            <w:tcW w:type="dxa" w:w="2160"/>
          </w:tcPr>
          <w:p>
            <w:r/>
            <w:r>
              <w:t>Generic entitlement engine; record-date logic; fractional handling; tax hook framework</w:t>
            </w:r>
          </w:p>
        </w:tc>
        <w:tc>
          <w:tcPr>
            <w:tcW w:type="dxa" w:w="2160"/>
          </w:tcPr>
          <w:p>
            <w:r/>
            <w:r>
              <w:t>Jurisdiction-specific CA rules (bonus %, rights mechanics, lock-in interpretation)</w:t>
            </w:r>
          </w:p>
        </w:tc>
        <w:tc>
          <w:tcPr>
            <w:tcW w:type="dxa" w:w="2160"/>
          </w:tcPr>
          <w:p>
            <w:r/>
            <w:r>
              <w:t>Issuer workflow configuration; approval routing; RTA process details</w:t>
            </w:r>
          </w:p>
        </w:tc>
      </w:tr>
      <w:tr>
        <w:tc>
          <w:tcPr>
            <w:tcW w:type="dxa" w:w="2160"/>
          </w:tcPr>
          <w:p>
            <w:r/>
            <w:r>
              <w:rPr>
                <w:b/>
              </w:rPr>
              <w:t>Compliance Framework</w:t>
            </w:r>
          </w:p>
        </w:tc>
        <w:tc>
          <w:tcPr>
            <w:tcW w:type="dxa" w:w="2160"/>
          </w:tcPr>
          <w:p>
            <w:r/>
            <w:r>
              <w:t>Policy engine; rule evaluation engine; explainability framework; audit logging</w:t>
            </w:r>
          </w:p>
        </w:tc>
        <w:tc>
          <w:tcPr>
            <w:tcW w:type="dxa" w:w="2160"/>
          </w:tcPr>
          <w:p>
            <w:r/>
            <w:r>
              <w:t>Regulator rule packs (SEBON, NRB, etc.); sector lock-in rules; reporting schemas</w:t>
            </w:r>
          </w:p>
        </w:tc>
        <w:tc>
          <w:tcPr>
            <w:tcW w:type="dxa" w:w="2160"/>
          </w:tcPr>
          <w:p>
            <w:r/>
            <w:r>
              <w:t>Internal compliance dashboards; remediation workflow</w:t>
            </w:r>
          </w:p>
        </w:tc>
      </w:tr>
      <w:tr>
        <w:tc>
          <w:tcPr>
            <w:tcW w:type="dxa" w:w="2160"/>
          </w:tcPr>
          <w:p>
            <w:r/>
            <w:r>
              <w:rPr>
                <w:b/>
              </w:rPr>
              <w:t>Tax Engine</w:t>
            </w:r>
          </w:p>
        </w:tc>
        <w:tc>
          <w:tcPr>
            <w:tcW w:type="dxa" w:w="2160"/>
          </w:tcPr>
          <w:p>
            <w:r/>
            <w:r>
              <w:t>Pluggable tax-calculation framework; transaction tagging; withholding hooks</w:t>
            </w:r>
          </w:p>
        </w:tc>
        <w:tc>
          <w:tcPr>
            <w:tcW w:type="dxa" w:w="2160"/>
          </w:tcPr>
          <w:p>
            <w:r/>
            <w:r>
              <w:t>Country-specific tax rates, CGT logic, TDS rules, reporting formats</w:t>
            </w:r>
          </w:p>
        </w:tc>
        <w:tc>
          <w:tcPr>
            <w:tcW w:type="dxa" w:w="2160"/>
          </w:tcPr>
          <w:p>
            <w:r/>
            <w:r>
              <w:t>Entity-specific overrides where permitted</w:t>
            </w:r>
          </w:p>
        </w:tc>
      </w:tr>
      <w:tr>
        <w:tc>
          <w:tcPr>
            <w:tcW w:type="dxa" w:w="2160"/>
          </w:tcPr>
          <w:p>
            <w:r/>
            <w:r>
              <w:rPr>
                <w:b/>
              </w:rPr>
              <w:t>Calendar &amp; Time</w:t>
            </w:r>
          </w:p>
        </w:tc>
        <w:tc>
          <w:tcPr>
            <w:tcW w:type="dxa" w:w="2160"/>
          </w:tcPr>
          <w:p>
            <w:r/>
            <w:r>
              <w:t>Dual-calendar engine; timezone abstraction; fiscal-period framework</w:t>
            </w:r>
          </w:p>
        </w:tc>
        <w:tc>
          <w:tcPr>
            <w:tcW w:type="dxa" w:w="2160"/>
          </w:tcPr>
          <w:p>
            <w:r/>
            <w:r>
              <w:t>Local holiday calendar; BS ↔ Gregorian conversion rules</w:t>
            </w:r>
          </w:p>
        </w:tc>
        <w:tc>
          <w:tcPr>
            <w:tcW w:type="dxa" w:w="2160"/>
          </w:tcPr>
          <w:p>
            <w:r/>
            <w:r>
              <w:t>Reporting schedule configuration per operator</w:t>
            </w:r>
          </w:p>
        </w:tc>
      </w:tr>
      <w:tr>
        <w:tc>
          <w:tcPr>
            <w:tcW w:type="dxa" w:w="2160"/>
          </w:tcPr>
          <w:p>
            <w:r/>
            <w:r>
              <w:rPr>
                <w:b/>
              </w:rPr>
              <w:t>Identity &amp; KYC</w:t>
            </w:r>
          </w:p>
        </w:tc>
        <w:tc>
          <w:tcPr>
            <w:tcW w:type="dxa" w:w="2160"/>
          </w:tcPr>
          <w:p>
            <w:r/>
            <w:r>
              <w:t>Identity abstraction; document-verification framework; consent logging</w:t>
            </w:r>
          </w:p>
        </w:tc>
        <w:tc>
          <w:tcPr>
            <w:tcW w:type="dxa" w:w="2160"/>
          </w:tcPr>
          <w:p>
            <w:r/>
            <w:r>
              <w:t>National-ID integration adapters; regulator KYC schema</w:t>
            </w:r>
          </w:p>
        </w:tc>
        <w:tc>
          <w:tcPr>
            <w:tcW w:type="dxa" w:w="2160"/>
          </w:tcPr>
          <w:p>
            <w:r/>
            <w:r>
              <w:t>Operator onboarding workflow; internal risk scoring overlays</w:t>
            </w:r>
          </w:p>
        </w:tc>
      </w:tr>
      <w:tr>
        <w:tc>
          <w:tcPr>
            <w:tcW w:type="dxa" w:w="2160"/>
          </w:tcPr>
          <w:p>
            <w:r/>
            <w:r>
              <w:rPr>
                <w:b/>
              </w:rPr>
              <w:t>Integration Layer</w:t>
            </w:r>
          </w:p>
        </w:tc>
        <w:tc>
          <w:tcPr>
            <w:tcW w:type="dxa" w:w="2160"/>
          </w:tcPr>
          <w:p>
            <w:r/>
            <w:r>
              <w:t>Stable internal service contracts; adapter SDK; retry &amp; idempotency framework</w:t>
            </w:r>
          </w:p>
        </w:tc>
        <w:tc>
          <w:tcPr>
            <w:tcW w:type="dxa" w:w="2160"/>
          </w:tcPr>
          <w:p>
            <w:r/>
            <w:r>
              <w:t>Exchange/depository/payment adapters (NEPSE, CDSC, ASBA, etc.)</w:t>
            </w:r>
          </w:p>
        </w:tc>
        <w:tc>
          <w:tcPr>
            <w:tcW w:type="dxa" w:w="2160"/>
          </w:tcPr>
          <w:p>
            <w:r/>
            <w:r>
              <w:t>Tenant credential management; integration enablement flags</w:t>
            </w:r>
          </w:p>
        </w:tc>
      </w:tr>
      <w:tr>
        <w:tc>
          <w:tcPr>
            <w:tcW w:type="dxa" w:w="2160"/>
          </w:tcPr>
          <w:p>
            <w:r/>
            <w:r>
              <w:rPr>
                <w:b/>
              </w:rPr>
              <w:t>AI Services Layer</w:t>
            </w:r>
          </w:p>
        </w:tc>
        <w:tc>
          <w:tcPr>
            <w:tcW w:type="dxa" w:w="2160"/>
          </w:tcPr>
          <w:p>
            <w:r/>
            <w:r>
              <w:t>Model registry; RAG framework; monitoring; explainability; bounded-autonomy controls</w:t>
            </w:r>
          </w:p>
        </w:tc>
        <w:tc>
          <w:tcPr>
            <w:tcW w:type="dxa" w:w="2160"/>
          </w:tcPr>
          <w:p>
            <w:r/>
            <w:r>
              <w:t>Regulator-aligned AI governance thresholds; jurisdiction-specific AI restrictions</w:t>
            </w:r>
          </w:p>
        </w:tc>
        <w:tc>
          <w:tcPr>
            <w:tcW w:type="dxa" w:w="2160"/>
          </w:tcPr>
          <w:p>
            <w:r/>
            <w:r>
              <w:t>Operator autonomy-level configuration; risk-acceptance thresholds</w:t>
            </w:r>
          </w:p>
        </w:tc>
      </w:tr>
      <w:tr>
        <w:tc>
          <w:tcPr>
            <w:tcW w:type="dxa" w:w="2160"/>
          </w:tcPr>
          <w:p>
            <w:r/>
            <w:r>
              <w:rPr>
                <w:b/>
              </w:rPr>
              <w:t>Reporting &amp; Templates</w:t>
            </w:r>
          </w:p>
        </w:tc>
        <w:tc>
          <w:tcPr>
            <w:tcW w:type="dxa" w:w="2160"/>
          </w:tcPr>
          <w:p>
            <w:r/>
            <w:r>
              <w:t>Report-generation engine; templating system; export formats (PDF/CSV/XBRL)</w:t>
            </w:r>
          </w:p>
        </w:tc>
        <w:tc>
          <w:tcPr>
            <w:tcW w:type="dxa" w:w="2160"/>
          </w:tcPr>
          <w:p>
            <w:r/>
            <w:r>
              <w:t>Regulator-mandated report schemas and periodicity</w:t>
            </w:r>
          </w:p>
        </w:tc>
        <w:tc>
          <w:tcPr>
            <w:tcW w:type="dxa" w:w="2160"/>
          </w:tcPr>
          <w:p>
            <w:r/>
            <w:r>
              <w:t>Branding; internal MIS customization</w:t>
            </w:r>
          </w:p>
        </w:tc>
      </w:tr>
      <w:tr>
        <w:tc>
          <w:tcPr>
            <w:tcW w:type="dxa" w:w="2160"/>
          </w:tcPr>
          <w:p>
            <w:r/>
            <w:r>
              <w:rPr>
                <w:b/>
              </w:rPr>
              <w:t>Multi-Tenancy</w:t>
            </w:r>
          </w:p>
        </w:tc>
        <w:tc>
          <w:tcPr>
            <w:tcW w:type="dxa" w:w="2160"/>
          </w:tcPr>
          <w:p>
            <w:r/>
            <w:r>
              <w:t>Tenant isolation model; namespace segregation; data boundary enforcement</w:t>
            </w:r>
          </w:p>
        </w:tc>
        <w:tc>
          <w:tcPr>
            <w:tcW w:type="dxa" w:w="2160"/>
          </w:tcPr>
          <w:p>
            <w:r/>
            <w:r>
              <w:t>Jurisdiction-level namespace scoping</w:t>
            </w:r>
          </w:p>
        </w:tc>
        <w:tc>
          <w:tcPr>
            <w:tcW w:type="dxa" w:w="2160"/>
          </w:tcPr>
          <w:p>
            <w:r/>
            <w:r>
              <w:t>Per-operator configuration; resource-tier selection</w:t>
            </w:r>
          </w:p>
        </w:tc>
      </w:tr>
    </w:tbl>
    <w:p>
      <w:r>
        <w:rPr>
          <w:b/>
        </w:rPr>
        <w:t>Engineering enforcement rules:</w:t>
      </w:r>
    </w:p>
    <w:p>
      <w:pPr>
        <w:pStyle w:val="ListNumber"/>
      </w:pPr>
      <w:r>
        <w:t>Core services must not import jurisdiction-specific constants directly.</w:t>
      </w:r>
    </w:p>
    <w:p>
      <w:pPr>
        <w:pStyle w:val="ListNumber"/>
      </w:pPr>
      <w:r>
        <w:t>All regulator thresholds (e.g., margin %, capital requirements, disclosure timelines) must be defined in rule-pack configuration.</w:t>
      </w:r>
    </w:p>
    <w:p>
      <w:pPr>
        <w:pStyle w:val="ListNumber"/>
      </w:pPr>
      <w:r>
        <w:t>Exchange-specific behavior must be implemented only inside adapters or exchange-rule packs.</w:t>
      </w:r>
    </w:p>
    <w:p>
      <w:pPr>
        <w:pStyle w:val="ListNumber"/>
      </w:pPr>
      <w:r>
        <w:t>Unit tests for core modules must pass without loading any Nepal-specific plugin.</w:t>
      </w:r>
    </w:p>
    <w:p>
      <w:pPr>
        <w:pStyle w:val="ListNumber"/>
      </w:pPr>
      <w:r>
        <w:t>A new-country rollout must be achievable by adding new rule packs + adapters without modifying core domain logic.</w:t>
      </w:r>
    </w:p>
    <w:p>
      <w:r>
        <w:t>Any violation of these rules is an architectural regression.</w:t>
      </w:r>
    </w:p>
    <w:p>
      <w:pPr>
        <w:pStyle w:val="Heading4"/>
      </w:pPr>
      <w:r>
        <w:t>**Why AI-Native is Essential for Nepal**</w:t>
      </w:r>
    </w:p>
    <w:p>
      <w:r>
        <w:t>Nepal's capital market infrastructure is wrestling with challenges that are perfectly suited for an AI-first approach. The failure of the "flagging code" system to prevent illegal trading of locked shares is a foundational problem that rule-based systems cannot solve.</w:t>
      </w:r>
    </w:p>
    <w:p>
      <w:pPr>
        <w:pStyle w:val="ListBullet"/>
      </w:pPr>
      <w:r>
        <w:rPr>
          <w:b/>
        </w:rPr>
        <w:t>From Flagging to Intelligence:</w:t>
      </w:r>
      <w:r>
        <w:t xml:space="preserve"> Instead of a static flag, an AI-native ledger can enforce policy-driven lock-in controls. The system does not just mark a share; it models the legal and temporal rules governing it. Clear rule breaches can be blocked by deterministic controls, while ambiguous cases are routed to human review with a tamper-evident audit trail for regulators like SEBON and CDSC.</w:t>
      </w:r>
    </w:p>
    <w:p>
      <w:pPr>
        <w:pStyle w:val="ListBullet"/>
      </w:pPr>
      <w:r>
        <w:rPr>
          <w:b/>
        </w:rPr>
        <w:t>The "Dual ISIN" Dilemma:</w:t>
      </w:r>
      <w:r>
        <w:t xml:space="preserve"> The current debate—whether to use one ISIN or two—is a symptom of a deeper data integrity issue. An AI-native platform with a robust knowledge graph can manage this complexity dynamically. It can support a single ISIN with rich attributes or a dual-ISIN model if regulators require it, reducing operational friction without pre-judging the final policy outcome.</w:t>
      </w:r>
    </w:p>
    <w:p>
      <w:pPr>
        <w:pStyle w:val="ListBullet"/>
      </w:pPr>
      <w:r>
        <w:rPr>
          <w:b/>
        </w:rPr>
        <w:t>Automated Regulatory Reporting:</w:t>
      </w:r>
      <w:r>
        <w:t xml:space="preserve"> With SEBON and NRB issuing new directives on margin trading and KYC, the reporting burden on 90 brokers, 122 DPs, and 32 merchant bankers will increase materially. An AI copilot can pre-populate, validate, and reconcile draft reports from the platform's source data, while final submissions remain subject to human approval.</w:t>
      </w:r>
    </w:p>
    <w:p>
      <w:pPr>
        <w:pStyle w:val="ListBullet"/>
      </w:pPr>
      <w:r>
        <w:rPr>
          <w:b/>
        </w:rPr>
        <w:t>Corporate Actions Automation:</w:t>
      </w:r>
      <w:r>
        <w:t xml:space="preserve"> Bonus shares, rights issues, and dividend distributions are among the highest-volume but most error-prone operations in Nepal. AI-native processing can automate straight-through entitlement calculation and reconciliation for standard cases, while routing exceptions and edge cases for operational review.</w:t>
      </w:r>
    </w:p>
    <w:p>
      <w:pPr>
        <w:pStyle w:val="ListBullet"/>
      </w:pPr>
      <w:r>
        <w:rPr>
          <w:b/>
        </w:rPr>
        <w:t>IPO Allotment Intelligence:</w:t>
      </w:r>
      <w:r>
        <w:t xml:space="preserve"> With 43 ASBA-service banks and millions of applications per IPO, the allotment process is a recurring bottleneck. AI can optimize allotment algorithms, detect duplicate applications, and automate the ASBA unblocking process across the banking network.</w:t>
      </w:r>
    </w:p>
    <w:p>
      <w:pPr>
        <w:pStyle w:val="Heading4"/>
      </w:pPr>
      <w:r>
        <w:t>**The National AI Conversation Has Begun**</w:t>
      </w:r>
    </w:p>
    <w:p>
      <w:r>
        <w:t xml:space="preserve">[VERIFY] The national conversation on AI in capital markets has officially begun, with the 'Capital Market in AI Era' interaction reported on January 29, 2026, featuring NEPSE leadership discussing AI's regulatory role. This signals a receptive policy environment. NRB published </w:t>
      </w:r>
      <w:r>
        <w:rPr>
          <w:b/>
        </w:rPr>
        <w:t>AI Guidelines (December 2025)</w:t>
      </w:r>
      <w:r>
        <w:t xml:space="preserve"> for banks and financial institutions, providing a governance baseline that Siddhanta can align to, while still requiring conservative rollout of high-impact AI use cases.</w:t>
      </w:r>
    </w:p>
    <w:p>
      <w:r>
        <w:t>---</w:t>
      </w:r>
    </w:p>
    <w:p>
      <w:pPr>
        <w:pStyle w:val="Heading3"/>
      </w:pPr>
      <w:r>
        <w:t>**1. The Nepalese Market Landscape: A Complete Picture**</w:t>
      </w:r>
    </w:p>
    <w:p>
      <w:pPr>
        <w:pStyle w:val="Heading4"/>
      </w:pPr>
      <w:r>
        <w:t>**1.1. Market Ecosystem Map**</w:t>
      </w:r>
    </w:p>
    <w:p>
      <w:r>
        <w:t>Nepal's capital market ecosystem is compact but interconnected. Understanding the full picture is essential for platform design.</w:t>
      </w:r>
    </w:p>
    <w:p>
      <w:pPr>
        <w:jc w:val="center"/>
      </w:pPr>
      <w:r>
        <w:drawing>
          <wp:inline xmlns:a="http://schemas.openxmlformats.org/drawingml/2006/main" xmlns:pic="http://schemas.openxmlformats.org/drawingml/2006/picture">
            <wp:extent cx="5943600" cy="34165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416559"/>
                    </a:xfrm>
                    <a:prstGeom prst="rect"/>
                  </pic:spPr>
                </pic:pic>
              </a:graphicData>
            </a:graphic>
          </wp:inline>
        </w:drawing>
      </w:r>
    </w:p>
    <w:p>
      <w:pPr>
        <w:jc w:val="center"/>
      </w:pPr>
      <w:r>
        <w:rPr>
          <w:i/>
          <w:sz w:val="18"/>
        </w:rPr>
        <w:t>Diagram: flowchart TB</w:t>
      </w:r>
    </w:p>
    <w:p>
      <w:pPr>
        <w:pStyle w:val="Heading4"/>
      </w:pPr>
      <w:r>
        <w:t>**1.2. Market Infrastructure Scale (Current Snapshot; Revalidate Before Go-Live)**</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Indicator</w:t>
            </w:r>
          </w:p>
        </w:tc>
        <w:tc>
          <w:tcPr>
            <w:tcW w:type="dxa" w:w="2880"/>
            <w:shd w:fill="D9EAF7"/>
          </w:tcPr>
          <w:p>
            <w:r>
              <w:rPr>
                <w:b/>
              </w:rPr>
            </w:r>
            <w:r>
              <w:rPr>
                <w:b/>
              </w:rPr>
              <w:t>Value</w:t>
            </w:r>
          </w:p>
        </w:tc>
        <w:tc>
          <w:tcPr>
            <w:tcW w:type="dxa" w:w="2880"/>
            <w:shd w:fill="D9EAF7"/>
          </w:tcPr>
          <w:p>
            <w:r>
              <w:rPr>
                <w:b/>
              </w:rPr>
            </w:r>
            <w:r>
              <w:rPr>
                <w:b/>
              </w:rPr>
              <w:t>Reference ID</w:t>
            </w:r>
          </w:p>
        </w:tc>
      </w:tr>
      <w:tr>
        <w:tc>
          <w:tcPr>
            <w:tcW w:type="dxa" w:w="2880"/>
          </w:tcPr>
          <w:p>
            <w:r/>
            <w:r>
              <w:rPr>
                <w:b/>
              </w:rPr>
              <w:t>Demat Accounts</w:t>
            </w:r>
          </w:p>
        </w:tc>
        <w:tc>
          <w:tcPr>
            <w:tcW w:type="dxa" w:w="2880"/>
          </w:tcPr>
          <w:p>
            <w:r/>
            <w:r>
              <w:t>7,511,020</w:t>
            </w:r>
          </w:p>
        </w:tc>
        <w:tc>
          <w:tcPr>
            <w:tcW w:type="dxa" w:w="2880"/>
          </w:tcPr>
          <w:p>
            <w:r/>
            <w:r>
              <w:rPr>
                <w:rFonts w:ascii="Courier New" w:hAnsi="Courier New"/>
                <w:sz w:val="20"/>
              </w:rPr>
              <w:t>ASR-NEP-CDSC-2026-03-01</w:t>
            </w:r>
          </w:p>
        </w:tc>
      </w:tr>
      <w:tr>
        <w:tc>
          <w:tcPr>
            <w:tcW w:type="dxa" w:w="2880"/>
          </w:tcPr>
          <w:p>
            <w:r/>
            <w:r>
              <w:rPr>
                <w:b/>
              </w:rPr>
              <w:t>Registered Meroshare Users</w:t>
            </w:r>
          </w:p>
        </w:tc>
        <w:tc>
          <w:tcPr>
            <w:tcW w:type="dxa" w:w="2880"/>
          </w:tcPr>
          <w:p>
            <w:r/>
            <w:r>
              <w:t>6,586,798</w:t>
            </w:r>
          </w:p>
        </w:tc>
        <w:tc>
          <w:tcPr>
            <w:tcW w:type="dxa" w:w="2880"/>
          </w:tcPr>
          <w:p>
            <w:r/>
            <w:r>
              <w:rPr>
                <w:rFonts w:ascii="Courier New" w:hAnsi="Courier New"/>
                <w:sz w:val="20"/>
              </w:rPr>
              <w:t>ASR-NEP-CDSC-2026-03-01</w:t>
            </w:r>
          </w:p>
        </w:tc>
      </w:tr>
      <w:tr>
        <w:tc>
          <w:tcPr>
            <w:tcW w:type="dxa" w:w="2880"/>
          </w:tcPr>
          <w:p>
            <w:r/>
            <w:r>
              <w:rPr>
                <w:b/>
              </w:rPr>
              <w:t>Listed Companies</w:t>
            </w:r>
          </w:p>
        </w:tc>
        <w:tc>
          <w:tcPr>
            <w:tcW w:type="dxa" w:w="2880"/>
          </w:tcPr>
          <w:p>
            <w:r/>
            <w:r>
              <w:t>270+</w:t>
            </w:r>
          </w:p>
        </w:tc>
        <w:tc>
          <w:tcPr>
            <w:tcW w:type="dxa" w:w="2880"/>
          </w:tcPr>
          <w:p>
            <w:r/>
            <w:r>
              <w:rPr>
                <w:rFonts w:ascii="Courier New" w:hAnsi="Courier New"/>
                <w:sz w:val="20"/>
              </w:rPr>
              <w:t>ASR-NEP-MKT-ILL-2025</w:t>
            </w:r>
          </w:p>
        </w:tc>
      </w:tr>
      <w:tr>
        <w:tc>
          <w:tcPr>
            <w:tcW w:type="dxa" w:w="2880"/>
          </w:tcPr>
          <w:p>
            <w:r/>
            <w:r>
              <w:rPr>
                <w:b/>
              </w:rPr>
              <w:t>Stock Brokers</w:t>
            </w:r>
          </w:p>
        </w:tc>
        <w:tc>
          <w:tcPr>
            <w:tcW w:type="dxa" w:w="2880"/>
          </w:tcPr>
          <w:p>
            <w:r/>
            <w:r>
              <w:t>90</w:t>
            </w:r>
          </w:p>
        </w:tc>
        <w:tc>
          <w:tcPr>
            <w:tcW w:type="dxa" w:w="2880"/>
          </w:tcPr>
          <w:p>
            <w:r/>
            <w:r>
              <w:rPr>
                <w:rFonts w:ascii="Courier New" w:hAnsi="Courier New"/>
                <w:sz w:val="20"/>
              </w:rPr>
              <w:t>ASR-NEP-SEBON-2026-03-01</w:t>
            </w:r>
          </w:p>
        </w:tc>
      </w:tr>
      <w:tr>
        <w:tc>
          <w:tcPr>
            <w:tcW w:type="dxa" w:w="2880"/>
          </w:tcPr>
          <w:p>
            <w:r/>
            <w:r>
              <w:rPr>
                <w:b/>
              </w:rPr>
              <w:t>Stock Dealers</w:t>
            </w:r>
          </w:p>
        </w:tc>
        <w:tc>
          <w:tcPr>
            <w:tcW w:type="dxa" w:w="2880"/>
          </w:tcPr>
          <w:p>
            <w:r/>
            <w:r>
              <w:t>2</w:t>
            </w:r>
          </w:p>
        </w:tc>
        <w:tc>
          <w:tcPr>
            <w:tcW w:type="dxa" w:w="2880"/>
          </w:tcPr>
          <w:p>
            <w:r/>
            <w:r>
              <w:rPr>
                <w:rFonts w:ascii="Courier New" w:hAnsi="Courier New"/>
                <w:sz w:val="20"/>
              </w:rPr>
              <w:t>ASR-NEP-SEBON-2026-03-01</w:t>
            </w:r>
          </w:p>
        </w:tc>
      </w:tr>
      <w:tr>
        <w:tc>
          <w:tcPr>
            <w:tcW w:type="dxa" w:w="2880"/>
          </w:tcPr>
          <w:p>
            <w:r/>
            <w:r>
              <w:rPr>
                <w:b/>
              </w:rPr>
              <w:t>Merchant Bankers</w:t>
            </w:r>
          </w:p>
        </w:tc>
        <w:tc>
          <w:tcPr>
            <w:tcW w:type="dxa" w:w="2880"/>
          </w:tcPr>
          <w:p>
            <w:r/>
            <w:r>
              <w:t>32</w:t>
            </w:r>
          </w:p>
        </w:tc>
        <w:tc>
          <w:tcPr>
            <w:tcW w:type="dxa" w:w="2880"/>
          </w:tcPr>
          <w:p>
            <w:r/>
            <w:r>
              <w:rPr>
                <w:rFonts w:ascii="Courier New" w:hAnsi="Courier New"/>
                <w:sz w:val="20"/>
              </w:rPr>
              <w:t>ASR-NEP-SEBON-2026-03-01</w:t>
            </w:r>
          </w:p>
        </w:tc>
      </w:tr>
      <w:tr>
        <w:tc>
          <w:tcPr>
            <w:tcW w:type="dxa" w:w="2880"/>
          </w:tcPr>
          <w:p>
            <w:r/>
            <w:r>
              <w:rPr>
                <w:b/>
              </w:rPr>
              <w:t>Fund Manager and Depository</w:t>
            </w:r>
          </w:p>
        </w:tc>
        <w:tc>
          <w:tcPr>
            <w:tcW w:type="dxa" w:w="2880"/>
          </w:tcPr>
          <w:p>
            <w:r/>
            <w:r>
              <w:t>17 (category label; not 17 standalone fund managers)</w:t>
            </w:r>
          </w:p>
        </w:tc>
        <w:tc>
          <w:tcPr>
            <w:tcW w:type="dxa" w:w="2880"/>
          </w:tcPr>
          <w:p>
            <w:r/>
            <w:r>
              <w:rPr>
                <w:rFonts w:ascii="Courier New" w:hAnsi="Courier New"/>
                <w:sz w:val="20"/>
              </w:rPr>
              <w:t>ASR-NEP-SEBON-2026-03-01</w:t>
            </w:r>
          </w:p>
        </w:tc>
      </w:tr>
      <w:tr>
        <w:tc>
          <w:tcPr>
            <w:tcW w:type="dxa" w:w="2880"/>
          </w:tcPr>
          <w:p>
            <w:r/>
            <w:r>
              <w:rPr>
                <w:b/>
              </w:rPr>
              <w:t>Depository Participants</w:t>
            </w:r>
          </w:p>
        </w:tc>
        <w:tc>
          <w:tcPr>
            <w:tcW w:type="dxa" w:w="2880"/>
          </w:tcPr>
          <w:p>
            <w:r/>
            <w:r>
              <w:t>122</w:t>
            </w:r>
          </w:p>
        </w:tc>
        <w:tc>
          <w:tcPr>
            <w:tcW w:type="dxa" w:w="2880"/>
          </w:tcPr>
          <w:p>
            <w:r/>
            <w:r>
              <w:rPr>
                <w:rFonts w:ascii="Courier New" w:hAnsi="Courier New"/>
                <w:sz w:val="20"/>
              </w:rPr>
              <w:t>ASR-NEP-SEBON-2026-03-01</w:t>
            </w:r>
          </w:p>
        </w:tc>
      </w:tr>
      <w:tr>
        <w:tc>
          <w:tcPr>
            <w:tcW w:type="dxa" w:w="2880"/>
          </w:tcPr>
          <w:p>
            <w:r/>
            <w:r>
              <w:rPr>
                <w:b/>
              </w:rPr>
              <w:t>Credit Rating Agencies</w:t>
            </w:r>
          </w:p>
        </w:tc>
        <w:tc>
          <w:tcPr>
            <w:tcW w:type="dxa" w:w="2880"/>
          </w:tcPr>
          <w:p>
            <w:r/>
            <w:r>
              <w:t>3</w:t>
            </w:r>
          </w:p>
        </w:tc>
        <w:tc>
          <w:tcPr>
            <w:tcW w:type="dxa" w:w="2880"/>
          </w:tcPr>
          <w:p>
            <w:r/>
            <w:r>
              <w:rPr>
                <w:rFonts w:ascii="Courier New" w:hAnsi="Courier New"/>
                <w:sz w:val="20"/>
              </w:rPr>
              <w:t>ASR-NEP-SEBON-2026-03-01</w:t>
            </w:r>
          </w:p>
        </w:tc>
      </w:tr>
      <w:tr>
        <w:tc>
          <w:tcPr>
            <w:tcW w:type="dxa" w:w="2880"/>
          </w:tcPr>
          <w:p>
            <w:r/>
            <w:r>
              <w:rPr>
                <w:b/>
              </w:rPr>
              <w:t>ASBA Service Banks &amp; FIs</w:t>
            </w:r>
          </w:p>
        </w:tc>
        <w:tc>
          <w:tcPr>
            <w:tcW w:type="dxa" w:w="2880"/>
          </w:tcPr>
          <w:p>
            <w:r/>
            <w:r>
              <w:t>43</w:t>
            </w:r>
          </w:p>
        </w:tc>
        <w:tc>
          <w:tcPr>
            <w:tcW w:type="dxa" w:w="2880"/>
          </w:tcPr>
          <w:p>
            <w:r/>
            <w:r>
              <w:rPr>
                <w:rFonts w:ascii="Courier New" w:hAnsi="Courier New"/>
                <w:sz w:val="20"/>
              </w:rPr>
              <w:t>ASR-NEP-SEBON-2026-03-01</w:t>
            </w:r>
          </w:p>
        </w:tc>
      </w:tr>
      <w:tr>
        <w:tc>
          <w:tcPr>
            <w:tcW w:type="dxa" w:w="2880"/>
          </w:tcPr>
          <w:p>
            <w:r/>
            <w:r>
              <w:rPr>
                <w:b/>
              </w:rPr>
              <w:t>Mutual Funds</w:t>
            </w:r>
          </w:p>
        </w:tc>
        <w:tc>
          <w:tcPr>
            <w:tcW w:type="dxa" w:w="2880"/>
          </w:tcPr>
          <w:p>
            <w:r/>
            <w:r>
              <w:t>24</w:t>
            </w:r>
          </w:p>
        </w:tc>
        <w:tc>
          <w:tcPr>
            <w:tcW w:type="dxa" w:w="2880"/>
          </w:tcPr>
          <w:p>
            <w:r/>
            <w:r>
              <w:rPr>
                <w:rFonts w:ascii="Courier New" w:hAnsi="Courier New"/>
                <w:sz w:val="20"/>
              </w:rPr>
              <w:t>ASR-NEP-SEBON-2026-03-01</w:t>
            </w:r>
          </w:p>
        </w:tc>
      </w:tr>
      <w:tr>
        <w:tc>
          <w:tcPr>
            <w:tcW w:type="dxa" w:w="2880"/>
          </w:tcPr>
          <w:p>
            <w:r/>
            <w:r>
              <w:rPr>
                <w:b/>
              </w:rPr>
              <w:t>Specialized Investment Fund Managers</w:t>
            </w:r>
          </w:p>
        </w:tc>
        <w:tc>
          <w:tcPr>
            <w:tcW w:type="dxa" w:w="2880"/>
          </w:tcPr>
          <w:p>
            <w:r/>
            <w:r>
              <w:t>19</w:t>
            </w:r>
          </w:p>
        </w:tc>
        <w:tc>
          <w:tcPr>
            <w:tcW w:type="dxa" w:w="2880"/>
          </w:tcPr>
          <w:p>
            <w:r/>
            <w:r>
              <w:rPr>
                <w:rFonts w:ascii="Courier New" w:hAnsi="Courier New"/>
                <w:sz w:val="20"/>
              </w:rPr>
              <w:t>ASR-NEP-SEBON-2026-03-01</w:t>
            </w:r>
          </w:p>
        </w:tc>
      </w:tr>
      <w:tr>
        <w:tc>
          <w:tcPr>
            <w:tcW w:type="dxa" w:w="2880"/>
          </w:tcPr>
          <w:p>
            <w:r/>
            <w:r>
              <w:rPr>
                <w:b/>
              </w:rPr>
              <w:t>RTA Entries</w:t>
            </w:r>
          </w:p>
        </w:tc>
        <w:tc>
          <w:tcPr>
            <w:tcW w:type="dxa" w:w="2880"/>
          </w:tcPr>
          <w:p>
            <w:r/>
            <w:r>
              <w:t>46</w:t>
            </w:r>
          </w:p>
        </w:tc>
        <w:tc>
          <w:tcPr>
            <w:tcW w:type="dxa" w:w="2880"/>
          </w:tcPr>
          <w:p>
            <w:r/>
            <w:r>
              <w:rPr>
                <w:rFonts w:ascii="Courier New" w:hAnsi="Courier New"/>
                <w:sz w:val="20"/>
              </w:rPr>
              <w:t>ASR-NEP-CDSC-2026-03-01</w:t>
            </w:r>
          </w:p>
        </w:tc>
      </w:tr>
      <w:tr>
        <w:tc>
          <w:tcPr>
            <w:tcW w:type="dxa" w:w="2880"/>
          </w:tcPr>
          <w:p>
            <w:r/>
            <w:r>
              <w:rPr>
                <w:b/>
              </w:rPr>
              <w:t>Market Capitalization</w:t>
            </w:r>
          </w:p>
        </w:tc>
        <w:tc>
          <w:tcPr>
            <w:tcW w:type="dxa" w:w="2880"/>
          </w:tcPr>
          <w:p>
            <w:r/>
            <w:r>
              <w:t>~Rs 4,657 billion (~$34 bn USD)</w:t>
            </w:r>
          </w:p>
        </w:tc>
        <w:tc>
          <w:tcPr>
            <w:tcW w:type="dxa" w:w="2880"/>
          </w:tcPr>
          <w:p>
            <w:r/>
            <w:r>
              <w:rPr>
                <w:rFonts w:ascii="Courier New" w:hAnsi="Courier New"/>
                <w:sz w:val="20"/>
              </w:rPr>
              <w:t>ASR-NEP-MKT-ILL-2025</w:t>
            </w:r>
          </w:p>
        </w:tc>
      </w:tr>
      <w:tr>
        <w:tc>
          <w:tcPr>
            <w:tcW w:type="dxa" w:w="2880"/>
          </w:tcPr>
          <w:p>
            <w:r/>
            <w:r>
              <w:rPr>
                <w:b/>
              </w:rPr>
              <w:t>Monthly Turnover (Jan 2026)</w:t>
            </w:r>
          </w:p>
        </w:tc>
        <w:tc>
          <w:tcPr>
            <w:tcW w:type="dxa" w:w="2880"/>
          </w:tcPr>
          <w:p>
            <w:r/>
            <w:r>
              <w:t>346 million shares</w:t>
            </w:r>
          </w:p>
        </w:tc>
        <w:tc>
          <w:tcPr>
            <w:tcW w:type="dxa" w:w="2880"/>
          </w:tcPr>
          <w:p>
            <w:r/>
            <w:r>
              <w:rPr>
                <w:rFonts w:ascii="Courier New" w:hAnsi="Courier New"/>
                <w:sz w:val="20"/>
              </w:rPr>
              <w:t>ASR-NEP-TURNOVER-ILL-2026-01</w:t>
            </w:r>
          </w:p>
        </w:tc>
      </w:tr>
      <w:tr>
        <w:tc>
          <w:tcPr>
            <w:tcW w:type="dxa" w:w="2880"/>
          </w:tcPr>
          <w:p>
            <w:r/>
            <w:r>
              <w:rPr>
                <w:b/>
              </w:rPr>
              <w:t>Daily Turnover (Peak)</w:t>
            </w:r>
          </w:p>
        </w:tc>
        <w:tc>
          <w:tcPr>
            <w:tcW w:type="dxa" w:w="2880"/>
          </w:tcPr>
          <w:p>
            <w:r/>
            <w:r>
              <w:t>Rs 16.35 billion (Jan 26, 2026)</w:t>
            </w:r>
          </w:p>
        </w:tc>
        <w:tc>
          <w:tcPr>
            <w:tcW w:type="dxa" w:w="2880"/>
          </w:tcPr>
          <w:p>
            <w:r/>
            <w:r>
              <w:rPr>
                <w:rFonts w:ascii="Courier New" w:hAnsi="Courier New"/>
                <w:sz w:val="20"/>
              </w:rPr>
              <w:t>ASR-NEP-TURNOVER-ILL-2026-01</w:t>
            </w:r>
          </w:p>
        </w:tc>
      </w:tr>
      <w:tr>
        <w:tc>
          <w:tcPr>
            <w:tcW w:type="dxa" w:w="2880"/>
          </w:tcPr>
          <w:p>
            <w:r/>
            <w:r>
              <w:rPr>
                <w:b/>
              </w:rPr>
              <w:t>Settlement Cycle</w:t>
            </w:r>
          </w:p>
        </w:tc>
        <w:tc>
          <w:tcPr>
            <w:tcW w:type="dxa" w:w="2880"/>
          </w:tcPr>
          <w:p>
            <w:r/>
            <w:r>
              <w:t>Current operating convention: T+2; parameterize for future rule changes</w:t>
            </w:r>
          </w:p>
        </w:tc>
        <w:tc>
          <w:tcPr>
            <w:tcW w:type="dxa" w:w="2880"/>
          </w:tcPr>
          <w:p>
            <w:r/>
            <w:r>
              <w:rPr>
                <w:rFonts w:ascii="Courier New" w:hAnsi="Courier New"/>
                <w:sz w:val="20"/>
              </w:rPr>
              <w:t>ASR-NEP-NEPSE-OPS-ASSUMPTION</w:t>
            </w:r>
          </w:p>
        </w:tc>
      </w:tr>
      <w:tr>
        <w:tc>
          <w:tcPr>
            <w:tcW w:type="dxa" w:w="2880"/>
          </w:tcPr>
          <w:p>
            <w:r/>
            <w:r>
              <w:rPr>
                <w:b/>
              </w:rPr>
              <w:t>Trading Hours</w:t>
            </w:r>
          </w:p>
        </w:tc>
        <w:tc>
          <w:tcPr>
            <w:tcW w:type="dxa" w:w="2880"/>
          </w:tcPr>
          <w:p>
            <w:r/>
            <w:r>
              <w:t>Representative live-market window only; confirm the latest NEPSE operating notice before go-live</w:t>
            </w:r>
          </w:p>
        </w:tc>
        <w:tc>
          <w:tcPr>
            <w:tcW w:type="dxa" w:w="2880"/>
          </w:tcPr>
          <w:p>
            <w:r/>
            <w:r>
              <w:rPr>
                <w:rFonts w:ascii="Courier New" w:hAnsi="Courier New"/>
                <w:sz w:val="20"/>
              </w:rPr>
              <w:t>ASR-NEP-NEPSE-OPS-ASSUMPTION</w:t>
            </w:r>
          </w:p>
        </w:tc>
      </w:tr>
      <w:tr>
        <w:tc>
          <w:tcPr>
            <w:tcW w:type="dxa" w:w="2880"/>
          </w:tcPr>
          <w:p>
            <w:r/>
            <w:r>
              <w:rPr>
                <w:b/>
              </w:rPr>
              <w:t>Circuit Breaker</w:t>
            </w:r>
          </w:p>
        </w:tc>
        <w:tc>
          <w:tcPr>
            <w:tcW w:type="dxa" w:w="2880"/>
          </w:tcPr>
          <w:p>
            <w:r/>
            <w:r>
              <w:t>Representative price-band and halt controls; verify the latest NEPSE circular before implementation</w:t>
            </w:r>
          </w:p>
        </w:tc>
        <w:tc>
          <w:tcPr>
            <w:tcW w:type="dxa" w:w="2880"/>
          </w:tcPr>
          <w:p>
            <w:r/>
            <w:r>
              <w:rPr>
                <w:rFonts w:ascii="Courier New" w:hAnsi="Courier New"/>
                <w:sz w:val="20"/>
              </w:rPr>
              <w:t>ASR-NEP-NEPSE-OPS-ASSUMPTION</w:t>
            </w:r>
          </w:p>
        </w:tc>
      </w:tr>
      <w:tr>
        <w:tc>
          <w:tcPr>
            <w:tcW w:type="dxa" w:w="2880"/>
          </w:tcPr>
          <w:p>
            <w:r/>
            <w:r>
              <w:rPr>
                <w:b/>
              </w:rPr>
              <w:t>Fiscal Year</w:t>
            </w:r>
          </w:p>
        </w:tc>
        <w:tc>
          <w:tcPr>
            <w:tcW w:type="dxa" w:w="2880"/>
          </w:tcPr>
          <w:p>
            <w:r/>
            <w:r>
              <w:t>Shrawan–Ashadh (Bikram Sambat)</w:t>
            </w:r>
          </w:p>
        </w:tc>
        <w:tc>
          <w:tcPr>
            <w:tcW w:type="dxa" w:w="2880"/>
          </w:tcPr>
          <w:p>
            <w:r/>
            <w:r>
              <w:rPr>
                <w:rFonts w:ascii="Courier New" w:hAnsi="Courier New"/>
                <w:sz w:val="20"/>
              </w:rPr>
              <w:t>ASR-NEP-FY-STATUTORY</w:t>
            </w:r>
          </w:p>
        </w:tc>
      </w:tr>
    </w:tbl>
    <w:p>
      <w:pPr>
        <w:pStyle w:val="Heading4"/>
      </w:pPr>
      <w:r>
        <w:t>Primary-source anchors (verified)</w:t>
      </w:r>
    </w:p>
    <w:p>
      <w:pPr>
        <w:pStyle w:val="ListBullet"/>
      </w:pPr>
      <w:r>
        <w:rPr>
          <w:b/>
        </w:rPr>
        <w:t>CDSC platform counters (Demat accounts, Meroshare users, DPs, C‑ASBA, RTA entries)</w:t>
      </w:r>
      <w:r>
        <w:t xml:space="preserve">: CDSC official homepage counters (Primary: https://cdsc.com.np/). Mapped in </w:t>
      </w:r>
      <w:r>
        <w:rPr>
          <w:rFonts w:ascii="Courier New" w:hAnsi="Courier New"/>
          <w:sz w:val="20"/>
        </w:rPr>
        <w:t>Authoritative_Source_Register.md</w:t>
      </w:r>
      <w:r>
        <w:t xml:space="preserve"> as </w:t>
      </w:r>
      <w:r>
        <w:rPr>
          <w:rFonts w:ascii="Courier New" w:hAnsi="Courier New"/>
          <w:sz w:val="20"/>
        </w:rPr>
        <w:t>ASR-NEP-CDSC-2026-03-01</w:t>
      </w:r>
      <w:r>
        <w:t>.</w:t>
      </w:r>
    </w:p>
    <w:p>
      <w:pPr>
        <w:pStyle w:val="ListBullet"/>
      </w:pPr>
      <w:r>
        <w:rPr>
          <w:b/>
        </w:rPr>
        <w:t>SEBON intermediary counts (brokers, dealers, merchant bankers, fund manager &amp; depository category, DPs, credit rating agencies, ASBA institutions, mutual funds, specialized investment fund managers)</w:t>
      </w:r>
      <w:r>
        <w:t xml:space="preserve">: SEBON official intermediaries listing (Primary: https://www.sebon.gov.np/intermediaries). Mapped as </w:t>
      </w:r>
      <w:r>
        <w:rPr>
          <w:rFonts w:ascii="Courier New" w:hAnsi="Courier New"/>
          <w:sz w:val="20"/>
        </w:rPr>
        <w:t>ASR-NEP-SEBON-2026-03-01</w:t>
      </w:r>
      <w:r>
        <w:t>.</w:t>
      </w:r>
    </w:p>
    <w:p>
      <w:pPr>
        <w:ind w:left="432"/>
      </w:pPr>
      <w:r>
        <w:rPr>
          <w:i/>
        </w:rPr>
        <w:t>Note: Rows that cite `ASR-NEP-MKT-ILL-2025` or `ASR-NEP-TURNOVER-ILL-2026-01` are **illustrative benchmarks** and must not be marketed as live metrics without a current NEPSE primary publication.</w:t>
      </w:r>
    </w:p>
    <w:p>
      <w:pPr>
        <w:pStyle w:val="Heading4"/>
      </w:pPr>
      <w:r>
        <w:t>**1.3. NEPSE Trading Rules &amp; Market Microstructure**</w:t>
      </w:r>
    </w:p>
    <w:p>
      <w:r>
        <w:t>The parameters below are representative design assumptions and should be revalidated against the latest NEPSE circulars and operating notices before implementation.</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Parameter</w:t>
            </w:r>
          </w:p>
        </w:tc>
        <w:tc>
          <w:tcPr>
            <w:tcW w:type="dxa" w:w="4320"/>
            <w:shd w:fill="D9EAF7"/>
          </w:tcPr>
          <w:p>
            <w:r>
              <w:rPr>
                <w:b/>
              </w:rPr>
            </w:r>
            <w:r>
              <w:rPr>
                <w:b/>
              </w:rPr>
              <w:t>Detail</w:t>
            </w:r>
          </w:p>
        </w:tc>
      </w:tr>
      <w:tr>
        <w:tc>
          <w:tcPr>
            <w:tcW w:type="dxa" w:w="4320"/>
          </w:tcPr>
          <w:p>
            <w:r/>
            <w:r>
              <w:rPr>
                <w:b/>
              </w:rPr>
              <w:t>Trading days</w:t>
            </w:r>
          </w:p>
        </w:tc>
        <w:tc>
          <w:tcPr>
            <w:tcW w:type="dxa" w:w="4320"/>
          </w:tcPr>
          <w:p>
            <w:r/>
            <w:r>
              <w:t>Sunday–Thursday (Nepal's work week)</w:t>
            </w:r>
          </w:p>
        </w:tc>
      </w:tr>
      <w:tr>
        <w:tc>
          <w:tcPr>
            <w:tcW w:type="dxa" w:w="4320"/>
          </w:tcPr>
          <w:p>
            <w:r/>
            <w:r>
              <w:rPr>
                <w:b/>
              </w:rPr>
              <w:t>Pre-open session</w:t>
            </w:r>
          </w:p>
        </w:tc>
        <w:tc>
          <w:tcPr>
            <w:tcW w:type="dxa" w:w="4320"/>
          </w:tcPr>
          <w:p>
            <w:r/>
            <w:r>
              <w:t>Representative call-auction window; confirm the latest NEPSE notice before implementation</w:t>
            </w:r>
          </w:p>
        </w:tc>
      </w:tr>
      <w:tr>
        <w:tc>
          <w:tcPr>
            <w:tcW w:type="dxa" w:w="4320"/>
          </w:tcPr>
          <w:p>
            <w:r/>
            <w:r>
              <w:rPr>
                <w:b/>
              </w:rPr>
              <w:t>Continuous trading</w:t>
            </w:r>
          </w:p>
        </w:tc>
        <w:tc>
          <w:tcPr>
            <w:tcW w:type="dxa" w:w="4320"/>
          </w:tcPr>
          <w:p>
            <w:r/>
            <w:r>
              <w:t>Representative main session; confirm the latest NEPSE notice before implementation</w:t>
            </w:r>
          </w:p>
        </w:tc>
      </w:tr>
      <w:tr>
        <w:tc>
          <w:tcPr>
            <w:tcW w:type="dxa" w:w="4320"/>
          </w:tcPr>
          <w:p>
            <w:r/>
            <w:r>
              <w:rPr>
                <w:b/>
              </w:rPr>
              <w:t>Order types</w:t>
            </w:r>
          </w:p>
        </w:tc>
        <w:tc>
          <w:tcPr>
            <w:tcW w:type="dxa" w:w="4320"/>
          </w:tcPr>
          <w:p>
            <w:r/>
            <w:r>
              <w:t>Market order, Limit order</w:t>
            </w:r>
          </w:p>
        </w:tc>
      </w:tr>
      <w:tr>
        <w:tc>
          <w:tcPr>
            <w:tcW w:type="dxa" w:w="4320"/>
          </w:tcPr>
          <w:p>
            <w:r/>
            <w:r>
              <w:rPr>
                <w:b/>
              </w:rPr>
              <w:t>Lot size</w:t>
            </w:r>
          </w:p>
        </w:tc>
        <w:tc>
          <w:tcPr>
            <w:tcW w:type="dxa" w:w="4320"/>
          </w:tcPr>
          <w:p>
            <w:r/>
            <w:r>
              <w:t>Minimum 10 units (kitta)</w:t>
            </w:r>
          </w:p>
        </w:tc>
      </w:tr>
      <w:tr>
        <w:tc>
          <w:tcPr>
            <w:tcW w:type="dxa" w:w="4320"/>
          </w:tcPr>
          <w:p>
            <w:r/>
            <w:r>
              <w:rPr>
                <w:b/>
              </w:rPr>
              <w:t>Block trades</w:t>
            </w:r>
          </w:p>
        </w:tc>
        <w:tc>
          <w:tcPr>
            <w:tcW w:type="dxa" w:w="4320"/>
          </w:tcPr>
          <w:p>
            <w:r/>
            <w:r>
              <w:t>Separate block trading window for large transactions</w:t>
            </w:r>
          </w:p>
        </w:tc>
      </w:tr>
      <w:tr>
        <w:tc>
          <w:tcPr>
            <w:tcW w:type="dxa" w:w="4320"/>
          </w:tcPr>
          <w:p>
            <w:r/>
            <w:r>
              <w:rPr>
                <w:b/>
              </w:rPr>
              <w:t>Circuit breaker</w:t>
            </w:r>
          </w:p>
        </w:tc>
        <w:tc>
          <w:tcPr>
            <w:tcW w:type="dxa" w:w="4320"/>
          </w:tcPr>
          <w:p>
            <w:r/>
            <w:r>
              <w:t>±10% daily price band (automatic); ±5% triggers trading halt for review</w:t>
            </w:r>
          </w:p>
        </w:tc>
      </w:tr>
      <w:tr>
        <w:tc>
          <w:tcPr>
            <w:tcW w:type="dxa" w:w="4320"/>
          </w:tcPr>
          <w:p>
            <w:r/>
            <w:r>
              <w:rPr>
                <w:b/>
              </w:rPr>
              <w:t>Tick size</w:t>
            </w:r>
          </w:p>
        </w:tc>
        <w:tc>
          <w:tcPr>
            <w:tcW w:type="dxa" w:w="4320"/>
          </w:tcPr>
          <w:p>
            <w:r/>
            <w:r>
              <w:t>Re 1 (NPR)</w:t>
            </w:r>
          </w:p>
        </w:tc>
      </w:tr>
      <w:tr>
        <w:tc>
          <w:tcPr>
            <w:tcW w:type="dxa" w:w="4320"/>
          </w:tcPr>
          <w:p>
            <w:r/>
            <w:r>
              <w:rPr>
                <w:b/>
              </w:rPr>
              <w:t>Settlement</w:t>
            </w:r>
          </w:p>
        </w:tc>
        <w:tc>
          <w:tcPr>
            <w:tcW w:type="dxa" w:w="4320"/>
          </w:tcPr>
          <w:p>
            <w:r/>
            <w:r>
              <w:t>T+2 rolling settlement with DvP (Delivery vs. Payment)</w:t>
            </w:r>
          </w:p>
        </w:tc>
      </w:tr>
      <w:tr>
        <w:tc>
          <w:tcPr>
            <w:tcW w:type="dxa" w:w="4320"/>
          </w:tcPr>
          <w:p>
            <w:r/>
            <w:r>
              <w:rPr>
                <w:b/>
              </w:rPr>
              <w:t>Short selling</w:t>
            </w:r>
          </w:p>
        </w:tc>
        <w:tc>
          <w:tcPr>
            <w:tcW w:type="dxa" w:w="4320"/>
          </w:tcPr>
          <w:p>
            <w:r/>
            <w:r>
              <w:t>Not permitted currently</w:t>
            </w:r>
          </w:p>
        </w:tc>
      </w:tr>
      <w:tr>
        <w:tc>
          <w:tcPr>
            <w:tcW w:type="dxa" w:w="4320"/>
          </w:tcPr>
          <w:p>
            <w:r/>
            <w:r>
              <w:rPr>
                <w:b/>
              </w:rPr>
              <w:t>Sub-indices</w:t>
            </w:r>
          </w:p>
        </w:tc>
        <w:tc>
          <w:tcPr>
            <w:tcW w:type="dxa" w:w="4320"/>
          </w:tcPr>
          <w:p>
            <w:r/>
            <w:r>
              <w:t>NEPSE Index (composite), Sensitive Index, Float Index, Sensitive Float Index, plus sector sub-indices (Banking, Hotels, Hydropower, Development Banks, Finance, Insurance, Manufacturing, Microfinance, Mutual Funds, Life Insurance, Others, Trading)</w:t>
            </w:r>
          </w:p>
        </w:tc>
      </w:tr>
      <w:tr>
        <w:tc>
          <w:tcPr>
            <w:tcW w:type="dxa" w:w="4320"/>
          </w:tcPr>
          <w:p>
            <w:r/>
            <w:r>
              <w:rPr>
                <w:b/>
              </w:rPr>
              <w:t>Floorsheet</w:t>
            </w:r>
          </w:p>
        </w:tc>
        <w:tc>
          <w:tcPr>
            <w:tcW w:type="dxa" w:w="4320"/>
          </w:tcPr>
          <w:p>
            <w:r/>
            <w:r>
              <w:t>Published daily by NEPSE—official record of all executed trades</w:t>
            </w:r>
          </w:p>
        </w:tc>
      </w:tr>
    </w:tbl>
    <w:p>
      <w:pPr>
        <w:pStyle w:val="Heading4"/>
      </w:pPr>
      <w:r>
        <w:t>**1.4. Market Sector Composition**</w:t>
      </w:r>
    </w:p>
    <w:p>
      <w:r>
        <w:t>Nepal's listed companies span sectors with distinct regulatory oversight.</w:t>
      </w:r>
    </w:p>
    <w:p>
      <w:r>
        <w:t>This table is a planning-level sector map, not a clause-mapped legal matrix; use operator-pack-specific legal anchors where available and revalidate sector rules before externalizing any requirement claim.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rPr>
                <w:b/>
              </w:rPr>
            </w:r>
            <w:r>
              <w:rPr>
                <w:b/>
              </w:rPr>
              <w:t>Sector</w:t>
            </w:r>
          </w:p>
        </w:tc>
        <w:tc>
          <w:tcPr>
            <w:tcW w:type="dxa" w:w="1728"/>
            <w:shd w:fill="D9EAF7"/>
          </w:tcPr>
          <w:p>
            <w:r>
              <w:rPr>
                <w:b/>
              </w:rPr>
            </w:r>
            <w:r>
              <w:rPr>
                <w:b/>
              </w:rPr>
              <w:t>Sub-sector examples</w:t>
            </w:r>
          </w:p>
        </w:tc>
        <w:tc>
          <w:tcPr>
            <w:tcW w:type="dxa" w:w="1728"/>
            <w:shd w:fill="D9EAF7"/>
          </w:tcPr>
          <w:p>
            <w:r>
              <w:rPr>
                <w:b/>
              </w:rPr>
            </w:r>
            <w:r>
              <w:rPr>
                <w:b/>
              </w:rPr>
              <w:t>Listings (approx.)</w:t>
            </w:r>
          </w:p>
        </w:tc>
        <w:tc>
          <w:tcPr>
            <w:tcW w:type="dxa" w:w="1728"/>
            <w:shd w:fill="D9EAF7"/>
          </w:tcPr>
          <w:p>
            <w:r>
              <w:rPr>
                <w:b/>
              </w:rPr>
            </w:r>
            <w:r>
              <w:rPr>
                <w:b/>
              </w:rPr>
              <w:t>Sector Regulator</w:t>
            </w:r>
          </w:p>
        </w:tc>
        <w:tc>
          <w:tcPr>
            <w:tcW w:type="dxa" w:w="1728"/>
            <w:shd w:fill="D9EAF7"/>
          </w:tcPr>
          <w:p>
            <w:r>
              <w:rPr>
                <w:b/>
              </w:rPr>
            </w:r>
            <w:r>
              <w:rPr>
                <w:b/>
              </w:rPr>
              <w:t>Platform implications</w:t>
            </w:r>
          </w:p>
        </w:tc>
      </w:tr>
      <w:tr>
        <w:tc>
          <w:tcPr>
            <w:tcW w:type="dxa" w:w="1728"/>
          </w:tcPr>
          <w:p>
            <w:r/>
            <w:r>
              <w:rPr>
                <w:b/>
              </w:rPr>
              <w:t>Commercial Banks</w:t>
            </w:r>
          </w:p>
        </w:tc>
        <w:tc>
          <w:tcPr>
            <w:tcW w:type="dxa" w:w="1728"/>
          </w:tcPr>
          <w:p>
            <w:r/>
            <w:r>
              <w:t>A-class banks</w:t>
            </w:r>
          </w:p>
        </w:tc>
        <w:tc>
          <w:tcPr>
            <w:tcW w:type="dxa" w:w="1728"/>
          </w:tcPr>
          <w:p>
            <w:r/>
            <w:r>
              <w:t>~25</w:t>
            </w:r>
          </w:p>
        </w:tc>
        <w:tc>
          <w:tcPr>
            <w:tcW w:type="dxa" w:w="1728"/>
          </w:tcPr>
          <w:p>
            <w:r/>
            <w:r>
              <w:t>NRB</w:t>
            </w:r>
          </w:p>
        </w:tc>
        <w:tc>
          <w:tcPr>
            <w:tcW w:type="dxa" w:w="1728"/>
          </w:tcPr>
          <w:p>
            <w:r/>
            <w:r>
              <w:t>NRB capital adequacy, directed sector lending, promoter limits</w:t>
            </w:r>
          </w:p>
        </w:tc>
      </w:tr>
      <w:tr>
        <w:tc>
          <w:tcPr>
            <w:tcW w:type="dxa" w:w="1728"/>
          </w:tcPr>
          <w:p>
            <w:r/>
            <w:r>
              <w:rPr>
                <w:b/>
              </w:rPr>
              <w:t>Development Banks</w:t>
            </w:r>
          </w:p>
        </w:tc>
        <w:tc>
          <w:tcPr>
            <w:tcW w:type="dxa" w:w="1728"/>
          </w:tcPr>
          <w:p>
            <w:r/>
            <w:r>
              <w:t>B-class banks</w:t>
            </w:r>
          </w:p>
        </w:tc>
        <w:tc>
          <w:tcPr>
            <w:tcW w:type="dxa" w:w="1728"/>
          </w:tcPr>
          <w:p>
            <w:r/>
            <w:r>
              <w:t>~15</w:t>
            </w:r>
          </w:p>
        </w:tc>
        <w:tc>
          <w:tcPr>
            <w:tcW w:type="dxa" w:w="1728"/>
          </w:tcPr>
          <w:p>
            <w:r/>
            <w:r>
              <w:t>NRB</w:t>
            </w:r>
          </w:p>
        </w:tc>
        <w:tc>
          <w:tcPr>
            <w:tcW w:type="dxa" w:w="1728"/>
          </w:tcPr>
          <w:p>
            <w:r/>
            <w:r>
              <w:t>NRB prudential norms</w:t>
            </w:r>
          </w:p>
        </w:tc>
      </w:tr>
      <w:tr>
        <w:tc>
          <w:tcPr>
            <w:tcW w:type="dxa" w:w="1728"/>
          </w:tcPr>
          <w:p>
            <w:r/>
            <w:r>
              <w:rPr>
                <w:b/>
              </w:rPr>
              <w:t>Finance Companies</w:t>
            </w:r>
          </w:p>
        </w:tc>
        <w:tc>
          <w:tcPr>
            <w:tcW w:type="dxa" w:w="1728"/>
          </w:tcPr>
          <w:p>
            <w:r/>
            <w:r>
              <w:t>C-class FIs</w:t>
            </w:r>
          </w:p>
        </w:tc>
        <w:tc>
          <w:tcPr>
            <w:tcW w:type="dxa" w:w="1728"/>
          </w:tcPr>
          <w:p>
            <w:r/>
            <w:r>
              <w:t>~15</w:t>
            </w:r>
          </w:p>
        </w:tc>
        <w:tc>
          <w:tcPr>
            <w:tcW w:type="dxa" w:w="1728"/>
          </w:tcPr>
          <w:p>
            <w:r/>
            <w:r>
              <w:t>NRB</w:t>
            </w:r>
          </w:p>
        </w:tc>
        <w:tc>
          <w:tcPr>
            <w:tcW w:type="dxa" w:w="1728"/>
          </w:tcPr>
          <w:p>
            <w:r/>
            <w:r>
              <w:t>NRB deposit/lending limits</w:t>
            </w:r>
          </w:p>
        </w:tc>
      </w:tr>
      <w:tr>
        <w:tc>
          <w:tcPr>
            <w:tcW w:type="dxa" w:w="1728"/>
          </w:tcPr>
          <w:p>
            <w:r/>
            <w:r>
              <w:rPr>
                <w:b/>
              </w:rPr>
              <w:t>Microfinance</w:t>
            </w:r>
          </w:p>
        </w:tc>
        <w:tc>
          <w:tcPr>
            <w:tcW w:type="dxa" w:w="1728"/>
          </w:tcPr>
          <w:p>
            <w:r/>
            <w:r>
              <w:t>D-class institutions</w:t>
            </w:r>
          </w:p>
        </w:tc>
        <w:tc>
          <w:tcPr>
            <w:tcW w:type="dxa" w:w="1728"/>
          </w:tcPr>
          <w:p>
            <w:r/>
            <w:r>
              <w:t>~50+</w:t>
            </w:r>
          </w:p>
        </w:tc>
        <w:tc>
          <w:tcPr>
            <w:tcW w:type="dxa" w:w="1728"/>
          </w:tcPr>
          <w:p>
            <w:r/>
            <w:r>
              <w:t>NRB</w:t>
            </w:r>
          </w:p>
        </w:tc>
        <w:tc>
          <w:tcPr>
            <w:tcW w:type="dxa" w:w="1728"/>
          </w:tcPr>
          <w:p>
            <w:r/>
            <w:r>
              <w:t>NRB microfinance directives</w:t>
            </w:r>
          </w:p>
        </w:tc>
      </w:tr>
      <w:tr>
        <w:tc>
          <w:tcPr>
            <w:tcW w:type="dxa" w:w="1728"/>
          </w:tcPr>
          <w:p>
            <w:r/>
            <w:r>
              <w:rPr>
                <w:b/>
              </w:rPr>
              <w:t>Insurance</w:t>
            </w:r>
          </w:p>
        </w:tc>
        <w:tc>
          <w:tcPr>
            <w:tcW w:type="dxa" w:w="1728"/>
          </w:tcPr>
          <w:p>
            <w:r/>
            <w:r>
              <w:t>Life + Non-life</w:t>
            </w:r>
          </w:p>
        </w:tc>
        <w:tc>
          <w:tcPr>
            <w:tcW w:type="dxa" w:w="1728"/>
          </w:tcPr>
          <w:p>
            <w:r/>
            <w:r>
              <w:t>~35</w:t>
            </w:r>
          </w:p>
        </w:tc>
        <w:tc>
          <w:tcPr>
            <w:tcW w:type="dxa" w:w="1728"/>
          </w:tcPr>
          <w:p>
            <w:r/>
            <w:r>
              <w:t>Beema Samiti</w:t>
            </w:r>
          </w:p>
        </w:tc>
        <w:tc>
          <w:tcPr>
            <w:tcW w:type="dxa" w:w="1728"/>
          </w:tcPr>
          <w:p>
            <w:r/>
            <w:r>
              <w:t>Solvency margin, investment limits</w:t>
            </w:r>
          </w:p>
        </w:tc>
      </w:tr>
      <w:tr>
        <w:tc>
          <w:tcPr>
            <w:tcW w:type="dxa" w:w="1728"/>
          </w:tcPr>
          <w:p>
            <w:r/>
            <w:r>
              <w:rPr>
                <w:b/>
              </w:rPr>
              <w:t>Hydropower</w:t>
            </w:r>
          </w:p>
        </w:tc>
        <w:tc>
          <w:tcPr>
            <w:tcW w:type="dxa" w:w="1728"/>
          </w:tcPr>
          <w:p>
            <w:r/>
            <w:r>
              <w:t>Generation companies</w:t>
            </w:r>
          </w:p>
        </w:tc>
        <w:tc>
          <w:tcPr>
            <w:tcW w:type="dxa" w:w="1728"/>
          </w:tcPr>
          <w:p>
            <w:r/>
            <w:r>
              <w:t>~40+</w:t>
            </w:r>
          </w:p>
        </w:tc>
        <w:tc>
          <w:tcPr>
            <w:tcW w:type="dxa" w:w="1728"/>
          </w:tcPr>
          <w:p>
            <w:r/>
            <w:r>
              <w:t>NEA/DoED</w:t>
            </w:r>
          </w:p>
        </w:tc>
        <w:tc>
          <w:tcPr>
            <w:tcW w:type="dxa" w:w="1728"/>
          </w:tcPr>
          <w:p>
            <w:r/>
            <w:r>
              <w:t>PPA status, tariff risk, seasonal production</w:t>
            </w:r>
          </w:p>
        </w:tc>
      </w:tr>
      <w:tr>
        <w:tc>
          <w:tcPr>
            <w:tcW w:type="dxa" w:w="1728"/>
          </w:tcPr>
          <w:p>
            <w:r/>
            <w:r>
              <w:rPr>
                <w:b/>
              </w:rPr>
              <w:t>Manufacturing</w:t>
            </w:r>
          </w:p>
        </w:tc>
        <w:tc>
          <w:tcPr>
            <w:tcW w:type="dxa" w:w="1728"/>
          </w:tcPr>
          <w:p>
            <w:r/>
            <w:r>
              <w:t>Cement, steel, food</w:t>
            </w:r>
          </w:p>
        </w:tc>
        <w:tc>
          <w:tcPr>
            <w:tcW w:type="dxa" w:w="1728"/>
          </w:tcPr>
          <w:p>
            <w:r/>
            <w:r>
              <w:t>~15</w:t>
            </w:r>
          </w:p>
        </w:tc>
        <w:tc>
          <w:tcPr>
            <w:tcW w:type="dxa" w:w="1728"/>
          </w:tcPr>
          <w:p>
            <w:r/>
            <w:r>
              <w:t>Industry Ministry</w:t>
            </w:r>
          </w:p>
        </w:tc>
        <w:tc>
          <w:tcPr>
            <w:tcW w:type="dxa" w:w="1728"/>
          </w:tcPr>
          <w:p>
            <w:r/>
            <w:r>
              <w:t>Standard corporate rules</w:t>
            </w:r>
          </w:p>
        </w:tc>
      </w:tr>
      <w:tr>
        <w:tc>
          <w:tcPr>
            <w:tcW w:type="dxa" w:w="1728"/>
          </w:tcPr>
          <w:p>
            <w:r/>
            <w:r>
              <w:rPr>
                <w:b/>
              </w:rPr>
              <w:t>Hotels &amp; Tourism</w:t>
            </w:r>
          </w:p>
        </w:tc>
        <w:tc>
          <w:tcPr>
            <w:tcW w:type="dxa" w:w="1728"/>
          </w:tcPr>
          <w:p>
            <w:r/>
            <w:r>
              <w:t>Hotels, airlines</w:t>
            </w:r>
          </w:p>
        </w:tc>
        <w:tc>
          <w:tcPr>
            <w:tcW w:type="dxa" w:w="1728"/>
          </w:tcPr>
          <w:p>
            <w:r/>
            <w:r>
              <w:t>~5</w:t>
            </w:r>
          </w:p>
        </w:tc>
        <w:tc>
          <w:tcPr>
            <w:tcW w:type="dxa" w:w="1728"/>
          </w:tcPr>
          <w:p>
            <w:r/>
            <w:r>
              <w:t>Tourism Ministry</w:t>
            </w:r>
          </w:p>
        </w:tc>
        <w:tc>
          <w:tcPr>
            <w:tcW w:type="dxa" w:w="1728"/>
          </w:tcPr>
          <w:p>
            <w:r/>
            <w:r>
              <w:t>Sector-specific incentives</w:t>
            </w:r>
          </w:p>
        </w:tc>
      </w:tr>
      <w:tr>
        <w:tc>
          <w:tcPr>
            <w:tcW w:type="dxa" w:w="1728"/>
          </w:tcPr>
          <w:p>
            <w:r/>
            <w:r>
              <w:rPr>
                <w:b/>
              </w:rPr>
              <w:t>Mutual Funds</w:t>
            </w:r>
          </w:p>
        </w:tc>
        <w:tc>
          <w:tcPr>
            <w:tcW w:type="dxa" w:w="1728"/>
          </w:tcPr>
          <w:p>
            <w:r/>
            <w:r>
              <w:t>Open-end + closed-end</w:t>
            </w:r>
          </w:p>
        </w:tc>
        <w:tc>
          <w:tcPr>
            <w:tcW w:type="dxa" w:w="1728"/>
          </w:tcPr>
          <w:p>
            <w:r/>
            <w:r>
              <w:t>~30 schemes</w:t>
            </w:r>
          </w:p>
        </w:tc>
        <w:tc>
          <w:tcPr>
            <w:tcW w:type="dxa" w:w="1728"/>
          </w:tcPr>
          <w:p>
            <w:r/>
            <w:r>
              <w:t>SEBON</w:t>
            </w:r>
          </w:p>
        </w:tc>
        <w:tc>
          <w:tcPr>
            <w:tcW w:type="dxa" w:w="1728"/>
          </w:tcPr>
          <w:p>
            <w:r/>
            <w:r>
              <w:t>NAV, redemption, distribution rules</w:t>
            </w:r>
          </w:p>
        </w:tc>
      </w:tr>
      <w:tr>
        <w:tc>
          <w:tcPr>
            <w:tcW w:type="dxa" w:w="1728"/>
          </w:tcPr>
          <w:p>
            <w:r/>
            <w:r>
              <w:rPr>
                <w:b/>
              </w:rPr>
              <w:t>Debentures</w:t>
            </w:r>
          </w:p>
        </w:tc>
        <w:tc>
          <w:tcPr>
            <w:tcW w:type="dxa" w:w="1728"/>
          </w:tcPr>
          <w:p>
            <w:r/>
            <w:r>
              <w:t>Subordinated, plain</w:t>
            </w:r>
          </w:p>
        </w:tc>
        <w:tc>
          <w:tcPr>
            <w:tcW w:type="dxa" w:w="1728"/>
          </w:tcPr>
          <w:p>
            <w:r/>
            <w:r>
              <w:t>Various</w:t>
            </w:r>
          </w:p>
        </w:tc>
        <w:tc>
          <w:tcPr>
            <w:tcW w:type="dxa" w:w="1728"/>
          </w:tcPr>
          <w:p>
            <w:r/>
            <w:r>
              <w:t>SEBON/NRB</w:t>
            </w:r>
          </w:p>
        </w:tc>
        <w:tc>
          <w:tcPr>
            <w:tcW w:type="dxa" w:w="1728"/>
          </w:tcPr>
          <w:p>
            <w:r/>
            <w:r>
              <w:t>Interest rate, maturity, conversion terms</w:t>
            </w:r>
          </w:p>
        </w:tc>
      </w:tr>
      <w:tr>
        <w:tc>
          <w:tcPr>
            <w:tcW w:type="dxa" w:w="1728"/>
          </w:tcPr>
          <w:p>
            <w:r/>
            <w:r>
              <w:rPr>
                <w:b/>
              </w:rPr>
              <w:t>Others</w:t>
            </w:r>
          </w:p>
        </w:tc>
        <w:tc>
          <w:tcPr>
            <w:tcW w:type="dxa" w:w="1728"/>
          </w:tcPr>
          <w:p>
            <w:r/>
            <w:r>
              <w:t>Trading, telecom, etc.</w:t>
            </w:r>
          </w:p>
        </w:tc>
        <w:tc>
          <w:tcPr>
            <w:tcW w:type="dxa" w:w="1728"/>
          </w:tcPr>
          <w:p>
            <w:r/>
            <w:r>
              <w:t>~20</w:t>
            </w:r>
          </w:p>
        </w:tc>
        <w:tc>
          <w:tcPr>
            <w:tcW w:type="dxa" w:w="1728"/>
          </w:tcPr>
          <w:p>
            <w:r/>
            <w:r>
              <w:t>Various</w:t>
            </w:r>
          </w:p>
        </w:tc>
        <w:tc>
          <w:tcPr>
            <w:tcW w:type="dxa" w:w="1728"/>
          </w:tcPr>
          <w:p>
            <w:r/>
            <w:r>
              <w:t>Standard rules</w:t>
            </w:r>
          </w:p>
        </w:tc>
      </w:tr>
    </w:tbl>
    <w:p>
      <w:pPr>
        <w:pStyle w:val="Heading4"/>
      </w:pPr>
      <w:r>
        <w:t>**1.5. The Market Fracture: Opportunity in Disruption**</w:t>
      </w:r>
    </w:p>
    <w:p>
      <w:r>
        <w:t>The ongoing regulatory dispute over dual ISINs is one of the most important near-term market signals for a new platform.</w:t>
      </w:r>
    </w:p>
    <w:p>
      <w:r>
        <w:rPr>
          <w:b/>
        </w:rPr>
        <w:t>The Problem:</w:t>
      </w:r>
    </w:p>
    <w:p>
      <w:pPr>
        <w:pStyle w:val="ListBullet"/>
      </w:pPr>
      <w:r>
        <w:t>The current system's inability to prevent trading of locked promoter shares has eroded trust. Retail investor groups report "illegal trading" and market manipulation due to the failure of the electronic flagging code.</w:t>
      </w:r>
    </w:p>
    <w:p>
      <w:pPr>
        <w:pStyle w:val="ListBullet"/>
      </w:pPr>
      <w:r>
        <w:t>This has led to a radical proposal from CDSC to enforce dual ISINs for all sectors, which has, in turn, frozen the listing of new companies and locked up billions in promoter capital.</w:t>
      </w:r>
    </w:p>
    <w:p>
      <w:pPr>
        <w:pStyle w:val="ListBullet"/>
      </w:pPr>
      <w:r>
        <w:t>The freezing directly affects an active primary-market pipeline, with multiple prospectus-stage issuances visible in recent SEBON disclosures and market reporting. Revalidate any named issuer list before using it externally.</w:t>
      </w:r>
    </w:p>
    <w:p>
      <w:r>
        <w:rPr>
          <w:b/>
        </w:rPr>
        <w:t>The Platform Solution:</w:t>
      </w:r>
    </w:p>
    <w:p>
      <w:r>
        <w:t xml:space="preserve">Project Siddhanta can offer an alternative: a </w:t>
      </w:r>
      <w:r>
        <w:rPr>
          <w:b/>
        </w:rPr>
        <w:t>"Regulatory Clarity Layer."</w:t>
      </w:r>
      <w:r>
        <w:t xml:space="preserve"> By providing an immutable, event-sourced ledger of share ownership with built-in compliance rules and regulator-visible auditability, the platform can give SEBON and CDSC better real-time visibility. The objective is not to force a single-ISIN outcome, but to support either a single-ISIN-with-attributes or dual-ISIN regime with minimal redesign and clearer controls.</w:t>
      </w:r>
    </w:p>
    <w:p>
      <w:pPr>
        <w:pStyle w:val="Heading4"/>
      </w:pPr>
      <w:r>
        <w:t>**1.6. Current Technology Landscape (What Siddhanta Replaces)**</w:t>
      </w:r>
    </w:p>
    <w:p>
      <w:r>
        <w:t>Understanding the current state highlights the value gap:</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System</w:t>
            </w:r>
          </w:p>
        </w:tc>
        <w:tc>
          <w:tcPr>
            <w:tcW w:type="dxa" w:w="2880"/>
            <w:shd w:fill="D9EAF7"/>
          </w:tcPr>
          <w:p>
            <w:r>
              <w:rPr>
                <w:b/>
              </w:rPr>
            </w:r>
            <w:r>
              <w:rPr>
                <w:b/>
              </w:rPr>
              <w:t>Current state</w:t>
            </w:r>
          </w:p>
        </w:tc>
        <w:tc>
          <w:tcPr>
            <w:tcW w:type="dxa" w:w="2880"/>
            <w:shd w:fill="D9EAF7"/>
          </w:tcPr>
          <w:p>
            <w:r>
              <w:rPr>
                <w:b/>
              </w:rPr>
            </w:r>
            <w:r>
              <w:rPr>
                <w:b/>
              </w:rPr>
              <w:t>Pain points</w:t>
            </w:r>
          </w:p>
        </w:tc>
      </w:tr>
      <w:tr>
        <w:tc>
          <w:tcPr>
            <w:tcW w:type="dxa" w:w="2880"/>
          </w:tcPr>
          <w:p>
            <w:r/>
            <w:r>
              <w:rPr>
                <w:b/>
              </w:rPr>
              <w:t>NEPSE TMS (Trading Management System)</w:t>
            </w:r>
          </w:p>
        </w:tc>
        <w:tc>
          <w:tcPr>
            <w:tcW w:type="dxa" w:w="2880"/>
          </w:tcPr>
          <w:p>
            <w:r/>
            <w:r>
              <w:t>Centrally provided by NEPSE to all brokers. Web-based trading interface.</w:t>
            </w:r>
          </w:p>
        </w:tc>
        <w:tc>
          <w:tcPr>
            <w:tcW w:type="dxa" w:w="2880"/>
          </w:tcPr>
          <w:p>
            <w:r/>
            <w:r>
              <w:t>Limited customization, periodic outages during high-volume days, no broker-level analytics</w:t>
            </w:r>
          </w:p>
        </w:tc>
      </w:tr>
      <w:tr>
        <w:tc>
          <w:tcPr>
            <w:tcW w:type="dxa" w:w="2880"/>
          </w:tcPr>
          <w:p>
            <w:r/>
            <w:r>
              <w:rPr>
                <w:b/>
              </w:rPr>
              <w:t>CDSC CDS (Central Depository System)</w:t>
            </w:r>
          </w:p>
        </w:tc>
        <w:tc>
          <w:tcPr>
            <w:tcW w:type="dxa" w:w="2880"/>
          </w:tcPr>
          <w:p>
            <w:r/>
            <w:r>
              <w:t>Core depository and settlement engine</w:t>
            </w:r>
          </w:p>
        </w:tc>
        <w:tc>
          <w:tcPr>
            <w:tcW w:type="dxa" w:w="2880"/>
          </w:tcPr>
          <w:p>
            <w:r/>
            <w:r>
              <w:t>Flagging code failures, dual-ISIN deadlock, limited API access for brokers</w:t>
            </w:r>
          </w:p>
        </w:tc>
      </w:tr>
      <w:tr>
        <w:tc>
          <w:tcPr>
            <w:tcW w:type="dxa" w:w="2880"/>
          </w:tcPr>
          <w:p>
            <w:r/>
            <w:r>
              <w:rPr>
                <w:b/>
              </w:rPr>
              <w:t>Meroshare</w:t>
            </w:r>
          </w:p>
        </w:tc>
        <w:tc>
          <w:tcPr>
            <w:tcW w:type="dxa" w:w="2880"/>
          </w:tcPr>
          <w:p>
            <w:r/>
            <w:r>
              <w:t>Investor portal for IPO applications, portfolio view, EDIS</w:t>
            </w:r>
          </w:p>
        </w:tc>
        <w:tc>
          <w:tcPr>
            <w:tcW w:type="dxa" w:w="2880"/>
          </w:tcPr>
          <w:p>
            <w:r/>
            <w:r>
              <w:t>Operates as standalone—poor integration with broker back-offices, manual reconciliation needed</w:t>
            </w:r>
          </w:p>
        </w:tc>
      </w:tr>
      <w:tr>
        <w:tc>
          <w:tcPr>
            <w:tcW w:type="dxa" w:w="2880"/>
          </w:tcPr>
          <w:p>
            <w:r/>
            <w:r>
              <w:rPr>
                <w:b/>
              </w:rPr>
              <w:t>Broker Back-Office</w:t>
            </w:r>
          </w:p>
        </w:tc>
        <w:tc>
          <w:tcPr>
            <w:tcW w:type="dxa" w:w="2880"/>
          </w:tcPr>
          <w:p>
            <w:r/>
            <w:r>
              <w:t>Mix of manual Excel spreadsheets, legacy NOTS-era software, and ad-hoc solutions</w:t>
            </w:r>
          </w:p>
        </w:tc>
        <w:tc>
          <w:tcPr>
            <w:tcW w:type="dxa" w:w="2880"/>
          </w:tcPr>
          <w:p>
            <w:r/>
            <w:r>
              <w:t>No STP, manual reconciliation against CDSC/NEPSE, error-prone reporting</w:t>
            </w:r>
          </w:p>
        </w:tc>
      </w:tr>
      <w:tr>
        <w:tc>
          <w:tcPr>
            <w:tcW w:type="dxa" w:w="2880"/>
          </w:tcPr>
          <w:p>
            <w:r/>
            <w:r>
              <w:rPr>
                <w:b/>
              </w:rPr>
              <w:t>ASBA Processing</w:t>
            </w:r>
          </w:p>
        </w:tc>
        <w:tc>
          <w:tcPr>
            <w:tcW w:type="dxa" w:w="2880"/>
          </w:tcPr>
          <w:p>
            <w:r/>
            <w:r>
              <w:t>Bank-side block/unblock of funds during IPO/rights</w:t>
            </w:r>
          </w:p>
        </w:tc>
        <w:tc>
          <w:tcPr>
            <w:tcW w:type="dxa" w:w="2880"/>
          </w:tcPr>
          <w:p>
            <w:r/>
            <w:r>
              <w:t>Manual processing at many banks, delays in unblocking, reconciliation gaps</w:t>
            </w:r>
          </w:p>
        </w:tc>
      </w:tr>
      <w:tr>
        <w:tc>
          <w:tcPr>
            <w:tcW w:type="dxa" w:w="2880"/>
          </w:tcPr>
          <w:p>
            <w:r/>
            <w:r>
              <w:rPr>
                <w:b/>
              </w:rPr>
              <w:t>Regulatory Reporting</w:t>
            </w:r>
          </w:p>
        </w:tc>
        <w:tc>
          <w:tcPr>
            <w:tcW w:type="dxa" w:w="2880"/>
          </w:tcPr>
          <w:p>
            <w:r/>
            <w:r>
              <w:t>Manual assembly of Board-facing quarterly/annual reports by brokers and issuers, often using evolving regulator templates</w:t>
            </w:r>
          </w:p>
        </w:tc>
        <w:tc>
          <w:tcPr>
            <w:tcW w:type="dxa" w:w="2880"/>
          </w:tcPr>
          <w:p>
            <w:r/>
            <w:r>
              <w:t>Time-consuming, error-prone, no real-time visibility for SEBON</w:t>
            </w:r>
          </w:p>
        </w:tc>
      </w:tr>
    </w:tbl>
    <w:p>
      <w:pPr>
        <w:pStyle w:val="Heading4"/>
      </w:pPr>
      <w:r>
        <w:t>**1.7. Addressable Market for Nepal (Illustrative TAM/SAM/SOM)**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Segment</w:t>
            </w:r>
          </w:p>
        </w:tc>
        <w:tc>
          <w:tcPr>
            <w:tcW w:type="dxa" w:w="2160"/>
            <w:shd w:fill="D9EAF7"/>
          </w:tcPr>
          <w:p>
            <w:r>
              <w:rPr>
                <w:b/>
              </w:rPr>
            </w:r>
            <w:r>
              <w:rPr>
                <w:b/>
              </w:rPr>
              <w:t>Entity count</w:t>
            </w:r>
          </w:p>
        </w:tc>
        <w:tc>
          <w:tcPr>
            <w:tcW w:type="dxa" w:w="2160"/>
            <w:shd w:fill="D9EAF7"/>
          </w:tcPr>
          <w:p>
            <w:r>
              <w:rPr>
                <w:b/>
              </w:rPr>
            </w:r>
            <w:r>
              <w:rPr>
                <w:b/>
              </w:rPr>
              <w:t>Avg. platform spend assumption (NPR/yr)</w:t>
            </w:r>
          </w:p>
        </w:tc>
        <w:tc>
          <w:tcPr>
            <w:tcW w:type="dxa" w:w="2160"/>
            <w:shd w:fill="D9EAF7"/>
          </w:tcPr>
          <w:p>
            <w:r>
              <w:rPr>
                <w:b/>
              </w:rPr>
            </w:r>
            <w:r>
              <w:rPr>
                <w:b/>
              </w:rPr>
              <w:t>TAM estimate (NPR/yr)</w:t>
            </w:r>
          </w:p>
        </w:tc>
      </w:tr>
      <w:tr>
        <w:tc>
          <w:tcPr>
            <w:tcW w:type="dxa" w:w="2160"/>
          </w:tcPr>
          <w:p>
            <w:r/>
            <w:r>
              <w:t>Stock Brokers</w:t>
            </w:r>
          </w:p>
        </w:tc>
        <w:tc>
          <w:tcPr>
            <w:tcW w:type="dxa" w:w="2160"/>
          </w:tcPr>
          <w:p>
            <w:r/>
            <w:r>
              <w:t>90</w:t>
            </w:r>
          </w:p>
        </w:tc>
        <w:tc>
          <w:tcPr>
            <w:tcW w:type="dxa" w:w="2160"/>
          </w:tcPr>
          <w:p>
            <w:r/>
            <w:r>
              <w:t>Rs 10–50 lakhs</w:t>
            </w:r>
          </w:p>
        </w:tc>
        <w:tc>
          <w:tcPr>
            <w:tcW w:type="dxa" w:w="2160"/>
          </w:tcPr>
          <w:p>
            <w:r/>
            <w:r>
              <w:t>Rs 9–45 crore</w:t>
            </w:r>
          </w:p>
        </w:tc>
      </w:tr>
      <w:tr>
        <w:tc>
          <w:tcPr>
            <w:tcW w:type="dxa" w:w="2160"/>
          </w:tcPr>
          <w:p>
            <w:r/>
            <w:r>
              <w:t>Depository Participants</w:t>
            </w:r>
          </w:p>
        </w:tc>
        <w:tc>
          <w:tcPr>
            <w:tcW w:type="dxa" w:w="2160"/>
          </w:tcPr>
          <w:p>
            <w:r/>
            <w:r>
              <w:t>122</w:t>
            </w:r>
          </w:p>
        </w:tc>
        <w:tc>
          <w:tcPr>
            <w:tcW w:type="dxa" w:w="2160"/>
          </w:tcPr>
          <w:p>
            <w:r/>
            <w:r>
              <w:t>Rs 5–25 lakhs</w:t>
            </w:r>
          </w:p>
        </w:tc>
        <w:tc>
          <w:tcPr>
            <w:tcW w:type="dxa" w:w="2160"/>
          </w:tcPr>
          <w:p>
            <w:r/>
            <w:r>
              <w:t>Rs 6.1–30.5 crore</w:t>
            </w:r>
          </w:p>
        </w:tc>
      </w:tr>
      <w:tr>
        <w:tc>
          <w:tcPr>
            <w:tcW w:type="dxa" w:w="2160"/>
          </w:tcPr>
          <w:p>
            <w:r/>
            <w:r>
              <w:t>Merchant Bankers</w:t>
            </w:r>
          </w:p>
        </w:tc>
        <w:tc>
          <w:tcPr>
            <w:tcW w:type="dxa" w:w="2160"/>
          </w:tcPr>
          <w:p>
            <w:r/>
            <w:r>
              <w:t>32</w:t>
            </w:r>
          </w:p>
        </w:tc>
        <w:tc>
          <w:tcPr>
            <w:tcW w:type="dxa" w:w="2160"/>
          </w:tcPr>
          <w:p>
            <w:r/>
            <w:r>
              <w:t>Rs 8–40 lakhs</w:t>
            </w:r>
          </w:p>
        </w:tc>
        <w:tc>
          <w:tcPr>
            <w:tcW w:type="dxa" w:w="2160"/>
          </w:tcPr>
          <w:p>
            <w:r/>
            <w:r>
              <w:t>Rs 2.6–12.8 crore</w:t>
            </w:r>
          </w:p>
        </w:tc>
      </w:tr>
      <w:tr>
        <w:tc>
          <w:tcPr>
            <w:tcW w:type="dxa" w:w="2160"/>
          </w:tcPr>
          <w:p>
            <w:r/>
            <w:r>
              <w:t>Fund Managers</w:t>
            </w:r>
          </w:p>
        </w:tc>
        <w:tc>
          <w:tcPr>
            <w:tcW w:type="dxa" w:w="2160"/>
          </w:tcPr>
          <w:p>
            <w:r/>
            <w:r>
              <w:t>17</w:t>
            </w:r>
          </w:p>
        </w:tc>
        <w:tc>
          <w:tcPr>
            <w:tcW w:type="dxa" w:w="2160"/>
          </w:tcPr>
          <w:p>
            <w:r/>
            <w:r>
              <w:t>Rs 10–50 lakhs</w:t>
            </w:r>
          </w:p>
        </w:tc>
        <w:tc>
          <w:tcPr>
            <w:tcW w:type="dxa" w:w="2160"/>
          </w:tcPr>
          <w:p>
            <w:r/>
            <w:r>
              <w:t>Rs 1.7–8.5 crore</w:t>
            </w:r>
          </w:p>
        </w:tc>
      </w:tr>
      <w:tr>
        <w:tc>
          <w:tcPr>
            <w:tcW w:type="dxa" w:w="2160"/>
          </w:tcPr>
          <w:p>
            <w:r/>
            <w:r>
              <w:t>ASBA Banks &amp; FIs</w:t>
            </w:r>
          </w:p>
        </w:tc>
        <w:tc>
          <w:tcPr>
            <w:tcW w:type="dxa" w:w="2160"/>
          </w:tcPr>
          <w:p>
            <w:r/>
            <w:r>
              <w:t>43</w:t>
            </w:r>
          </w:p>
        </w:tc>
        <w:tc>
          <w:tcPr>
            <w:tcW w:type="dxa" w:w="2160"/>
          </w:tcPr>
          <w:p>
            <w:r/>
            <w:r>
              <w:t>Rs 3–15 lakhs</w:t>
            </w:r>
          </w:p>
        </w:tc>
        <w:tc>
          <w:tcPr>
            <w:tcW w:type="dxa" w:w="2160"/>
          </w:tcPr>
          <w:p>
            <w:r/>
            <w:r>
              <w:t>Rs 1.3–6.5 crore</w:t>
            </w:r>
          </w:p>
        </w:tc>
      </w:tr>
      <w:tr>
        <w:tc>
          <w:tcPr>
            <w:tcW w:type="dxa" w:w="2160"/>
          </w:tcPr>
          <w:p>
            <w:r/>
            <w:r>
              <w:t>Credit Rating Agencies</w:t>
            </w:r>
          </w:p>
        </w:tc>
        <w:tc>
          <w:tcPr>
            <w:tcW w:type="dxa" w:w="2160"/>
          </w:tcPr>
          <w:p>
            <w:r/>
            <w:r>
              <w:t>3</w:t>
            </w:r>
          </w:p>
        </w:tc>
        <w:tc>
          <w:tcPr>
            <w:tcW w:type="dxa" w:w="2160"/>
          </w:tcPr>
          <w:p>
            <w:r/>
            <w:r>
              <w:t>Rs 5–20 lakhs</w:t>
            </w:r>
          </w:p>
        </w:tc>
        <w:tc>
          <w:tcPr>
            <w:tcW w:type="dxa" w:w="2160"/>
          </w:tcPr>
          <w:p>
            <w:r/>
            <w:r>
              <w:t>Rs 0.15–0.6 crore</w:t>
            </w:r>
          </w:p>
        </w:tc>
      </w:tr>
      <w:tr>
        <w:tc>
          <w:tcPr>
            <w:tcW w:type="dxa" w:w="2160"/>
          </w:tcPr>
          <w:p>
            <w:r/>
            <w:r>
              <w:t>Market Infrastructure (NEPSE, CDSC)</w:t>
            </w:r>
          </w:p>
        </w:tc>
        <w:tc>
          <w:tcPr>
            <w:tcW w:type="dxa" w:w="2160"/>
          </w:tcPr>
          <w:p>
            <w:r/>
            <w:r>
              <w:t>2</w:t>
            </w:r>
          </w:p>
        </w:tc>
        <w:tc>
          <w:tcPr>
            <w:tcW w:type="dxa" w:w="2160"/>
          </w:tcPr>
          <w:p>
            <w:r/>
            <w:r>
              <w:t>Rs 1–10 crore</w:t>
            </w:r>
          </w:p>
        </w:tc>
        <w:tc>
          <w:tcPr>
            <w:tcW w:type="dxa" w:w="2160"/>
          </w:tcPr>
          <w:p>
            <w:r/>
            <w:r>
              <w:t>Rs 2–20 crore</w:t>
            </w:r>
          </w:p>
        </w:tc>
      </w:tr>
      <w:tr>
        <w:tc>
          <w:tcPr>
            <w:tcW w:type="dxa" w:w="2160"/>
          </w:tcPr>
          <w:p>
            <w:r/>
            <w:r>
              <w:t>Listed Companies (issuer tools)</w:t>
            </w:r>
          </w:p>
        </w:tc>
        <w:tc>
          <w:tcPr>
            <w:tcW w:type="dxa" w:w="2160"/>
          </w:tcPr>
          <w:p>
            <w:r/>
            <w:r>
              <w:t>270+</w:t>
            </w:r>
          </w:p>
        </w:tc>
        <w:tc>
          <w:tcPr>
            <w:tcW w:type="dxa" w:w="2160"/>
          </w:tcPr>
          <w:p>
            <w:r/>
            <w:r>
              <w:t>Rs 1–5 lakhs</w:t>
            </w:r>
          </w:p>
        </w:tc>
        <w:tc>
          <w:tcPr>
            <w:tcW w:type="dxa" w:w="2160"/>
          </w:tcPr>
          <w:p>
            <w:r/>
            <w:r>
              <w:t>Rs 2.7–13.5 crore</w:t>
            </w:r>
          </w:p>
        </w:tc>
      </w:tr>
      <w:tr>
        <w:tc>
          <w:tcPr>
            <w:tcW w:type="dxa" w:w="2160"/>
          </w:tcPr>
          <w:p>
            <w:r/>
            <w:r>
              <w:rPr>
                <w:b/>
              </w:rPr>
              <w:t>Total TAM</w:t>
            </w:r>
          </w:p>
        </w:tc>
        <w:tc>
          <w:tcPr>
            <w:tcW w:type="dxa" w:w="2160"/>
          </w:tcPr>
          <w:p>
            <w:r/>
            <w:r>
              <w:rPr>
                <w:b/>
              </w:rPr>
              <w:t>~580</w:t>
            </w:r>
          </w:p>
        </w:tc>
        <w:tc>
          <w:tcPr>
            <w:tcW w:type="dxa" w:w="2160"/>
          </w:tcPr>
          <w:p>
            <w:r/>
          </w:p>
        </w:tc>
        <w:tc>
          <w:tcPr>
            <w:tcW w:type="dxa" w:w="2160"/>
          </w:tcPr>
          <w:p>
            <w:r/>
            <w:r>
              <w:rPr>
                <w:b/>
              </w:rPr>
              <w:t>Rs 25.5–137.4 crore</w:t>
            </w:r>
            <w:r>
              <w:t xml:space="preserve"> (~$1.9M–$10.3M/yr)</w:t>
            </w:r>
          </w:p>
        </w:tc>
      </w:tr>
      <w:tr>
        <w:tc>
          <w:tcPr>
            <w:tcW w:type="dxa" w:w="2160"/>
          </w:tcPr>
          <w:p>
            <w:r/>
            <w:r>
              <w:rPr>
                <w:b/>
              </w:rPr>
              <w:t>SAM (reachable, ~60%)</w:t>
            </w:r>
          </w:p>
        </w:tc>
        <w:tc>
          <w:tcPr>
            <w:tcW w:type="dxa" w:w="2160"/>
          </w:tcPr>
          <w:p>
            <w:r/>
          </w:p>
        </w:tc>
        <w:tc>
          <w:tcPr>
            <w:tcW w:type="dxa" w:w="2160"/>
          </w:tcPr>
          <w:p>
            <w:r/>
          </w:p>
        </w:tc>
        <w:tc>
          <w:tcPr>
            <w:tcW w:type="dxa" w:w="2160"/>
          </w:tcPr>
          <w:p>
            <w:r/>
            <w:r>
              <w:rPr>
                <w:b/>
              </w:rPr>
              <w:t>Rs 15–82 crore</w:t>
            </w:r>
            <w:r>
              <w:t xml:space="preserve"> (~$1.1M–$6.2M/yr)</w:t>
            </w:r>
          </w:p>
        </w:tc>
      </w:tr>
      <w:tr>
        <w:tc>
          <w:tcPr>
            <w:tcW w:type="dxa" w:w="2160"/>
          </w:tcPr>
          <w:p>
            <w:r/>
            <w:r>
              <w:rPr>
                <w:b/>
              </w:rPr>
              <w:t>SOM (3-yr capture, ~20% SAM)</w:t>
            </w:r>
          </w:p>
        </w:tc>
        <w:tc>
          <w:tcPr>
            <w:tcW w:type="dxa" w:w="2160"/>
          </w:tcPr>
          <w:p>
            <w:r/>
          </w:p>
        </w:tc>
        <w:tc>
          <w:tcPr>
            <w:tcW w:type="dxa" w:w="2160"/>
          </w:tcPr>
          <w:p>
            <w:r/>
          </w:p>
        </w:tc>
        <w:tc>
          <w:tcPr>
            <w:tcW w:type="dxa" w:w="2160"/>
          </w:tcPr>
          <w:p>
            <w:r/>
            <w:r>
              <w:rPr>
                <w:b/>
              </w:rPr>
              <w:t>Rs 3–16 crore</w:t>
            </w:r>
            <w:r>
              <w:t xml:space="preserve"> (~$225K–$1.2M/yr)</w:t>
            </w:r>
          </w:p>
        </w:tc>
      </w:tr>
    </w:tbl>
    <w:p>
      <w:r>
        <w:rPr>
          <w:i/>
        </w:rPr>
        <w:t>Note: These are directional planning estimates, not a validated operating forecast. They exclude adjacent product opportunities such as specialized investment fund managers and registrar/RTA functions, both of which should be included in later commercialization models. Nepal's direct revenue potential is modest, but it remains a viable lighthouse market for regional expansion.</w:t>
      </w:r>
    </w:p>
    <w:p>
      <w:r>
        <w:t>---</w:t>
      </w:r>
    </w:p>
    <w:p>
      <w:pPr>
        <w:pStyle w:val="Heading3"/>
      </w:pPr>
      <w:r>
        <w:t>**2. Regulatory Architecture for Nepal**</w:t>
      </w:r>
    </w:p>
    <w:p>
      <w:r>
        <w:t>The regulatory landscape in Nepal is rapidly evolving. A platform must be built to adapt to these changes natively.</w:t>
      </w:r>
    </w:p>
    <w:p>
      <w:pPr>
        <w:pStyle w:val="Heading4"/>
      </w:pPr>
      <w:r>
        <w:t>**2.1. Primary Regulators &amp; Mandates**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Regulator</w:t>
            </w:r>
          </w:p>
        </w:tc>
        <w:tc>
          <w:tcPr>
            <w:tcW w:type="dxa" w:w="2160"/>
            <w:shd w:fill="D9EAF7"/>
          </w:tcPr>
          <w:p>
            <w:r>
              <w:rPr>
                <w:b/>
              </w:rPr>
            </w:r>
            <w:r>
              <w:rPr>
                <w:b/>
              </w:rPr>
              <w:t>Jurisdiction</w:t>
            </w:r>
          </w:p>
        </w:tc>
        <w:tc>
          <w:tcPr>
            <w:tcW w:type="dxa" w:w="2160"/>
            <w:shd w:fill="D9EAF7"/>
          </w:tcPr>
          <w:p>
            <w:r>
              <w:rPr>
                <w:b/>
              </w:rPr>
            </w:r>
            <w:r>
              <w:rPr>
                <w:b/>
              </w:rPr>
              <w:t>Capital market scope</w:t>
            </w:r>
          </w:p>
        </w:tc>
        <w:tc>
          <w:tcPr>
            <w:tcW w:type="dxa" w:w="2160"/>
            <w:shd w:fill="D9EAF7"/>
          </w:tcPr>
          <w:p>
            <w:r>
              <w:rPr>
                <w:b/>
              </w:rPr>
            </w:r>
            <w:r>
              <w:rPr>
                <w:b/>
              </w:rPr>
              <w:t>Key recent actions</w:t>
            </w:r>
          </w:p>
        </w:tc>
      </w:tr>
      <w:tr>
        <w:tc>
          <w:tcPr>
            <w:tcW w:type="dxa" w:w="2160"/>
          </w:tcPr>
          <w:p>
            <w:r/>
            <w:r>
              <w:rPr>
                <w:b/>
              </w:rPr>
              <w:t>SEBON</w:t>
            </w:r>
            <w:r>
              <w:t xml:space="preserve"> (Securities Board of Nepal)</w:t>
            </w:r>
          </w:p>
        </w:tc>
        <w:tc>
          <w:tcPr>
            <w:tcW w:type="dxa" w:w="2160"/>
          </w:tcPr>
          <w:p>
            <w:r/>
            <w:r>
              <w:t>Primary securities regulator</w:t>
            </w:r>
          </w:p>
        </w:tc>
        <w:tc>
          <w:tcPr>
            <w:tcW w:type="dxa" w:w="2160"/>
          </w:tcPr>
          <w:p>
            <w:r/>
            <w:r>
              <w:t>Broker licensing, issuer regulation, market conduct, investor protection</w:t>
            </w:r>
          </w:p>
        </w:tc>
        <w:tc>
          <w:tcPr>
            <w:tcW w:type="dxa" w:w="2160"/>
          </w:tcPr>
          <w:p>
            <w:r/>
            <w:r>
              <w:t>Margin Trading Directive 2082; Securities Issuance &amp; Allotment (9th Amendment) Directive 2082; Securities Broker/Dealer (6th Amendment) Regulations 2082; Irredeemable Preference Share issuance framework; Dual ISIN resolution process</w:t>
            </w:r>
          </w:p>
        </w:tc>
      </w:tr>
      <w:tr>
        <w:tc>
          <w:tcPr>
            <w:tcW w:type="dxa" w:w="2160"/>
          </w:tcPr>
          <w:p>
            <w:r/>
            <w:r>
              <w:rPr>
                <w:b/>
              </w:rPr>
              <w:t>NRB</w:t>
            </w:r>
            <w:r>
              <w:t xml:space="preserve"> (Nepal Rastra Bank)</w:t>
            </w:r>
          </w:p>
        </w:tc>
        <w:tc>
          <w:tcPr>
            <w:tcW w:type="dxa" w:w="2160"/>
          </w:tcPr>
          <w:p>
            <w:r/>
            <w:r>
              <w:t>Central bank</w:t>
            </w:r>
          </w:p>
        </w:tc>
        <w:tc>
          <w:tcPr>
            <w:tcW w:type="dxa" w:w="2160"/>
          </w:tcPr>
          <w:p>
            <w:r/>
            <w:r>
              <w:t>KYC/AML/CFT rules for FIs; bank capital adequacy; promoter share rules for banks/FIs; payment systems</w:t>
            </w:r>
          </w:p>
        </w:tc>
        <w:tc>
          <w:tcPr>
            <w:tcW w:type="dxa" w:w="2160"/>
          </w:tcPr>
          <w:p>
            <w:r/>
            <w:r>
              <w:t>AI Guidelines (December 2025); Centralized KYC / eKYC coordination with National ID authorities; Cyber Resilience Guidelines 2023; evolving cybersecurity roadmap work in 2026</w:t>
            </w:r>
          </w:p>
        </w:tc>
      </w:tr>
      <w:tr>
        <w:tc>
          <w:tcPr>
            <w:tcW w:type="dxa" w:w="2160"/>
          </w:tcPr>
          <w:p>
            <w:r/>
            <w:r>
              <w:rPr>
                <w:b/>
              </w:rPr>
              <w:t>Beema Samiti</w:t>
            </w:r>
            <w:r>
              <w:t xml:space="preserve"> (Insurance Board)</w:t>
            </w:r>
          </w:p>
        </w:tc>
        <w:tc>
          <w:tcPr>
            <w:tcW w:type="dxa" w:w="2160"/>
          </w:tcPr>
          <w:p>
            <w:r/>
            <w:r>
              <w:t>Insurance sector</w:t>
            </w:r>
          </w:p>
        </w:tc>
        <w:tc>
          <w:tcPr>
            <w:tcW w:type="dxa" w:w="2160"/>
          </w:tcPr>
          <w:p>
            <w:r/>
            <w:r>
              <w:t>Investment limits for insurance companies; solvency margins; promoter share rules for insurers</w:t>
            </w:r>
          </w:p>
        </w:tc>
        <w:tc>
          <w:tcPr>
            <w:tcW w:type="dxa" w:w="2160"/>
          </w:tcPr>
          <w:p>
            <w:r/>
            <w:r>
              <w:t>Separate promoter lock-in and transfer rules</w:t>
            </w:r>
          </w:p>
        </w:tc>
      </w:tr>
      <w:tr>
        <w:tc>
          <w:tcPr>
            <w:tcW w:type="dxa" w:w="2160"/>
          </w:tcPr>
          <w:p>
            <w:r/>
            <w:r>
              <w:rPr>
                <w:b/>
              </w:rPr>
              <w:t>CDSC</w:t>
            </w:r>
          </w:p>
        </w:tc>
        <w:tc>
          <w:tcPr>
            <w:tcW w:type="dxa" w:w="2160"/>
          </w:tcPr>
          <w:p>
            <w:r/>
            <w:r>
              <w:t>Depository &amp; clearing</w:t>
            </w:r>
          </w:p>
        </w:tc>
        <w:tc>
          <w:tcPr>
            <w:tcW w:type="dxa" w:w="2160"/>
          </w:tcPr>
          <w:p>
            <w:r/>
            <w:r>
              <w:t>Demat account management, settlement, corporate actions processing, participant management</w:t>
            </w:r>
          </w:p>
        </w:tc>
        <w:tc>
          <w:tcPr>
            <w:tcW w:type="dxa" w:w="2160"/>
          </w:tcPr>
          <w:p>
            <w:r/>
            <w:r>
              <w:t>Pushing dual ISIN proposal; API development; Meroshare enhancements</w:t>
            </w:r>
          </w:p>
        </w:tc>
      </w:tr>
      <w:tr>
        <w:tc>
          <w:tcPr>
            <w:tcW w:type="dxa" w:w="2160"/>
          </w:tcPr>
          <w:p>
            <w:r/>
            <w:r>
              <w:rPr>
                <w:b/>
              </w:rPr>
              <w:t>NEPSE</w:t>
            </w:r>
          </w:p>
        </w:tc>
        <w:tc>
          <w:tcPr>
            <w:tcW w:type="dxa" w:w="2160"/>
          </w:tcPr>
          <w:p>
            <w:r/>
            <w:r>
              <w:t>Stock exchange</w:t>
            </w:r>
          </w:p>
        </w:tc>
        <w:tc>
          <w:tcPr>
            <w:tcW w:type="dxa" w:w="2160"/>
          </w:tcPr>
          <w:p>
            <w:r/>
            <w:r>
              <w:t>Trading rules, listing rules, circuit breakers, market surveillance, member (broker) regulation</w:t>
            </w:r>
          </w:p>
        </w:tc>
        <w:tc>
          <w:tcPr>
            <w:tcW w:type="dxa" w:w="2160"/>
          </w:tcPr>
          <w:p>
            <w:r/>
            <w:r>
              <w:t>[VERIFY] January 29, 2026 AI-in-capital-markets interaction; TMS management; floorsheet publication</w:t>
            </w:r>
          </w:p>
        </w:tc>
      </w:tr>
    </w:tbl>
    <w:p>
      <w:pPr>
        <w:pStyle w:val="Heading4"/>
      </w:pPr>
      <w:r>
        <w:t>**2.2. Nepal's Multi-Regulator Promoter Share Problem**</w:t>
      </w:r>
    </w:p>
    <w:p>
      <w:r>
        <w:t xml:space="preserve">This is the </w:t>
      </w:r>
      <w:r>
        <w:rPr>
          <w:b/>
        </w:rPr>
        <w:t>defining regulatory challenge</w:t>
      </w:r>
      <w:r>
        <w:t xml:space="preserve"> that Siddhanta must solve. Unlike simpler markets, Nepal's promoter share lock-in rules vary by </w:t>
      </w:r>
      <w:r>
        <w:rPr>
          <w:b/>
        </w:rPr>
        <w:t>sector regulator</w:t>
      </w:r>
      <w:r>
        <w:t>.</w:t>
      </w:r>
    </w:p>
    <w:p>
      <w:r>
        <w:t>The table below is an implementation-shaping baseline, not a clause-verified legal digest; exact transfer and conversion rules must be revalidated per issuer category before production 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rPr>
                <w:b/>
              </w:rPr>
            </w:r>
            <w:r>
              <w:rPr>
                <w:b/>
              </w:rPr>
              <w:t>Sector</w:t>
            </w:r>
          </w:p>
        </w:tc>
        <w:tc>
          <w:tcPr>
            <w:tcW w:type="dxa" w:w="1728"/>
            <w:shd w:fill="D9EAF7"/>
          </w:tcPr>
          <w:p>
            <w:r>
              <w:rPr>
                <w:b/>
              </w:rPr>
            </w:r>
            <w:r>
              <w:rPr>
                <w:b/>
              </w:rPr>
              <w:t>Regulator</w:t>
            </w:r>
          </w:p>
        </w:tc>
        <w:tc>
          <w:tcPr>
            <w:tcW w:type="dxa" w:w="1728"/>
            <w:shd w:fill="D9EAF7"/>
          </w:tcPr>
          <w:p>
            <w:r>
              <w:rPr>
                <w:b/>
              </w:rPr>
            </w:r>
            <w:r>
              <w:rPr>
                <w:b/>
              </w:rPr>
              <w:t>Lock-in period (typical)</w:t>
            </w:r>
          </w:p>
        </w:tc>
        <w:tc>
          <w:tcPr>
            <w:tcW w:type="dxa" w:w="1728"/>
            <w:shd w:fill="D9EAF7"/>
          </w:tcPr>
          <w:p>
            <w:r>
              <w:rPr>
                <w:b/>
              </w:rPr>
            </w:r>
            <w:r>
              <w:rPr>
                <w:b/>
              </w:rPr>
              <w:t>Transfer rules</w:t>
            </w:r>
          </w:p>
        </w:tc>
        <w:tc>
          <w:tcPr>
            <w:tcW w:type="dxa" w:w="1728"/>
            <w:shd w:fill="D9EAF7"/>
          </w:tcPr>
          <w:p>
            <w:r>
              <w:rPr>
                <w:b/>
              </w:rPr>
            </w:r>
            <w:r>
              <w:rPr>
                <w:b/>
              </w:rPr>
              <w:t>Conversion rules</w:t>
            </w:r>
          </w:p>
        </w:tc>
      </w:tr>
      <w:tr>
        <w:tc>
          <w:tcPr>
            <w:tcW w:type="dxa" w:w="1728"/>
          </w:tcPr>
          <w:p>
            <w:r/>
            <w:r>
              <w:t>Commercial Banks</w:t>
            </w:r>
          </w:p>
        </w:tc>
        <w:tc>
          <w:tcPr>
            <w:tcW w:type="dxa" w:w="1728"/>
          </w:tcPr>
          <w:p>
            <w:r/>
            <w:r>
              <w:t>NRB</w:t>
            </w:r>
          </w:p>
        </w:tc>
        <w:tc>
          <w:tcPr>
            <w:tcW w:type="dxa" w:w="1728"/>
          </w:tcPr>
          <w:p>
            <w:r/>
            <w:r>
              <w:t>3 years from listing + ongoing holding requirements</w:t>
            </w:r>
          </w:p>
        </w:tc>
        <w:tc>
          <w:tcPr>
            <w:tcW w:type="dxa" w:w="1728"/>
          </w:tcPr>
          <w:p>
            <w:r/>
            <w:r>
              <w:t>NRB approval required for any promoter transfer</w:t>
            </w:r>
          </w:p>
        </w:tc>
        <w:tc>
          <w:tcPr>
            <w:tcW w:type="dxa" w:w="1728"/>
          </w:tcPr>
          <w:p>
            <w:r/>
            <w:r>
              <w:t>Board retention requirements apply</w:t>
            </w:r>
          </w:p>
        </w:tc>
      </w:tr>
      <w:tr>
        <w:tc>
          <w:tcPr>
            <w:tcW w:type="dxa" w:w="1728"/>
          </w:tcPr>
          <w:p>
            <w:r/>
            <w:r>
              <w:t>Development Banks/Finance</w:t>
            </w:r>
          </w:p>
        </w:tc>
        <w:tc>
          <w:tcPr>
            <w:tcW w:type="dxa" w:w="1728"/>
          </w:tcPr>
          <w:p>
            <w:r/>
            <w:r>
              <w:t>NRB</w:t>
            </w:r>
          </w:p>
        </w:tc>
        <w:tc>
          <w:tcPr>
            <w:tcW w:type="dxa" w:w="1728"/>
          </w:tcPr>
          <w:p>
            <w:r/>
            <w:r>
              <w:t>3 years; pledging restricted</w:t>
            </w:r>
          </w:p>
        </w:tc>
        <w:tc>
          <w:tcPr>
            <w:tcW w:type="dxa" w:w="1728"/>
          </w:tcPr>
          <w:p>
            <w:r/>
            <w:r>
              <w:t>NRB clearance mandatory</w:t>
            </w:r>
          </w:p>
        </w:tc>
        <w:tc>
          <w:tcPr>
            <w:tcW w:type="dxa" w:w="1728"/>
          </w:tcPr>
          <w:p>
            <w:r/>
            <w:r>
              <w:t>Similar to commercial banks</w:t>
            </w:r>
          </w:p>
        </w:tc>
      </w:tr>
      <w:tr>
        <w:tc>
          <w:tcPr>
            <w:tcW w:type="dxa" w:w="1728"/>
          </w:tcPr>
          <w:p>
            <w:r/>
            <w:r>
              <w:t>Insurance Companies</w:t>
            </w:r>
          </w:p>
        </w:tc>
        <w:tc>
          <w:tcPr>
            <w:tcW w:type="dxa" w:w="1728"/>
          </w:tcPr>
          <w:p>
            <w:r/>
            <w:r>
              <w:t>Beema Samiti</w:t>
            </w:r>
          </w:p>
        </w:tc>
        <w:tc>
          <w:tcPr>
            <w:tcW w:type="dxa" w:w="1728"/>
          </w:tcPr>
          <w:p>
            <w:r/>
            <w:r>
              <w:t>Company Articles + Board rules</w:t>
            </w:r>
          </w:p>
        </w:tc>
        <w:tc>
          <w:tcPr>
            <w:tcW w:type="dxa" w:w="1728"/>
          </w:tcPr>
          <w:p>
            <w:r/>
            <w:r>
              <w:t>Beema Samiti approval may be required</w:t>
            </w:r>
          </w:p>
        </w:tc>
        <w:tc>
          <w:tcPr>
            <w:tcW w:type="dxa" w:w="1728"/>
          </w:tcPr>
          <w:p>
            <w:r/>
            <w:r>
              <w:t>Sector-specific</w:t>
            </w:r>
          </w:p>
        </w:tc>
      </w:tr>
      <w:tr>
        <w:tc>
          <w:tcPr>
            <w:tcW w:type="dxa" w:w="1728"/>
          </w:tcPr>
          <w:p>
            <w:r/>
            <w:r>
              <w:t>Hydropower &amp; Others</w:t>
            </w:r>
          </w:p>
        </w:tc>
        <w:tc>
          <w:tcPr>
            <w:tcW w:type="dxa" w:w="1728"/>
          </w:tcPr>
          <w:p>
            <w:r/>
            <w:r>
              <w:t>SEBON (general)</w:t>
            </w:r>
          </w:p>
        </w:tc>
        <w:tc>
          <w:tcPr>
            <w:tcW w:type="dxa" w:w="1728"/>
          </w:tcPr>
          <w:p>
            <w:r/>
            <w:r>
              <w:t>Per Companies Act + SEBON directives</w:t>
            </w:r>
          </w:p>
        </w:tc>
        <w:tc>
          <w:tcPr>
            <w:tcW w:type="dxa" w:w="1728"/>
          </w:tcPr>
          <w:p>
            <w:r/>
            <w:r>
              <w:t>SEBON/CDSC approval via flagging system</w:t>
            </w:r>
          </w:p>
        </w:tc>
        <w:tc>
          <w:tcPr>
            <w:tcW w:type="dxa" w:w="1728"/>
          </w:tcPr>
          <w:p>
            <w:r/>
            <w:r>
              <w:t>Standard conversion after lock-in</w:t>
            </w:r>
          </w:p>
        </w:tc>
      </w:tr>
    </w:tbl>
    <w:p>
      <w:r>
        <w:rPr>
          <w:b/>
        </w:rPr>
        <w:t>Why this matters for the platform:</w:t>
      </w:r>
      <w:r>
        <w:t xml:space="preserve"> A simple "flagged/unflagged" boolean is insufficient. The platform must maintain a rich attribute set per share batch: </w:t>
      </w:r>
      <w:r>
        <w:rPr>
          <w:rFonts w:ascii="Courier New" w:hAnsi="Courier New"/>
          <w:sz w:val="20"/>
        </w:rPr>
        <w:t>{issuer_sector, regulator, lock_in_start_date, lock_in_end_date, transfer_approval_required_from, pledge_allowed, conversion_eligible_date, sector_specific_rules_ref}</w:t>
      </w:r>
      <w:r>
        <w:t xml:space="preserve">. This is a </w:t>
      </w:r>
      <w:r>
        <w:rPr>
          <w:b/>
        </w:rPr>
        <w:t>knowledge graph problem</w:t>
      </w:r>
      <w:r>
        <w:t>, not a simple database column problem.</w:t>
      </w:r>
    </w:p>
    <w:p>
      <w:pPr>
        <w:pStyle w:val="Heading4"/>
      </w:pPr>
      <w:r>
        <w:t>**2.3. Key Regulatory Signals &amp; Platform Implications**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Regulatory signal</w:t>
            </w:r>
          </w:p>
        </w:tc>
        <w:tc>
          <w:tcPr>
            <w:tcW w:type="dxa" w:w="2880"/>
            <w:shd w:fill="D9EAF7"/>
          </w:tcPr>
          <w:p>
            <w:r>
              <w:rPr>
                <w:b/>
              </w:rPr>
            </w:r>
            <w:r>
              <w:rPr>
                <w:b/>
              </w:rPr>
              <w:t>Implication for platform</w:t>
            </w:r>
          </w:p>
        </w:tc>
        <w:tc>
          <w:tcPr>
            <w:tcW w:type="dxa" w:w="2880"/>
            <w:shd w:fill="D9EAF7"/>
          </w:tcPr>
          <w:p>
            <w:r>
              <w:rPr>
                <w:b/>
              </w:rPr>
            </w:r>
            <w:r>
              <w:rPr>
                <w:b/>
              </w:rPr>
              <w:t>AI-native capability</w:t>
            </w:r>
          </w:p>
        </w:tc>
      </w:tr>
      <w:tr>
        <w:tc>
          <w:tcPr>
            <w:tcW w:type="dxa" w:w="2880"/>
          </w:tcPr>
          <w:p>
            <w:r/>
            <w:r>
              <w:rPr>
                <w:b/>
              </w:rPr>
              <w:t>NRB's Centralized KYC / eKYC with National ID</w:t>
            </w:r>
          </w:p>
        </w:tc>
        <w:tc>
          <w:tcPr>
            <w:tcW w:type="dxa" w:w="2880"/>
          </w:tcPr>
          <w:p>
            <w:r/>
            <w:r>
              <w:t>The platform should treat National ID integration as a strategic identity anchor, but rollout depends on regulatory approvals, access rights, and production interface readiness.</w:t>
            </w:r>
          </w:p>
        </w:tc>
        <w:tc>
          <w:tcPr>
            <w:tcW w:type="dxa" w:w="2880"/>
          </w:tcPr>
          <w:p>
            <w:r/>
            <w:r>
              <w:rPr>
                <w:b/>
              </w:rPr>
              <w:t>AI-assisted onboarding:</w:t>
            </w:r>
            <w:r>
              <w:t xml:space="preserve"> IDP can extract and verify document data, pre-fill KYC flows, and reduce manual effort once approved eKYC rails are available.</w:t>
            </w:r>
          </w:p>
        </w:tc>
      </w:tr>
      <w:tr>
        <w:tc>
          <w:tcPr>
            <w:tcW w:type="dxa" w:w="2880"/>
          </w:tcPr>
          <w:p>
            <w:r/>
            <w:r>
              <w:rPr>
                <w:b/>
              </w:rPr>
              <w:t>NRB AI Guidelines (December 2025)</w:t>
            </w:r>
          </w:p>
        </w:tc>
        <w:tc>
          <w:tcPr>
            <w:tcW w:type="dxa" w:w="2880"/>
          </w:tcPr>
          <w:p>
            <w:r/>
            <w:r>
              <w:t>Requires transparency, fairness, governance, and board oversight for AI in regulated financial workflows. Primary: https://www.nrb.org.np/contents/uploads/2025/12/AI-Guidelines.pdf</w:t>
            </w:r>
          </w:p>
        </w:tc>
        <w:tc>
          <w:tcPr>
            <w:tcW w:type="dxa" w:w="2880"/>
          </w:tcPr>
          <w:p>
            <w:r/>
            <w:r>
              <w:rPr>
                <w:b/>
              </w:rPr>
              <w:t>Model governance &amp; explainability:</w:t>
            </w:r>
            <w:r>
              <w:t xml:space="preserve"> Full model registry, bias monitoring, bounded autonomy, and explainability reports for every AI-assisted decision.</w:t>
            </w:r>
          </w:p>
        </w:tc>
      </w:tr>
      <w:tr>
        <w:tc>
          <w:tcPr>
            <w:tcW w:type="dxa" w:w="2880"/>
          </w:tcPr>
          <w:p>
            <w:r/>
            <w:r>
              <w:rPr>
                <w:b/>
              </w:rPr>
              <w:t>NRB Cyber Resilience Guidelines (2023) &amp; Cybersecurity roadmap work (2026)</w:t>
            </w:r>
          </w:p>
        </w:tc>
        <w:tc>
          <w:tcPr>
            <w:tcW w:type="dxa" w:w="2880"/>
          </w:tcPr>
          <w:p>
            <w:r/>
            <w:r>
              <w:t>Requires strong cybersecurity controls, resilience, MFA, encryption, and disciplined incident handling.</w:t>
            </w:r>
          </w:p>
        </w:tc>
        <w:tc>
          <w:tcPr>
            <w:tcW w:type="dxa" w:w="2880"/>
          </w:tcPr>
          <w:p>
            <w:r/>
            <w:r>
              <w:rPr>
                <w:b/>
              </w:rPr>
              <w:t>Zero-trust, resilient infrastructure:</w:t>
            </w:r>
            <w:r>
              <w:t xml:space="preserve"> Kubernetes + service mesh can support zero-trust controls. AI-assisted observability can support detection and triage, but remediation and incident notification should follow approved operational playbooks and regulator/CERT guidance.</w:t>
            </w:r>
          </w:p>
        </w:tc>
      </w:tr>
      <w:tr>
        <w:tc>
          <w:tcPr>
            <w:tcW w:type="dxa" w:w="2880"/>
          </w:tcPr>
          <w:p>
            <w:r/>
            <w:r>
              <w:rPr>
                <w:b/>
              </w:rPr>
              <w:t>SEBON Margin Trading Directive 2082</w:t>
            </w:r>
          </w:p>
        </w:tc>
        <w:tc>
          <w:tcPr>
            <w:tcW w:type="dxa" w:w="2880"/>
          </w:tcPr>
          <w:p>
            <w:r/>
            <w:r>
              <w:t>Margin-service providers must meet the Rule 4 eligibility threshold; Rule 6 sets a 30% minimum initial margin and 20% minimum maintenance margin; Rule 7 permits margin calls and sale after default (</w:t>
            </w:r>
            <w:r>
              <w:rPr>
                <w:rFonts w:ascii="Courier New" w:hAnsi="Courier New"/>
                <w:sz w:val="20"/>
              </w:rPr>
              <w:t>Ref: LCA-011</w:t>
            </w:r>
            <w:r>
              <w:t>). Primary: https://www.sebon.gov.np/uploads/shares/yb8vXWjXg3rmDIiW2nwQ5fpxrQx2dkueLT4M2zTL.pdf</w:t>
            </w:r>
          </w:p>
        </w:tc>
        <w:tc>
          <w:tcPr>
            <w:tcW w:type="dxa" w:w="2880"/>
          </w:tcPr>
          <w:p>
            <w:r/>
            <w:r>
              <w:rPr>
                <w:b/>
              </w:rPr>
              <w:t>AI-powered risk &amp; margin engine:</w:t>
            </w:r>
            <w:r>
              <w:t xml:space="preserve"> Automates margin calls, dynamically calculates eligibility based on the operative SEBON rules, and provides regulators with a real-time view of margin exposures.</w:t>
            </w:r>
          </w:p>
        </w:tc>
      </w:tr>
      <w:tr>
        <w:tc>
          <w:tcPr>
            <w:tcW w:type="dxa" w:w="2880"/>
          </w:tcPr>
          <w:p>
            <w:r/>
            <w:r>
              <w:rPr>
                <w:b/>
              </w:rPr>
              <w:t>Securities Issuance &amp; Allotment (9th Amendment) Directive 2082</w:t>
            </w:r>
          </w:p>
        </w:tc>
        <w:tc>
          <w:tcPr>
            <w:tcW w:type="dxa" w:w="2880"/>
          </w:tcPr>
          <w:p>
            <w:r/>
            <w:r>
              <w:t>Updated rules for IPO/FPO/rights issuance and allotment processes.</w:t>
            </w:r>
          </w:p>
        </w:tc>
        <w:tc>
          <w:tcPr>
            <w:tcW w:type="dxa" w:w="2880"/>
          </w:tcPr>
          <w:p>
            <w:r/>
            <w:r>
              <w:rPr>
                <w:b/>
              </w:rPr>
              <w:t>Intelligent issuance workflow:</w:t>
            </w:r>
            <w:r>
              <w:t xml:space="preserve"> End-to-end digitized issuance pipeline with AI-validated prospectus checking against the operative filing pack baseline and post-issue close reporting aligned to the current 7-day Board-notification clock (</w:t>
            </w:r>
            <w:r>
              <w:rPr>
                <w:rFonts w:ascii="Courier New" w:hAnsi="Courier New"/>
                <w:sz w:val="20"/>
              </w:rPr>
              <w:t>Ref: LCA-025</w:t>
            </w:r>
            <w:r>
              <w:t xml:space="preserve">, </w:t>
            </w:r>
            <w:r>
              <w:rPr>
                <w:rFonts w:ascii="Courier New" w:hAnsi="Courier New"/>
                <w:sz w:val="20"/>
              </w:rPr>
              <w:t>Ref: LCA-026</w:t>
            </w:r>
            <w:r>
              <w:t>).</w:t>
            </w:r>
          </w:p>
        </w:tc>
      </w:tr>
      <w:tr>
        <w:tc>
          <w:tcPr>
            <w:tcW w:type="dxa" w:w="2880"/>
          </w:tcPr>
          <w:p>
            <w:r/>
            <w:r>
              <w:rPr>
                <w:b/>
              </w:rPr>
              <w:t>Dual ISIN / Single ISIN Debate</w:t>
            </w:r>
          </w:p>
        </w:tc>
        <w:tc>
          <w:tcPr>
            <w:tcW w:type="dxa" w:w="2880"/>
          </w:tcPr>
          <w:p>
            <w:r/>
            <w:r>
              <w:t>Platform data model must be flexible enough to support either outcome with bounded redesign.</w:t>
            </w:r>
          </w:p>
        </w:tc>
        <w:tc>
          <w:tcPr>
            <w:tcW w:type="dxa" w:w="2880"/>
          </w:tcPr>
          <w:p>
            <w:r/>
            <w:r>
              <w:rPr>
                <w:b/>
              </w:rPr>
              <w:t>Attribute-based control (ABC):</w:t>
            </w:r>
            <w:r>
              <w:t xml:space="preserve"> Rules enforced using rich attribute sets per security, not only ISIN-based flags. This reduces rework, but a final regulator-mandated model may still require reference-data and integration changes.</w:t>
            </w:r>
          </w:p>
        </w:tc>
      </w:tr>
      <w:tr>
        <w:tc>
          <w:tcPr>
            <w:tcW w:type="dxa" w:w="2880"/>
          </w:tcPr>
          <w:p>
            <w:r/>
            <w:r>
              <w:rPr>
                <w:b/>
              </w:rPr>
              <w:t>FATF Mutual Evaluation &amp; AML/CFT</w:t>
            </w:r>
          </w:p>
        </w:tc>
        <w:tc>
          <w:tcPr>
            <w:tcW w:type="dxa" w:w="2880"/>
          </w:tcPr>
          <w:p>
            <w:r/>
            <w:r>
              <w:t>Nepal is under FATF monitoring; AML/CFT compliance is critical for all intermediaries.</w:t>
            </w:r>
          </w:p>
        </w:tc>
        <w:tc>
          <w:tcPr>
            <w:tcW w:type="dxa" w:w="2880"/>
          </w:tcPr>
          <w:p>
            <w:r/>
            <w:r>
              <w:rPr>
                <w:b/>
              </w:rPr>
              <w:t>AI-powered AML/CFT:</w:t>
            </w:r>
            <w:r>
              <w:t xml:space="preserve"> Real-time transaction monitoring, entity resolution across demat accounts, sanctions screening against Nepal government and UN consolidated lists.</w:t>
            </w:r>
          </w:p>
        </w:tc>
      </w:tr>
      <w:tr>
        <w:tc>
          <w:tcPr>
            <w:tcW w:type="dxa" w:w="2880"/>
          </w:tcPr>
          <w:p>
            <w:r/>
            <w:r>
              <w:rPr>
                <w:b/>
              </w:rPr>
              <w:t>Securities Broker/Dealer (6th Amendment) Regulations 2082</w:t>
            </w:r>
          </w:p>
        </w:tc>
        <w:tc>
          <w:tcPr>
            <w:tcW w:type="dxa" w:w="2880"/>
          </w:tcPr>
          <w:p>
            <w:r/>
            <w:r>
              <w:t>Defines broker categories, capital tiers, and the permitted-function model for standard vs full-service brokers; full-service brokers may add investment-management and advisory functions with Board approval (</w:t>
            </w:r>
            <w:r>
              <w:rPr>
                <w:rFonts w:ascii="Courier New" w:hAnsi="Courier New"/>
                <w:sz w:val="20"/>
              </w:rPr>
              <w:t>Ref: LCA-019</w:t>
            </w:r>
            <w:r>
              <w:t xml:space="preserve">, </w:t>
            </w:r>
            <w:r>
              <w:rPr>
                <w:rFonts w:ascii="Courier New" w:hAnsi="Courier New"/>
                <w:sz w:val="20"/>
              </w:rPr>
              <w:t>Ref: LCA-020</w:t>
            </w:r>
            <w:r>
              <w:t>).</w:t>
            </w:r>
          </w:p>
        </w:tc>
        <w:tc>
          <w:tcPr>
            <w:tcW w:type="dxa" w:w="2880"/>
          </w:tcPr>
          <w:p>
            <w:r/>
            <w:r>
              <w:rPr>
                <w:b/>
              </w:rPr>
              <w:t>Broker Operations Copilot:</w:t>
            </w:r>
            <w:r>
              <w:t xml:space="preserve"> Check broker configuration against the active license class and permitted-function model; generate compliance gap reports; track remediation timelines.</w:t>
            </w:r>
          </w:p>
        </w:tc>
      </w:tr>
      <w:tr>
        <w:tc>
          <w:tcPr>
            <w:tcW w:type="dxa" w:w="2880"/>
          </w:tcPr>
          <w:p>
            <w:r/>
            <w:r>
              <w:rPr>
                <w:b/>
              </w:rPr>
              <w:t>Irredeemable Preference Share Framework</w:t>
            </w:r>
          </w:p>
        </w:tc>
        <w:tc>
          <w:tcPr>
            <w:tcW w:type="dxa" w:w="2880"/>
          </w:tcPr>
          <w:p>
            <w:r/>
            <w:r>
              <w:t>SEBON has approved irredeemable preference share issuance — a new instrument type requiring distinct handling.</w:t>
            </w:r>
          </w:p>
        </w:tc>
        <w:tc>
          <w:tcPr>
            <w:tcW w:type="dxa" w:w="2880"/>
          </w:tcPr>
          <w:p>
            <w:r/>
            <w:r>
              <w:rPr>
                <w:b/>
              </w:rPr>
              <w:t>Instrument Master extensibility:</w:t>
            </w:r>
            <w:r>
              <w:t xml:space="preserve"> Platform data model must accommodate new instrument types (preference shares, convertible debentures, structured products) via configurable instrument attributes, not code changes.</w:t>
            </w:r>
          </w:p>
        </w:tc>
      </w:tr>
    </w:tbl>
    <w:p>
      <w:pPr>
        <w:pStyle w:val="Heading4"/>
      </w:pPr>
      <w:r>
        <w:t>**2.4. Bikram Sambat Calendar and Fiscal Year**</w:t>
      </w:r>
    </w:p>
    <w:p>
      <w:r>
        <w:t xml:space="preserve">Nepal operates on the </w:t>
      </w:r>
      <w:r>
        <w:rPr>
          <w:b/>
        </w:rPr>
        <w:t>Bikram Sambat (BS) calendar</w:t>
      </w:r>
      <w:r>
        <w:t xml:space="preserve"> (currently BS 2082). This has pervasive implications:</w:t>
      </w:r>
    </w:p>
    <w:p>
      <w:pPr>
        <w:pStyle w:val="ListBullet"/>
      </w:pPr>
      <w:r>
        <w:rPr>
          <w:b/>
        </w:rPr>
        <w:t>Fiscal year</w:t>
      </w:r>
      <w:r>
        <w:t>: Shrawan 1 to Ashadh end (mid-July to mid-July in Gregorian).</w:t>
      </w:r>
    </w:p>
    <w:p>
      <w:pPr>
        <w:pStyle w:val="ListBullet"/>
      </w:pPr>
      <w:r>
        <w:rPr>
          <w:b/>
        </w:rPr>
        <w:t>All regulatory reporting periods</w:t>
      </w:r>
      <w:r>
        <w:t xml:space="preserve"> (quarterly, half-yearly, annual) follow BS quarters.</w:t>
      </w:r>
    </w:p>
    <w:p>
      <w:pPr>
        <w:pStyle w:val="ListBullet"/>
      </w:pPr>
      <w:r>
        <w:rPr>
          <w:b/>
        </w:rPr>
        <w:t>NEPSE trading calendar</w:t>
      </w:r>
      <w:r>
        <w:t xml:space="preserve"> follows Nepal government holidays (Dashain, Tihar, Chhath, etc.), not international holiday calendars.</w:t>
      </w:r>
    </w:p>
    <w:p>
      <w:pPr>
        <w:pStyle w:val="ListBullet"/>
      </w:pPr>
      <w:r>
        <w:rPr>
          <w:b/>
        </w:rPr>
        <w:t>Interest calculations, dividend record dates, lock-in periods</w:t>
      </w:r>
      <w:r>
        <w:t xml:space="preserve"> may be expressed in BS dates.</w:t>
      </w:r>
    </w:p>
    <w:p>
      <w:r>
        <w:rPr>
          <w:b/>
        </w:rPr>
        <w:t>Platform requirement:</w:t>
      </w:r>
      <w:r>
        <w:t xml:space="preserve"> The platform must natively support dual-calendar operations (BS and Gregorian), with all regulatory reporting in BS dates, while maintaining Gregorian timestamps for international interoperability and event sourcing. A reliable BS↔Gregorian conversion service is a </w:t>
      </w:r>
      <w:r>
        <w:rPr>
          <w:b/>
        </w:rPr>
        <w:t>core infrastructure dependency</w:t>
      </w:r>
      <w:r>
        <w:t>, not a nice-to-have.</w:t>
      </w:r>
    </w:p>
    <w:p>
      <w:r>
        <w:t>---</w:t>
      </w:r>
    </w:p>
    <w:p>
      <w:pPr>
        <w:pStyle w:val="Heading3"/>
      </w:pPr>
      <w:r>
        <w:t>**3. Nepal Capital Market Operations: End-to-End Workflows**</w:t>
      </w:r>
    </w:p>
    <w:p>
      <w:r>
        <w:t>This section details the operational workflows that Siddhanta must support—the actual day-to-day operations that brokers, DPs, issuers, and investors perform.</w:t>
      </w:r>
    </w:p>
    <w:p>
      <w:pPr>
        <w:pStyle w:val="Heading4"/>
      </w:pPr>
      <w:r>
        <w:t>**3.1. Secondary Market Trading Workflow (NEPSE)**</w:t>
      </w:r>
    </w:p>
    <w:p>
      <w:pPr>
        <w:jc w:val="center"/>
      </w:pPr>
      <w:r>
        <w:drawing>
          <wp:inline xmlns:a="http://schemas.openxmlformats.org/drawingml/2006/main" xmlns:pic="http://schemas.openxmlformats.org/drawingml/2006/picture">
            <wp:extent cx="5943600" cy="49269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926932"/>
                    </a:xfrm>
                    <a:prstGeom prst="rect"/>
                  </pic:spPr>
                </pic:pic>
              </a:graphicData>
            </a:graphic>
          </wp:inline>
        </w:drawing>
      </w:r>
    </w:p>
    <w:p>
      <w:pPr>
        <w:jc w:val="center"/>
      </w:pPr>
      <w:r>
        <w:rPr>
          <w:i/>
          <w:sz w:val="18"/>
        </w:rPr>
        <w:t>Diagram: sequenceDiagram</w:t>
      </w:r>
    </w:p>
    <w:p>
      <w:r>
        <w:rPr>
          <w:b/>
        </w:rPr>
        <w:t>Key platform touchpoints:</w:t>
      </w:r>
    </w:p>
    <w:p>
      <w:pPr>
        <w:pStyle w:val="ListBullet"/>
      </w:pPr>
      <w:r>
        <w:rPr>
          <w:b/>
        </w:rPr>
        <w:t>Pre-trade risk checks</w:t>
      </w:r>
      <w:r>
        <w:t>: margin availability, exposure limits, promoter lock-in verification, circuit breaker awareness.</w:t>
      </w:r>
    </w:p>
    <w:p>
      <w:pPr>
        <w:pStyle w:val="ListBullet"/>
      </w:pPr>
      <w:r>
        <w:rPr>
          <w:b/>
        </w:rPr>
        <w:t>Trade capture</w:t>
      </w:r>
      <w:r>
        <w:t>: real-time capture from TMS/NEPSE feed; automated reconciliation against NEPSE floorsheet.</w:t>
      </w:r>
    </w:p>
    <w:p>
      <w:pPr>
        <w:pStyle w:val="ListBullet"/>
      </w:pPr>
      <w:r>
        <w:rPr>
          <w:b/>
        </w:rPr>
        <w:t>Settlement processing</w:t>
      </w:r>
      <w:r>
        <w:t>: T+2 obligation calculation, pay-in/pay-out instructions, securities debit/credit, exception handling for short deliveries.</w:t>
      </w:r>
    </w:p>
    <w:p>
      <w:pPr>
        <w:pStyle w:val="ListBullet"/>
      </w:pPr>
      <w:r>
        <w:rPr>
          <w:b/>
        </w:rPr>
        <w:t>Client servicing</w:t>
      </w:r>
      <w:r>
        <w:t>: contract note generation (Nepali + English), holding statements, portfolio valuation.</w:t>
      </w:r>
    </w:p>
    <w:p>
      <w:pPr>
        <w:pStyle w:val="Heading4"/>
      </w:pPr>
      <w:r>
        <w:t>**3.2. IPO/FPO Application &amp; Allotment Workflow**</w:t>
      </w:r>
    </w:p>
    <w:p>
      <w:r>
        <w:t xml:space="preserve">Nepal's IPO system is unique: it runs through </w:t>
      </w:r>
      <w:r>
        <w:rPr>
          <w:b/>
        </w:rPr>
        <w:t>Meroshare + ASBA</w:t>
      </w:r>
      <w:r>
        <w:t xml:space="preserve"> (Application Supported by Blocked Amount).</w:t>
      </w:r>
    </w:p>
    <w:p>
      <w:pPr>
        <w:jc w:val="center"/>
      </w:pPr>
      <w:r>
        <w:drawing>
          <wp:inline xmlns:a="http://schemas.openxmlformats.org/drawingml/2006/main" xmlns:pic="http://schemas.openxmlformats.org/drawingml/2006/picture">
            <wp:extent cx="5943600" cy="545521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5455211"/>
                    </a:xfrm>
                    <a:prstGeom prst="rect"/>
                  </pic:spPr>
                </pic:pic>
              </a:graphicData>
            </a:graphic>
          </wp:inline>
        </w:drawing>
      </w:r>
    </w:p>
    <w:p>
      <w:pPr>
        <w:jc w:val="center"/>
      </w:pPr>
      <w:r>
        <w:rPr>
          <w:i/>
          <w:sz w:val="18"/>
        </w:rPr>
        <w:t>Diagram: sequenceDiagram</w:t>
      </w:r>
    </w:p>
    <w:p>
      <w:r>
        <w:rPr>
          <w:b/>
        </w:rPr>
        <w:t>Key platform capabilities needed:</w:t>
      </w:r>
    </w:p>
    <w:p>
      <w:pPr>
        <w:pStyle w:val="ListBullet"/>
      </w:pPr>
      <w:r>
        <w:rPr>
          <w:b/>
        </w:rPr>
        <w:t>IPO workflow engine</w:t>
      </w:r>
      <w:r>
        <w:t>: manage the entire lifecycle from prospectus / offer-document filing through approval to listing, including post-issue close reporting within the current 7-day Board-notification window (</w:t>
      </w:r>
      <w:r>
        <w:rPr>
          <w:rFonts w:ascii="Courier New" w:hAnsi="Courier New"/>
          <w:sz w:val="20"/>
        </w:rPr>
        <w:t>Ref: LCA-025</w:t>
      </w:r>
      <w:r>
        <w:t xml:space="preserve">, </w:t>
      </w:r>
      <w:r>
        <w:rPr>
          <w:rFonts w:ascii="Courier New" w:hAnsi="Courier New"/>
          <w:sz w:val="20"/>
        </w:rPr>
        <w:t>Ref: LCA-026</w:t>
      </w:r>
      <w:r>
        <w:t>).</w:t>
      </w:r>
    </w:p>
    <w:p>
      <w:pPr>
        <w:pStyle w:val="ListBullet"/>
      </w:pPr>
      <w:r>
        <w:rPr>
          <w:b/>
        </w:rPr>
        <w:t>ASBA integration</w:t>
      </w:r>
      <w:r>
        <w:t>: support multiple bank integration modes (API where available, secure file/batch where not), with a target of covering all 43 C-ASBA institutions.</w:t>
      </w:r>
    </w:p>
    <w:p>
      <w:pPr>
        <w:pStyle w:val="ListBullet"/>
      </w:pPr>
      <w:r>
        <w:rPr>
          <w:b/>
        </w:rPr>
        <w:t>Duplicate detection</w:t>
      </w:r>
      <w:r>
        <w:t>: AI-powered detection of multiple applications from same PAN/National ID across different ASBA banks.</w:t>
      </w:r>
    </w:p>
    <w:p>
      <w:pPr>
        <w:pStyle w:val="ListBullet"/>
      </w:pPr>
      <w:r>
        <w:rPr>
          <w:b/>
        </w:rPr>
        <w:t>Allotment optimization</w:t>
      </w:r>
      <w:r>
        <w:t>: transparent, auditable allotment algorithm execution.</w:t>
      </w:r>
    </w:p>
    <w:p>
      <w:pPr>
        <w:pStyle w:val="ListBullet"/>
      </w:pPr>
      <w:r>
        <w:rPr>
          <w:b/>
        </w:rPr>
        <w:t>Merchant banker dashboard</w:t>
      </w:r>
      <w:r>
        <w:t>: real-time view of application pipeline, demand analysis, and allotment status.</w:t>
      </w:r>
    </w:p>
    <w:p>
      <w:pPr>
        <w:pStyle w:val="Heading4"/>
      </w:pPr>
      <w:r>
        <w:t>**3.3. Corporate Actions Processing**</w:t>
      </w:r>
    </w:p>
    <w:p>
      <w:r>
        <w:t>Corporate actions are among the highest-volume operations in Nepal. Key 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Corporate action</w:t>
            </w:r>
          </w:p>
        </w:tc>
        <w:tc>
          <w:tcPr>
            <w:tcW w:type="dxa" w:w="2160"/>
            <w:shd w:fill="D9EAF7"/>
          </w:tcPr>
          <w:p>
            <w:r>
              <w:rPr>
                <w:b/>
              </w:rPr>
            </w:r>
            <w:r>
              <w:rPr>
                <w:b/>
              </w:rPr>
              <w:t>Frequency</w:t>
            </w:r>
          </w:p>
        </w:tc>
        <w:tc>
          <w:tcPr>
            <w:tcW w:type="dxa" w:w="2160"/>
            <w:shd w:fill="D9EAF7"/>
          </w:tcPr>
          <w:p>
            <w:r>
              <w:rPr>
                <w:b/>
              </w:rPr>
            </w:r>
            <w:r>
              <w:rPr>
                <w:b/>
              </w:rPr>
              <w:t>Current process</w:t>
            </w:r>
          </w:p>
        </w:tc>
        <w:tc>
          <w:tcPr>
            <w:tcW w:type="dxa" w:w="2160"/>
            <w:shd w:fill="D9EAF7"/>
          </w:tcPr>
          <w:p>
            <w:r>
              <w:rPr>
                <w:b/>
              </w:rPr>
            </w:r>
            <w:r>
              <w:rPr>
                <w:b/>
              </w:rPr>
              <w:t>AI-native improvement</w:t>
            </w:r>
          </w:p>
        </w:tc>
      </w:tr>
      <w:tr>
        <w:tc>
          <w:tcPr>
            <w:tcW w:type="dxa" w:w="2160"/>
          </w:tcPr>
          <w:p>
            <w:r/>
            <w:r>
              <w:rPr>
                <w:b/>
              </w:rPr>
              <w:t>Bonus shares</w:t>
            </w:r>
          </w:p>
        </w:tc>
        <w:tc>
          <w:tcPr>
            <w:tcW w:type="dxa" w:w="2160"/>
          </w:tcPr>
          <w:p>
            <w:r/>
            <w:r>
              <w:t>Very common (banks, FIs issue annual bonuses of 5–30%+)</w:t>
            </w:r>
          </w:p>
        </w:tc>
        <w:tc>
          <w:tcPr>
            <w:tcW w:type="dxa" w:w="2160"/>
          </w:tcPr>
          <w:p>
            <w:r/>
            <w:r>
              <w:t>Issuer announces → CDSC processes book closure → manual entitlement calc → credit to demat</w:t>
            </w:r>
          </w:p>
        </w:tc>
        <w:tc>
          <w:tcPr>
            <w:tcW w:type="dxa" w:w="2160"/>
          </w:tcPr>
          <w:p>
            <w:r/>
            <w:r>
              <w:t>AI calculates entitlements and reconciles straight-through cases; exceptions go to an approval queue before posting</w:t>
            </w:r>
          </w:p>
        </w:tc>
      </w:tr>
      <w:tr>
        <w:tc>
          <w:tcPr>
            <w:tcW w:type="dxa" w:w="2160"/>
          </w:tcPr>
          <w:p>
            <w:r/>
            <w:r>
              <w:rPr>
                <w:b/>
              </w:rPr>
              <w:t>Rights shares</w:t>
            </w:r>
          </w:p>
        </w:tc>
        <w:tc>
          <w:tcPr>
            <w:tcW w:type="dxa" w:w="2160"/>
          </w:tcPr>
          <w:p>
            <w:r/>
            <w:r>
              <w:t>Common</w:t>
            </w:r>
          </w:p>
        </w:tc>
        <w:tc>
          <w:tcPr>
            <w:tcW w:type="dxa" w:w="2160"/>
          </w:tcPr>
          <w:p>
            <w:r/>
            <w:r>
              <w:t>Issuer announces → shareholders apply via Meroshare/ASBA → allotment → listing</w:t>
            </w:r>
          </w:p>
        </w:tc>
        <w:tc>
          <w:tcPr>
            <w:tcW w:type="dxa" w:w="2160"/>
          </w:tcPr>
          <w:p>
            <w:r/>
            <w:r>
              <w:t>End-to-end digitized rights workflow with ASBA integration and automated allotment</w:t>
            </w:r>
          </w:p>
        </w:tc>
      </w:tr>
      <w:tr>
        <w:tc>
          <w:tcPr>
            <w:tcW w:type="dxa" w:w="2160"/>
          </w:tcPr>
          <w:p>
            <w:r/>
            <w:r>
              <w:rPr>
                <w:b/>
              </w:rPr>
              <w:t>Cash dividends</w:t>
            </w:r>
          </w:p>
        </w:tc>
        <w:tc>
          <w:tcPr>
            <w:tcW w:type="dxa" w:w="2160"/>
          </w:tcPr>
          <w:p>
            <w:r/>
            <w:r>
              <w:t>Every AGM season (bank dividends are large)</w:t>
            </w:r>
          </w:p>
        </w:tc>
        <w:tc>
          <w:tcPr>
            <w:tcW w:type="dxa" w:w="2160"/>
          </w:tcPr>
          <w:p>
            <w:r/>
            <w:r>
              <w:t>Board declares → record date → TDS deduction → payment via bank account</w:t>
            </w:r>
          </w:p>
        </w:tc>
        <w:tc>
          <w:tcPr>
            <w:tcW w:type="dxa" w:w="2160"/>
          </w:tcPr>
          <w:p>
            <w:r/>
            <w:r>
              <w:t>Automated TDS calculation and payment preparation for standard cases, with exception controls and approval steps for edge cases</w:t>
            </w:r>
          </w:p>
        </w:tc>
      </w:tr>
      <w:tr>
        <w:tc>
          <w:tcPr>
            <w:tcW w:type="dxa" w:w="2160"/>
          </w:tcPr>
          <w:p>
            <w:r/>
            <w:r>
              <w:rPr>
                <w:b/>
              </w:rPr>
              <w:t>Stock dividends</w:t>
            </w:r>
          </w:p>
        </w:tc>
        <w:tc>
          <w:tcPr>
            <w:tcW w:type="dxa" w:w="2160"/>
          </w:tcPr>
          <w:p>
            <w:r/>
            <w:r>
              <w:t>Often combined with bonus</w:t>
            </w:r>
          </w:p>
        </w:tc>
        <w:tc>
          <w:tcPr>
            <w:tcW w:type="dxa" w:w="2160"/>
          </w:tcPr>
          <w:p>
            <w:r/>
            <w:r>
              <w:t>Combined with bonus processing</w:t>
            </w:r>
          </w:p>
        </w:tc>
        <w:tc>
          <w:tcPr>
            <w:tcW w:type="dxa" w:w="2160"/>
          </w:tcPr>
          <w:p>
            <w:r/>
            <w:r>
              <w:t>Unified entitlement engine handles bonus + stock dividend together</w:t>
            </w:r>
          </w:p>
        </w:tc>
      </w:tr>
      <w:tr>
        <w:tc>
          <w:tcPr>
            <w:tcW w:type="dxa" w:w="2160"/>
          </w:tcPr>
          <w:p>
            <w:r/>
            <w:r>
              <w:rPr>
                <w:b/>
              </w:rPr>
              <w:t>Auction shares</w:t>
            </w:r>
          </w:p>
        </w:tc>
        <w:tc>
          <w:tcPr>
            <w:tcW w:type="dxa" w:w="2160"/>
          </w:tcPr>
          <w:p>
            <w:r/>
            <w:r>
              <w:t>Periodic (unclaimed fractions, unsubscribed rights)</w:t>
            </w:r>
          </w:p>
        </w:tc>
        <w:tc>
          <w:tcPr>
            <w:tcW w:type="dxa" w:w="2160"/>
          </w:tcPr>
          <w:p>
            <w:r/>
            <w:r>
              <w:t>NEPSE conducts auction</w:t>
            </w:r>
          </w:p>
        </w:tc>
        <w:tc>
          <w:tcPr>
            <w:tcW w:type="dxa" w:w="2160"/>
          </w:tcPr>
          <w:p>
            <w:r/>
            <w:r>
              <w:t>Auction workflow with minimum price rules and automated allocation</w:t>
            </w:r>
          </w:p>
        </w:tc>
      </w:tr>
      <w:tr>
        <w:tc>
          <w:tcPr>
            <w:tcW w:type="dxa" w:w="2160"/>
          </w:tcPr>
          <w:p>
            <w:r/>
            <w:r>
              <w:rPr>
                <w:b/>
              </w:rPr>
              <w:t>Mergers &amp; demergers</w:t>
            </w:r>
          </w:p>
        </w:tc>
        <w:tc>
          <w:tcPr>
            <w:tcW w:type="dxa" w:w="2160"/>
          </w:tcPr>
          <w:p>
            <w:r/>
            <w:r>
              <w:t>Increasing (including NRB-driven bank consolidation)</w:t>
            </w:r>
          </w:p>
        </w:tc>
        <w:tc>
          <w:tcPr>
            <w:tcW w:type="dxa" w:w="2160"/>
          </w:tcPr>
          <w:p>
            <w:r/>
            <w:r>
              <w:t>Complex share swap ratios, new ISIN assignment</w:t>
            </w:r>
          </w:p>
        </w:tc>
        <w:tc>
          <w:tcPr>
            <w:tcW w:type="dxa" w:w="2160"/>
          </w:tcPr>
          <w:p>
            <w:r/>
            <w:r>
              <w:t>AI-assisted swap ratio application, automated portfolio rebalancing, new instrument master creation</w:t>
            </w:r>
          </w:p>
        </w:tc>
      </w:tr>
    </w:tbl>
    <w:p>
      <w:pPr>
        <w:pStyle w:val="Heading4"/>
      </w:pPr>
      <w:r>
        <w:t>**3.4. EDIS (Electronic Delivery Instruction Slip) Workflow**</w:t>
      </w:r>
    </w:p>
    <w:p>
      <w:r>
        <w:t>For selling securities, investors must authorize the transfer from their demat account. Nepal uses EDIS:</w:t>
      </w:r>
    </w:p>
    <w:p>
      <w:pPr>
        <w:pStyle w:val="ListNumber"/>
      </w:pPr>
      <w:r>
        <w:t>Investor places sell order via broker TMS.</w:t>
      </w:r>
    </w:p>
    <w:p>
      <w:pPr>
        <w:pStyle w:val="ListNumber"/>
      </w:pPr>
      <w:r>
        <w:t>Investor (or broker, if authorized) submits EDIS via Meroshare—authorizing the securities transfer.</w:t>
      </w:r>
    </w:p>
    <w:p>
      <w:pPr>
        <w:pStyle w:val="ListNumber"/>
      </w:pPr>
      <w:r>
        <w:t>On settlement date, CDSC debits securities from investor's demat account based on EDIS.</w:t>
      </w:r>
    </w:p>
    <w:p>
      <w:pPr>
        <w:pStyle w:val="ListNumber"/>
      </w:pPr>
      <w:r>
        <w:t>If EDIS is missing, the sell trade fails on settlement → short delivery → penalty.</w:t>
      </w:r>
    </w:p>
    <w:p>
      <w:r>
        <w:rPr>
          <w:b/>
        </w:rPr>
        <w:t>Platform requirement:</w:t>
      </w:r>
      <w:r>
        <w:t xml:space="preserve"> EDIS initiation, reminder, and status orchestration should be integrated with the OMS. When a sell order is placed, the system should auto-initiate the EDIS workflow where permitted, while final investor authorization continues to follow CDSC/Meroshare control requirements.</w:t>
      </w:r>
    </w:p>
    <w:p>
      <w:pPr>
        <w:pStyle w:val="Heading4"/>
      </w:pPr>
      <w:r>
        <w:t>**3.5. Mutual Fund Operations**</w:t>
      </w:r>
    </w:p>
    <w:p>
      <w:r>
        <w:t>With the current SEBON category of 17 "Fund Manager and Depository" entities, 24 mutual fund schemes, and 19 specialized investment fund managers: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Operation</w:t>
            </w:r>
          </w:p>
        </w:tc>
        <w:tc>
          <w:tcPr>
            <w:tcW w:type="dxa" w:w="2880"/>
            <w:shd w:fill="D9EAF7"/>
          </w:tcPr>
          <w:p>
            <w:r>
              <w:rPr>
                <w:b/>
              </w:rPr>
            </w:r>
            <w:r>
              <w:rPr>
                <w:b/>
              </w:rPr>
              <w:t>Description</w:t>
            </w:r>
          </w:p>
        </w:tc>
        <w:tc>
          <w:tcPr>
            <w:tcW w:type="dxa" w:w="2880"/>
            <w:shd w:fill="D9EAF7"/>
          </w:tcPr>
          <w:p>
            <w:r>
              <w:rPr>
                <w:b/>
              </w:rPr>
            </w:r>
            <w:r>
              <w:rPr>
                <w:b/>
              </w:rPr>
              <w:t>Platform capability</w:t>
            </w:r>
          </w:p>
        </w:tc>
      </w:tr>
      <w:tr>
        <w:tc>
          <w:tcPr>
            <w:tcW w:type="dxa" w:w="2880"/>
          </w:tcPr>
          <w:p>
            <w:r/>
            <w:r>
              <w:rPr>
                <w:b/>
              </w:rPr>
              <w:t>NAV calculation</w:t>
            </w:r>
          </w:p>
        </w:tc>
        <w:tc>
          <w:tcPr>
            <w:tcW w:type="dxa" w:w="2880"/>
          </w:tcPr>
          <w:p>
            <w:r/>
            <w:r>
              <w:t>Daily NAV for open-end funds; periodic for closed-end</w:t>
            </w:r>
          </w:p>
        </w:tc>
        <w:tc>
          <w:tcPr>
            <w:tcW w:type="dxa" w:w="2880"/>
          </w:tcPr>
          <w:p>
            <w:r/>
            <w:r>
              <w:t>Automated NAV engine with pricing feed from NEPSE, multi-source price hierarchy</w:t>
            </w:r>
          </w:p>
        </w:tc>
      </w:tr>
      <w:tr>
        <w:tc>
          <w:tcPr>
            <w:tcW w:type="dxa" w:w="2880"/>
          </w:tcPr>
          <w:p>
            <w:r/>
            <w:r>
              <w:rPr>
                <w:b/>
              </w:rPr>
              <w:t>Unit purchase/redemption</w:t>
            </w:r>
          </w:p>
        </w:tc>
        <w:tc>
          <w:tcPr>
            <w:tcW w:type="dxa" w:w="2880"/>
          </w:tcPr>
          <w:p>
            <w:r/>
            <w:r>
              <w:t>Via distributors or direct</w:t>
            </w:r>
          </w:p>
        </w:tc>
        <w:tc>
          <w:tcPr>
            <w:tcW w:type="dxa" w:w="2880"/>
          </w:tcPr>
          <w:p>
            <w:r/>
            <w:r>
              <w:t>Digital subscription/redemption workflow, ASBA integration for purchase</w:t>
            </w:r>
          </w:p>
        </w:tc>
      </w:tr>
      <w:tr>
        <w:tc>
          <w:tcPr>
            <w:tcW w:type="dxa" w:w="2880"/>
          </w:tcPr>
          <w:p>
            <w:r/>
            <w:r>
              <w:rPr>
                <w:b/>
              </w:rPr>
              <w:t>SIP/SWP</w:t>
            </w:r>
          </w:p>
        </w:tc>
        <w:tc>
          <w:tcPr>
            <w:tcW w:type="dxa" w:w="2880"/>
          </w:tcPr>
          <w:p>
            <w:r/>
            <w:r>
              <w:t>Systematic investment/withdrawal plans</w:t>
            </w:r>
          </w:p>
        </w:tc>
        <w:tc>
          <w:tcPr>
            <w:tcW w:type="dxa" w:w="2880"/>
          </w:tcPr>
          <w:p>
            <w:r/>
            <w:r>
              <w:t>Automated recurring instruction engine</w:t>
            </w:r>
          </w:p>
        </w:tc>
      </w:tr>
      <w:tr>
        <w:tc>
          <w:tcPr>
            <w:tcW w:type="dxa" w:w="2880"/>
          </w:tcPr>
          <w:p>
            <w:r/>
            <w:r>
              <w:rPr>
                <w:b/>
              </w:rPr>
              <w:t>Distribution</w:t>
            </w:r>
          </w:p>
        </w:tc>
        <w:tc>
          <w:tcPr>
            <w:tcW w:type="dxa" w:w="2880"/>
          </w:tcPr>
          <w:p>
            <w:r/>
            <w:r>
              <w:t>Dividend distribution to unit holders</w:t>
            </w:r>
          </w:p>
        </w:tc>
        <w:tc>
          <w:tcPr>
            <w:tcW w:type="dxa" w:w="2880"/>
          </w:tcPr>
          <w:p>
            <w:r/>
            <w:r>
              <w:t>Automated entitlement calculation, TDS deduction, payment processing</w:t>
            </w:r>
          </w:p>
        </w:tc>
      </w:tr>
      <w:tr>
        <w:tc>
          <w:tcPr>
            <w:tcW w:type="dxa" w:w="2880"/>
          </w:tcPr>
          <w:p>
            <w:r/>
            <w:r>
              <w:rPr>
                <w:b/>
              </w:rPr>
              <w:t>Reporting</w:t>
            </w:r>
          </w:p>
        </w:tc>
        <w:tc>
          <w:tcPr>
            <w:tcW w:type="dxa" w:w="2880"/>
          </w:tcPr>
          <w:p>
            <w:r/>
            <w:r>
              <w:t>Board-facing fund reports and factsheets; live templates revalidated before filing</w:t>
            </w:r>
          </w:p>
        </w:tc>
        <w:tc>
          <w:tcPr>
            <w:tcW w:type="dxa" w:w="2880"/>
          </w:tcPr>
          <w:p>
            <w:r/>
            <w:r>
              <w:t>AI-generated fund factsheets and regulatory reports</w:t>
            </w:r>
          </w:p>
        </w:tc>
      </w:tr>
    </w:tbl>
    <w:p>
      <w:pPr>
        <w:pStyle w:val="Heading4"/>
      </w:pPr>
      <w:r>
        <w:t>**3.6. Tax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Tax type</w:t>
            </w:r>
          </w:p>
        </w:tc>
        <w:tc>
          <w:tcPr>
            <w:tcW w:type="dxa" w:w="2160"/>
            <w:shd w:fill="D9EAF7"/>
          </w:tcPr>
          <w:p>
            <w:r>
              <w:rPr>
                <w:b/>
              </w:rPr>
            </w:r>
            <w:r>
              <w:rPr>
                <w:b/>
              </w:rPr>
              <w:t>Rate</w:t>
            </w:r>
          </w:p>
        </w:tc>
        <w:tc>
          <w:tcPr>
            <w:tcW w:type="dxa" w:w="2160"/>
            <w:shd w:fill="D9EAF7"/>
          </w:tcPr>
          <w:p>
            <w:r>
              <w:rPr>
                <w:b/>
              </w:rPr>
            </w:r>
            <w:r>
              <w:rPr>
                <w:b/>
              </w:rPr>
              <w:t>Applicability</w:t>
            </w:r>
          </w:p>
        </w:tc>
        <w:tc>
          <w:tcPr>
            <w:tcW w:type="dxa" w:w="2160"/>
            <w:shd w:fill="D9EAF7"/>
          </w:tcPr>
          <w:p>
            <w:r>
              <w:rPr>
                <w:b/>
              </w:rPr>
            </w:r>
            <w:r>
              <w:rPr>
                <w:b/>
              </w:rPr>
              <w:t>Platform handling</w:t>
            </w:r>
          </w:p>
        </w:tc>
      </w:tr>
      <w:tr>
        <w:tc>
          <w:tcPr>
            <w:tcW w:type="dxa" w:w="2160"/>
          </w:tcPr>
          <w:p>
            <w:r/>
            <w:r>
              <w:rPr>
                <w:b/>
              </w:rPr>
              <w:t>Capital gains tax (listed securities)</w:t>
            </w:r>
          </w:p>
        </w:tc>
        <w:tc>
          <w:tcPr>
            <w:tcW w:type="dxa" w:w="2160"/>
          </w:tcPr>
          <w:p>
            <w:r/>
            <w:r>
              <w:t>[VERIFY] 5% (held &gt;1 year) / 7.5% (held &lt;1 year)</w:t>
            </w:r>
          </w:p>
        </w:tc>
        <w:tc>
          <w:tcPr>
            <w:tcW w:type="dxa" w:w="2160"/>
          </w:tcPr>
          <w:p>
            <w:r/>
            <w:r>
              <w:t>On realized gains from secondary market sales</w:t>
            </w:r>
          </w:p>
        </w:tc>
        <w:tc>
          <w:tcPr>
            <w:tcW w:type="dxa" w:w="2160"/>
          </w:tcPr>
          <w:p>
            <w:r/>
            <w:r>
              <w:t>Auto-calculated at trade level; broker deducts TDS; reports for annual filing</w:t>
            </w:r>
          </w:p>
        </w:tc>
      </w:tr>
      <w:tr>
        <w:tc>
          <w:tcPr>
            <w:tcW w:type="dxa" w:w="2160"/>
          </w:tcPr>
          <w:p>
            <w:r/>
            <w:r>
              <w:rPr>
                <w:b/>
              </w:rPr>
              <w:t>Capital gains tax (unlisted/promoter transfer)</w:t>
            </w:r>
          </w:p>
        </w:tc>
        <w:tc>
          <w:tcPr>
            <w:tcW w:type="dxa" w:w="2160"/>
          </w:tcPr>
          <w:p>
            <w:r/>
            <w:r>
              <w:t>[VERIFY] 10%</w:t>
            </w:r>
          </w:p>
        </w:tc>
        <w:tc>
          <w:tcPr>
            <w:tcW w:type="dxa" w:w="2160"/>
          </w:tcPr>
          <w:p>
            <w:r/>
            <w:r>
              <w:t>On transfer of unlisted shares</w:t>
            </w:r>
          </w:p>
        </w:tc>
        <w:tc>
          <w:tcPr>
            <w:tcW w:type="dxa" w:w="2160"/>
          </w:tcPr>
          <w:p>
            <w:r/>
            <w:r>
              <w:t>Different rate engine for OTC/promoter transfers</w:t>
            </w:r>
          </w:p>
        </w:tc>
      </w:tr>
      <w:tr>
        <w:tc>
          <w:tcPr>
            <w:tcW w:type="dxa" w:w="2160"/>
          </w:tcPr>
          <w:p>
            <w:r/>
            <w:r>
              <w:rPr>
                <w:b/>
              </w:rPr>
              <w:t>TDS on cash dividends</w:t>
            </w:r>
          </w:p>
        </w:tc>
        <w:tc>
          <w:tcPr>
            <w:tcW w:type="dxa" w:w="2160"/>
          </w:tcPr>
          <w:p>
            <w:r/>
            <w:r>
              <w:t>[VERIFY] 5%</w:t>
            </w:r>
          </w:p>
        </w:tc>
        <w:tc>
          <w:tcPr>
            <w:tcW w:type="dxa" w:w="2160"/>
          </w:tcPr>
          <w:p>
            <w:r/>
            <w:r>
              <w:t>Deducted by issuer/RTA at distribution</w:t>
            </w:r>
          </w:p>
        </w:tc>
        <w:tc>
          <w:tcPr>
            <w:tcW w:type="dxa" w:w="2160"/>
          </w:tcPr>
          <w:p>
            <w:r/>
            <w:r>
              <w:t>Auto-calculated during corporate actions processing</w:t>
            </w:r>
          </w:p>
        </w:tc>
      </w:tr>
      <w:tr>
        <w:tc>
          <w:tcPr>
            <w:tcW w:type="dxa" w:w="2160"/>
          </w:tcPr>
          <w:p>
            <w:r/>
            <w:r>
              <w:rPr>
                <w:b/>
              </w:rPr>
              <w:t>TDS on interest (debentures)</w:t>
            </w:r>
          </w:p>
        </w:tc>
        <w:tc>
          <w:tcPr>
            <w:tcW w:type="dxa" w:w="2160"/>
          </w:tcPr>
          <w:p>
            <w:r/>
            <w:r>
              <w:t>[VERIFY] 5–15% (varies)</w:t>
            </w:r>
          </w:p>
        </w:tc>
        <w:tc>
          <w:tcPr>
            <w:tcW w:type="dxa" w:w="2160"/>
          </w:tcPr>
          <w:p>
            <w:r/>
            <w:r>
              <w:t>Deducted by issuer</w:t>
            </w:r>
          </w:p>
        </w:tc>
        <w:tc>
          <w:tcPr>
            <w:tcW w:type="dxa" w:w="2160"/>
          </w:tcPr>
          <w:p>
            <w:r/>
            <w:r>
              <w:t>Bond interest payment workflow includes TDS</w:t>
            </w:r>
          </w:p>
        </w:tc>
      </w:tr>
      <w:tr>
        <w:tc>
          <w:tcPr>
            <w:tcW w:type="dxa" w:w="2160"/>
          </w:tcPr>
          <w:p>
            <w:r/>
            <w:r>
              <w:rPr>
                <w:b/>
              </w:rPr>
              <w:t>Broker commission</w:t>
            </w:r>
          </w:p>
        </w:tc>
        <w:tc>
          <w:tcPr>
            <w:tcW w:type="dxa" w:w="2160"/>
          </w:tcPr>
          <w:p>
            <w:r/>
            <w:r>
              <w:t>0.27–0.40% (varies by slab; minimum Rs 10)</w:t>
            </w:r>
          </w:p>
        </w:tc>
        <w:tc>
          <w:tcPr>
            <w:tcW w:type="dxa" w:w="2160"/>
          </w:tcPr>
          <w:p>
            <w:r/>
            <w:r>
              <w:t>Charged by broker as a brokerage service charge on trade value</w:t>
            </w:r>
          </w:p>
        </w:tc>
        <w:tc>
          <w:tcPr>
            <w:tcW w:type="dxa" w:w="2160"/>
          </w:tcPr>
          <w:p>
            <w:r/>
            <w:r>
              <w:t>Commission engine uses the current Schedule 14 slab logic; keep it configurable and revalidate before go-live (</w:t>
            </w:r>
            <w:r>
              <w:rPr>
                <w:rFonts w:ascii="Courier New" w:hAnsi="Courier New"/>
                <w:sz w:val="20"/>
              </w:rPr>
              <w:t>Ref: LCA-023</w:t>
            </w:r>
            <w:r>
              <w:t>)</w:t>
            </w:r>
          </w:p>
        </w:tc>
      </w:tr>
      <w:tr>
        <w:tc>
          <w:tcPr>
            <w:tcW w:type="dxa" w:w="2160"/>
          </w:tcPr>
          <w:p>
            <w:r/>
            <w:r>
              <w:rPr>
                <w:b/>
              </w:rPr>
              <w:t>SEBON regulatory levy</w:t>
            </w:r>
          </w:p>
        </w:tc>
        <w:tc>
          <w:tcPr>
            <w:tcW w:type="dxa" w:w="2160"/>
          </w:tcPr>
          <w:p>
            <w:r/>
            <w:r>
              <w:t>0.6% of total brokerage service charge collected</w:t>
            </w:r>
          </w:p>
        </w:tc>
        <w:tc>
          <w:tcPr>
            <w:tcW w:type="dxa" w:w="2160"/>
          </w:tcPr>
          <w:p>
            <w:r/>
            <w:r>
              <w:t>Broker remits the levy to SEBON after fiscal-year close</w:t>
            </w:r>
          </w:p>
        </w:tc>
        <w:tc>
          <w:tcPr>
            <w:tcW w:type="dxa" w:w="2160"/>
          </w:tcPr>
          <w:p>
            <w:r/>
            <w:r>
              <w:t>Accrual and year-end remittance support (</w:t>
            </w:r>
            <w:r>
              <w:rPr>
                <w:rFonts w:ascii="Courier New" w:hAnsi="Courier New"/>
                <w:sz w:val="20"/>
              </w:rPr>
              <w:t>Ref: LCA-023</w:t>
            </w:r>
            <w:r>
              <w:t>)</w:t>
            </w:r>
          </w:p>
        </w:tc>
      </w:tr>
      <w:tr>
        <w:tc>
          <w:tcPr>
            <w:tcW w:type="dxa" w:w="2160"/>
          </w:tcPr>
          <w:p>
            <w:r/>
            <w:r>
              <w:rPr>
                <w:b/>
              </w:rPr>
              <w:t>Securities market transaction fee</w:t>
            </w:r>
          </w:p>
        </w:tc>
        <w:tc>
          <w:tcPr>
            <w:tcW w:type="dxa" w:w="2160"/>
          </w:tcPr>
          <w:p>
            <w:r/>
            <w:r>
              <w:t>0.015% of share-trade value</w:t>
            </w:r>
          </w:p>
        </w:tc>
        <w:tc>
          <w:tcPr>
            <w:tcW w:type="dxa" w:w="2160"/>
          </w:tcPr>
          <w:p>
            <w:r/>
            <w:r>
              <w:t>Charged on each share transaction and routed through settlement</w:t>
            </w:r>
          </w:p>
        </w:tc>
        <w:tc>
          <w:tcPr>
            <w:tcW w:type="dxa" w:w="2160"/>
          </w:tcPr>
          <w:p>
            <w:r/>
            <w:r>
              <w:t>Auto-calculated in settlement and fee ledgers (</w:t>
            </w:r>
            <w:r>
              <w:rPr>
                <w:rFonts w:ascii="Courier New" w:hAnsi="Courier New"/>
                <w:sz w:val="20"/>
              </w:rPr>
              <w:t>Ref: LCA-023</w:t>
            </w:r>
            <w:r>
              <w:t>)</w:t>
            </w:r>
          </w:p>
        </w:tc>
      </w:tr>
    </w:tbl>
    <w:p>
      <w:r>
        <w:t>---</w:t>
      </w:r>
    </w:p>
    <w:p>
      <w:pPr>
        <w:pStyle w:val="Heading3"/>
      </w:pPr>
      <w:r>
        <w:t>**4. An AI-Native Platform for Nepal: Technical Blueprint**</w:t>
      </w:r>
    </w:p>
    <w:p>
      <w:r>
        <w:t>This section adapts the global architecture to Nepal's specific constraints and opportunities.</w:t>
      </w:r>
    </w:p>
    <w:p>
      <w:pPr>
        <w:pStyle w:val="Heading4"/>
      </w:pPr>
      <w:r>
        <w:t>**4.1. Core Architectural Principles for Nepal**</w:t>
      </w:r>
    </w:p>
    <w:p>
      <w:pPr>
        <w:pStyle w:val="ListNumber"/>
      </w:pPr>
      <w:r>
        <w:rPr>
          <w:b/>
        </w:rPr>
        <w:t>Generic-first, localization-second:</w:t>
      </w:r>
      <w:r>
        <w:t xml:space="preserve"> The core domain model must remain regulator-agnostic. Nepal-specific requirements (margin %, lock-in logic, reporting formats, contract-note timing, fee slabs, BS calendar handling) must be implemented as configuration, rule packs, or plugins — never as hardcoded conditionals in core services.</w:t>
      </w:r>
    </w:p>
    <w:p>
      <w:pPr>
        <w:pStyle w:val="ListNumber"/>
      </w:pPr>
      <w:r>
        <w:rPr>
          <w:b/>
        </w:rPr>
        <w:t>Mobile-first, offline-capable:</w:t>
      </w:r>
      <w:r>
        <w:t xml:space="preserve"> With high mobile-wallet and mobile-banking adoption across Nepal, the platform's client interfaces must be mobile-first. Given internet reliability constraints outside Kathmandu valley, the architecture should support offline capabilities for field agents (e.g., for collecting physical KYC in rural areas) that sync upon reconnection.</w:t>
      </w:r>
    </w:p>
    <w:p>
      <w:pPr>
        <w:pStyle w:val="ListNumber"/>
      </w:pPr>
      <w:r>
        <w:rPr>
          <w:b/>
        </w:rPr>
        <w:t>National ID as the root of trust:</w:t>
      </w:r>
      <w:r>
        <w:t xml:space="preserve"> The identity layer should be designed to anchor to Nepal's National ID where approved and technically available, while supporting fallback KYC evidence paths where the national-ID rail is not yet production-ready (</w:t>
      </w:r>
      <w:r>
        <w:rPr>
          <w:rFonts w:ascii="Courier New" w:hAnsi="Courier New"/>
          <w:sz w:val="20"/>
        </w:rPr>
        <w:t>Ref: LCA-003</w:t>
      </w:r>
      <w:r>
        <w:t>).</w:t>
      </w:r>
    </w:p>
    <w:p>
      <w:pPr>
        <w:pStyle w:val="ListNumber"/>
      </w:pPr>
      <w:r>
        <w:rPr>
          <w:b/>
        </w:rPr>
        <w:t>Dual-calendar native:</w:t>
      </w:r>
      <w:r>
        <w:t xml:space="preserve"> BS (Bikram Sambat) and Gregorian date systems must be supported at the data layer, not as a presentation-layer conversion. Regulatory reports, fiscal periods, lock-in durations, and trading calendars operate in BS.</w:t>
      </w:r>
    </w:p>
    <w:p>
      <w:pPr>
        <w:pStyle w:val="ListNumber"/>
      </w:pPr>
      <w:r>
        <w:rPr>
          <w:b/>
        </w:rPr>
        <w:t>Nepali language first:</w:t>
      </w:r>
      <w:r>
        <w:t xml:space="preserve"> Investor-facing interfaces, regulator-facing reports, contract notes, and communications should support Nepali (Devanagari script) as the product default, with English as a supported secondary language (</w:t>
      </w:r>
      <w:r>
        <w:rPr>
          <w:rFonts w:ascii="Courier New" w:hAnsi="Courier New"/>
          <w:sz w:val="20"/>
        </w:rPr>
        <w:t>Ref: LCA-018</w:t>
      </w:r>
      <w:r>
        <w:t>).</w:t>
      </w:r>
    </w:p>
    <w:p>
      <w:pPr>
        <w:pStyle w:val="ListNumber"/>
      </w:pPr>
      <w:r>
        <w:rPr>
          <w:b/>
        </w:rPr>
        <w:t>Polyglot persistence with a graph core:</w:t>
      </w:r>
      <w:r>
        <w:t xml:space="preserve"> The knowledge graph is central, not peripheral. Neo4j (or equivalent) models the complex promoter-company-regulator relationships required by Nepal-facing control workflows: tracing beneficial ownership, mapping promoter networks across companies, and instantly visualizing related-party transactions.</w:t>
      </w:r>
    </w:p>
    <w:p>
      <w:pPr>
        <w:pStyle w:val="ListNumber"/>
      </w:pPr>
      <w:r>
        <w:rPr>
          <w:b/>
        </w:rPr>
        <w:t>Nepal data residency by default:</w:t>
      </w:r>
      <w:r>
        <w:t xml:space="preserve"> All regulated data should reside within Nepal unless an explicit regulator-approved exception is obtained. The Kubernetes-based architecture enables deployment on local data centers and in-country recovery patterns.</w:t>
      </w:r>
    </w:p>
    <w:p>
      <w:pPr>
        <w:pStyle w:val="Heading4"/>
      </w:pPr>
      <w:r>
        <w:t>**4.2. Nepal-Specific AI Agents**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rPr>
                <w:b/>
              </w:rPr>
            </w:r>
            <w:r>
              <w:rPr>
                <w:b/>
              </w:rPr>
              <w:t>Agent</w:t>
            </w:r>
          </w:p>
        </w:tc>
        <w:tc>
          <w:tcPr>
            <w:tcW w:type="dxa" w:w="1728"/>
            <w:shd w:fill="D9EAF7"/>
          </w:tcPr>
          <w:p>
            <w:r>
              <w:rPr>
                <w:b/>
              </w:rPr>
            </w:r>
            <w:r>
              <w:rPr>
                <w:b/>
              </w:rPr>
              <w:t>Function</w:t>
            </w:r>
          </w:p>
        </w:tc>
        <w:tc>
          <w:tcPr>
            <w:tcW w:type="dxa" w:w="1728"/>
            <w:shd w:fill="D9EAF7"/>
          </w:tcPr>
          <w:p>
            <w:r>
              <w:rPr>
                <w:b/>
              </w:rPr>
            </w:r>
            <w:r>
              <w:rPr>
                <w:b/>
              </w:rPr>
              <w:t>Data sources</w:t>
            </w:r>
          </w:p>
        </w:tc>
        <w:tc>
          <w:tcPr>
            <w:tcW w:type="dxa" w:w="1728"/>
            <w:shd w:fill="D9EAF7"/>
          </w:tcPr>
          <w:p>
            <w:r>
              <w:rPr>
                <w:b/>
              </w:rPr>
            </w:r>
            <w:r>
              <w:rPr>
                <w:b/>
              </w:rPr>
              <w:t>Actions</w:t>
            </w:r>
          </w:p>
        </w:tc>
        <w:tc>
          <w:tcPr>
            <w:tcW w:type="dxa" w:w="1728"/>
            <w:shd w:fill="D9EAF7"/>
          </w:tcPr>
          <w:p>
            <w:r>
              <w:rPr>
                <w:b/>
              </w:rPr>
            </w:r>
            <w:r>
              <w:rPr>
                <w:b/>
              </w:rPr>
              <w:t>Autonomy level</w:t>
            </w:r>
          </w:p>
        </w:tc>
      </w:tr>
      <w:tr>
        <w:tc>
          <w:tcPr>
            <w:tcW w:type="dxa" w:w="1728"/>
          </w:tcPr>
          <w:p>
            <w:r/>
            <w:r>
              <w:rPr>
                <w:b/>
              </w:rPr>
              <w:t>Meroshare Reconciliation Agent</w:t>
            </w:r>
          </w:p>
        </w:tc>
        <w:tc>
          <w:tcPr>
            <w:tcW w:type="dxa" w:w="1728"/>
          </w:tcPr>
          <w:p>
            <w:r/>
            <w:r>
              <w:t>Reconcile investor holdings in Meroshare with broker ledger and CDSC records</w:t>
            </w:r>
          </w:p>
        </w:tc>
        <w:tc>
          <w:tcPr>
            <w:tcW w:type="dxa" w:w="1728"/>
          </w:tcPr>
          <w:p>
            <w:r/>
            <w:r>
              <w:t>Meroshare integration (API or authorized data export, depending on available access), CDSC data, broker sub-ledger</w:t>
            </w:r>
          </w:p>
        </w:tc>
        <w:tc>
          <w:tcPr>
            <w:tcW w:type="dxa" w:w="1728"/>
          </w:tcPr>
          <w:p>
            <w:r/>
            <w:r>
              <w:t>Flag discrepancies, propose resolutions, auto-resolve known patterns</w:t>
            </w:r>
          </w:p>
        </w:tc>
        <w:tc>
          <w:tcPr>
            <w:tcW w:type="dxa" w:w="1728"/>
          </w:tcPr>
          <w:p>
            <w:r/>
            <w:r>
              <w:t>Medium-High (auto-resolve for exact matches, escalate for discrepancies)</w:t>
            </w:r>
          </w:p>
        </w:tc>
      </w:tr>
      <w:tr>
        <w:tc>
          <w:tcPr>
            <w:tcW w:type="dxa" w:w="1728"/>
          </w:tcPr>
          <w:p>
            <w:r/>
            <w:r>
              <w:rPr>
                <w:b/>
              </w:rPr>
              <w:t>Promoter Share Compliance Agent</w:t>
            </w:r>
          </w:p>
        </w:tc>
        <w:tc>
          <w:tcPr>
            <w:tcW w:type="dxa" w:w="1728"/>
          </w:tcPr>
          <w:p>
            <w:r/>
            <w:r>
              <w:t>Monitor all transactions involving promoter-tagged shares</w:t>
            </w:r>
          </w:p>
        </w:tc>
        <w:tc>
          <w:tcPr>
            <w:tcW w:type="dxa" w:w="1728"/>
          </w:tcPr>
          <w:p>
            <w:r/>
            <w:r>
              <w:t>Share registry, CDSC transaction feed, lock-in attribute store</w:t>
            </w:r>
          </w:p>
        </w:tc>
        <w:tc>
          <w:tcPr>
            <w:tcW w:type="dxa" w:w="1728"/>
          </w:tcPr>
          <w:p>
            <w:r/>
            <w:r>
              <w:t>Trigger deterministic policy checks, place transactions on hold or block clear rule breaches where permitted, generate SEBON/CDSC reports, route approvals to human reviewers</w:t>
            </w:r>
          </w:p>
        </w:tc>
        <w:tc>
          <w:tcPr>
            <w:tcW w:type="dxa" w:w="1728"/>
          </w:tcPr>
          <w:p>
            <w:r/>
            <w:r>
              <w:t>Medium (deterministic controls may act automatically; AI recommendations remain reviewable)</w:t>
            </w:r>
          </w:p>
        </w:tc>
      </w:tr>
      <w:tr>
        <w:tc>
          <w:tcPr>
            <w:tcW w:type="dxa" w:w="1728"/>
          </w:tcPr>
          <w:p>
            <w:r/>
            <w:r>
              <w:rPr>
                <w:b/>
              </w:rPr>
              <w:t>Hydropower Sector Risk Agent</w:t>
            </w:r>
          </w:p>
        </w:tc>
        <w:tc>
          <w:tcPr>
            <w:tcW w:type="dxa" w:w="1728"/>
          </w:tcPr>
          <w:p>
            <w:r/>
            <w:r>
              <w:t>Model portfolio risk for hydropower-heavy investors and banks</w:t>
            </w:r>
          </w:p>
        </w:tc>
        <w:tc>
          <w:tcPr>
            <w:tcW w:type="dxa" w:w="1728"/>
          </w:tcPr>
          <w:p>
            <w:r/>
            <w:r>
              <w:t>Monsoon forecasts, NEA tariff data, reservoir levels, NEPSE price feeds, bank exposure data</w:t>
            </w:r>
          </w:p>
        </w:tc>
        <w:tc>
          <w:tcPr>
            <w:tcW w:type="dxa" w:w="1728"/>
          </w:tcPr>
          <w:p>
            <w:r/>
            <w:r>
              <w:t>Daily risk briefing, stress test alerts, concentration warnings</w:t>
            </w:r>
          </w:p>
        </w:tc>
        <w:tc>
          <w:tcPr>
            <w:tcW w:type="dxa" w:w="1728"/>
          </w:tcPr>
          <w:p>
            <w:r/>
            <w:r>
              <w:t>Medium (advisory, human reviews recommendations)</w:t>
            </w:r>
          </w:p>
        </w:tc>
      </w:tr>
      <w:tr>
        <w:tc>
          <w:tcPr>
            <w:tcW w:type="dxa" w:w="1728"/>
          </w:tcPr>
          <w:p>
            <w:r/>
            <w:r>
              <w:rPr>
                <w:b/>
              </w:rPr>
              <w:t>IPO Demand Intelligence Agent</w:t>
            </w:r>
          </w:p>
        </w:tc>
        <w:tc>
          <w:tcPr>
            <w:tcW w:type="dxa" w:w="1728"/>
          </w:tcPr>
          <w:p>
            <w:r/>
            <w:r>
              <w:t>Analyze IPO subscription patterns and predict demand</w:t>
            </w:r>
          </w:p>
        </w:tc>
        <w:tc>
          <w:tcPr>
            <w:tcW w:type="dxa" w:w="1728"/>
          </w:tcPr>
          <w:p>
            <w:r/>
            <w:r>
              <w:t>Historical IPO data, Meroshare application flow, sector sentiment, investor demographic data</w:t>
            </w:r>
          </w:p>
        </w:tc>
        <w:tc>
          <w:tcPr>
            <w:tcW w:type="dxa" w:w="1728"/>
          </w:tcPr>
          <w:p>
            <w:r/>
            <w:r>
              <w:t>Demand forecasting for merchant bankers, duplicate application detection, optimal pricing recommendations</w:t>
            </w:r>
          </w:p>
        </w:tc>
        <w:tc>
          <w:tcPr>
            <w:tcW w:type="dxa" w:w="1728"/>
          </w:tcPr>
          <w:p>
            <w:r/>
            <w:r>
              <w:t>Medium (advisory for pricing, high autonomy for duplicate detection)</w:t>
            </w:r>
          </w:p>
        </w:tc>
      </w:tr>
      <w:tr>
        <w:tc>
          <w:tcPr>
            <w:tcW w:type="dxa" w:w="1728"/>
          </w:tcPr>
          <w:p>
            <w:r/>
            <w:r>
              <w:rPr>
                <w:b/>
              </w:rPr>
              <w:t>Corporate Actions Agent</w:t>
            </w:r>
          </w:p>
        </w:tc>
        <w:tc>
          <w:tcPr>
            <w:tcW w:type="dxa" w:w="1728"/>
          </w:tcPr>
          <w:p>
            <w:r/>
            <w:r>
              <w:t>Process bonus/rights/dividend entitlements automatically</w:t>
            </w:r>
          </w:p>
        </w:tc>
        <w:tc>
          <w:tcPr>
            <w:tcW w:type="dxa" w:w="1728"/>
          </w:tcPr>
          <w:p>
            <w:r/>
            <w:r>
              <w:t>CDSC corporate actions feed, issuer announcements (NLP extraction from notices), shareholder registry</w:t>
            </w:r>
          </w:p>
        </w:tc>
        <w:tc>
          <w:tcPr>
            <w:tcW w:type="dxa" w:w="1728"/>
          </w:tcPr>
          <w:p>
            <w:r/>
            <w:r>
              <w:t>Prepare entitlement calculations, generate workflow actions for rights, reconcile post-credit, and auto-post only in pre-approved straight-through scenarios</w:t>
            </w:r>
          </w:p>
        </w:tc>
        <w:tc>
          <w:tcPr>
            <w:tcW w:type="dxa" w:w="1728"/>
          </w:tcPr>
          <w:p>
            <w:r/>
            <w:r>
              <w:t>Medium-High (auto-process standard actions, escalate exceptions)</w:t>
            </w:r>
          </w:p>
        </w:tc>
      </w:tr>
      <w:tr>
        <w:tc>
          <w:tcPr>
            <w:tcW w:type="dxa" w:w="1728"/>
          </w:tcPr>
          <w:p>
            <w:r/>
            <w:r>
              <w:rPr>
                <w:b/>
              </w:rPr>
              <w:t>NEPSE Floorsheet Reconciliation Agent</w:t>
            </w:r>
          </w:p>
        </w:tc>
        <w:tc>
          <w:tcPr>
            <w:tcW w:type="dxa" w:w="1728"/>
          </w:tcPr>
          <w:p>
            <w:r/>
            <w:r>
              <w:t>Daily reconciliation of broker trades against NEPSE-published floorsheet</w:t>
            </w:r>
          </w:p>
        </w:tc>
        <w:tc>
          <w:tcPr>
            <w:tcW w:type="dxa" w:w="1728"/>
          </w:tcPr>
          <w:p>
            <w:r/>
            <w:r>
              <w:t>NEPSE floorsheet (daily publication), broker order book, execution records</w:t>
            </w:r>
          </w:p>
        </w:tc>
        <w:tc>
          <w:tcPr>
            <w:tcW w:type="dxa" w:w="1728"/>
          </w:tcPr>
          <w:p>
            <w:r/>
            <w:r>
              <w:t>Auto-match trades, flag breaks, generate exception reports</w:t>
            </w:r>
          </w:p>
        </w:tc>
        <w:tc>
          <w:tcPr>
            <w:tcW w:type="dxa" w:w="1728"/>
          </w:tcPr>
          <w:p>
            <w:r/>
            <w:r>
              <w:t>High</w:t>
            </w:r>
          </w:p>
        </w:tc>
      </w:tr>
      <w:tr>
        <w:tc>
          <w:tcPr>
            <w:tcW w:type="dxa" w:w="1728"/>
          </w:tcPr>
          <w:p>
            <w:r/>
            <w:r>
              <w:rPr>
                <w:b/>
              </w:rPr>
              <w:t>Settlement Fail Prediction Agent</w:t>
            </w:r>
          </w:p>
        </w:tc>
        <w:tc>
          <w:tcPr>
            <w:tcW w:type="dxa" w:w="1728"/>
          </w:tcPr>
          <w:p>
            <w:r/>
            <w:r>
              <w:t>Predict and prevent T+2 settlement failures</w:t>
            </w:r>
          </w:p>
        </w:tc>
        <w:tc>
          <w:tcPr>
            <w:tcW w:type="dxa" w:w="1728"/>
          </w:tcPr>
          <w:p>
            <w:r/>
            <w:r>
              <w:t>EDIS status, fund availability signals, historical fail patterns, investor behavior</w:t>
            </w:r>
          </w:p>
        </w:tc>
        <w:tc>
          <w:tcPr>
            <w:tcW w:type="dxa" w:w="1728"/>
          </w:tcPr>
          <w:p>
            <w:r/>
            <w:r>
              <w:t>Pre-settlement alerts, EDIS reminder to investors, liquidity warnings to brokers</w:t>
            </w:r>
          </w:p>
        </w:tc>
        <w:tc>
          <w:tcPr>
            <w:tcW w:type="dxa" w:w="1728"/>
          </w:tcPr>
          <w:p>
            <w:r/>
            <w:r>
              <w:t>High (auto-alert, medium for preemptive actions)</w:t>
            </w:r>
          </w:p>
        </w:tc>
      </w:tr>
      <w:tr>
        <w:tc>
          <w:tcPr>
            <w:tcW w:type="dxa" w:w="1728"/>
          </w:tcPr>
          <w:p>
            <w:r/>
            <w:r>
              <w:rPr>
                <w:b/>
              </w:rPr>
              <w:t>AML/CFT Monitoring Agent</w:t>
            </w:r>
          </w:p>
        </w:tc>
        <w:tc>
          <w:tcPr>
            <w:tcW w:type="dxa" w:w="1728"/>
          </w:tcPr>
          <w:p>
            <w:r/>
            <w:r>
              <w:t>Monitor transactions against FATF/Nepal sanctions lists</w:t>
            </w:r>
          </w:p>
        </w:tc>
        <w:tc>
          <w:tcPr>
            <w:tcW w:type="dxa" w:w="1728"/>
          </w:tcPr>
          <w:p>
            <w:r/>
            <w:r>
              <w:t>Trade data, transfer data, UN consolidated list, Nepal government sanction list, investor KYC data</w:t>
            </w:r>
          </w:p>
        </w:tc>
        <w:tc>
          <w:tcPr>
            <w:tcW w:type="dxa" w:w="1728"/>
          </w:tcPr>
          <w:p>
            <w:r/>
            <w:r>
              <w:t>Real-time screening, suspicious transaction reporting (STR) generation, risk score updates</w:t>
            </w:r>
          </w:p>
        </w:tc>
        <w:tc>
          <w:tcPr>
            <w:tcW w:type="dxa" w:w="1728"/>
          </w:tcPr>
          <w:p>
            <w:r/>
            <w:r>
              <w:t>Medium (generate alerts and draft STRs, human approves filing)</w:t>
            </w:r>
          </w:p>
        </w:tc>
      </w:tr>
      <w:tr>
        <w:tc>
          <w:tcPr>
            <w:tcW w:type="dxa" w:w="1728"/>
          </w:tcPr>
          <w:p>
            <w:r/>
            <w:r>
              <w:rPr>
                <w:b/>
              </w:rPr>
              <w:t>Regulatory Change Agent</w:t>
            </w:r>
          </w:p>
        </w:tc>
        <w:tc>
          <w:tcPr>
            <w:tcW w:type="dxa" w:w="1728"/>
          </w:tcPr>
          <w:p>
            <w:r/>
            <w:r>
              <w:t>Monitor SEBON/NRB/Beema Samiti circulars for rule changes</w:t>
            </w:r>
          </w:p>
        </w:tc>
        <w:tc>
          <w:tcPr>
            <w:tcW w:type="dxa" w:w="1728"/>
          </w:tcPr>
          <w:p>
            <w:r/>
            <w:r>
              <w:t>SEBON website, NRB publications, Nepal Gazette, regulatory email feeds (NLP)</w:t>
            </w:r>
          </w:p>
        </w:tc>
        <w:tc>
          <w:tcPr>
            <w:tcW w:type="dxa" w:w="1728"/>
          </w:tcPr>
          <w:p>
            <w:r/>
            <w:r>
              <w:t>Impact assessment, configuration change proposals, compliance gap alerts</w:t>
            </w:r>
          </w:p>
        </w:tc>
        <w:tc>
          <w:tcPr>
            <w:tcW w:type="dxa" w:w="1728"/>
          </w:tcPr>
          <w:p>
            <w:r/>
            <w:r>
              <w:t>Low (advisory, human approves all changes)</w:t>
            </w:r>
          </w:p>
        </w:tc>
      </w:tr>
    </w:tbl>
    <w:p>
      <w:pPr>
        <w:pStyle w:val="Heading4"/>
      </w:pPr>
      <w:r>
        <w:t>**4.3. Integration Architecture for Nepal**</w:t>
      </w:r>
    </w:p>
    <w:p>
      <w:pPr>
        <w:jc w:val="center"/>
      </w:pPr>
      <w:r>
        <w:drawing>
          <wp:inline xmlns:a="http://schemas.openxmlformats.org/drawingml/2006/main" xmlns:pic="http://schemas.openxmlformats.org/drawingml/2006/picture">
            <wp:extent cx="5943600" cy="182925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1829255"/>
                    </a:xfrm>
                    <a:prstGeom prst="rect"/>
                  </pic:spPr>
                </pic:pic>
              </a:graphicData>
            </a:graphic>
          </wp:inline>
        </w:drawing>
      </w:r>
    </w:p>
    <w:p>
      <w:pPr>
        <w:jc w:val="center"/>
      </w:pPr>
      <w:r>
        <w:rPr>
          <w:i/>
          <w:sz w:val="18"/>
        </w:rPr>
        <w:t>Diagram: flowchart TB</w:t>
      </w:r>
    </w:p>
    <w:p>
      <w:pPr>
        <w:ind w:left="432"/>
      </w:pPr>
      <w:r>
        <w:rPr>
          <w:i/>
        </w:rPr>
        <w:t>**Design note:** All integration adapters shown above (NEPSE, CDSC, Meroshare, ASBA, SEBON, NRB) are implemented as pluggable connectors conforming to a stable internal contract. Replacing NEPSE with NSE (India), DSE (Bangladesh), or CSE (Sri Lanka) should require only adapter substitution and regulator-rule-pack changes — not core-ledger redesign.</w:t>
      </w:r>
    </w:p>
    <w:p>
      <w:pPr>
        <w:pStyle w:val="Heading4"/>
      </w:pPr>
      <w:r>
        <w:t>**4.4. Multi-Tenancy &amp; Tenant Isolation**</w:t>
      </w:r>
    </w:p>
    <w:p>
      <w:r>
        <w:t xml:space="preserve">With 90 brokers, 122 DPs, 32 merchant bankers, the current SEBON category of 17 "Fund Manager and Depository" entities, and adjacent future operator types (including specialized investment fund managers) potentially sharing a single platform deployment, multi-tenancy is a </w:t>
      </w:r>
      <w:r>
        <w:rPr>
          <w:b/>
        </w:rPr>
        <w:t>core architectural concern</w:t>
      </w:r>
      <w:r>
        <w:t>, not an afterthought.</w:t>
      </w:r>
    </w:p>
    <w:p>
      <w:r>
        <w:rPr>
          <w:b/>
        </w:rPr>
        <w:t>Isolation model:</w:t>
      </w:r>
      <w:r>
        <w:t xml:space="preserve"> Schema-per-tenant for regulated data (positions, ledgers, client PII), shared services for reference data (instrument master, calendar, tax rules) and platform infrastructure (AI services, event bus, observability).</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Isolation dimension</w:t>
            </w:r>
          </w:p>
        </w:tc>
        <w:tc>
          <w:tcPr>
            <w:tcW w:type="dxa" w:w="2880"/>
            <w:shd w:fill="D9EAF7"/>
          </w:tcPr>
          <w:p>
            <w:r>
              <w:rPr>
                <w:b/>
              </w:rPr>
            </w:r>
            <w:r>
              <w:rPr>
                <w:b/>
              </w:rPr>
              <w:t>Approach</w:t>
            </w:r>
          </w:p>
        </w:tc>
        <w:tc>
          <w:tcPr>
            <w:tcW w:type="dxa" w:w="2880"/>
            <w:shd w:fill="D9EAF7"/>
          </w:tcPr>
          <w:p>
            <w:r>
              <w:rPr>
                <w:b/>
              </w:rPr>
            </w:r>
            <w:r>
              <w:rPr>
                <w:b/>
              </w:rPr>
              <w:t>Rationale</w:t>
            </w:r>
          </w:p>
        </w:tc>
      </w:tr>
      <w:tr>
        <w:tc>
          <w:tcPr>
            <w:tcW w:type="dxa" w:w="2880"/>
          </w:tcPr>
          <w:p>
            <w:r/>
            <w:r>
              <w:rPr>
                <w:b/>
              </w:rPr>
              <w:t>Data isolation</w:t>
            </w:r>
          </w:p>
        </w:tc>
        <w:tc>
          <w:tcPr>
            <w:tcW w:type="dxa" w:w="2880"/>
          </w:tcPr>
          <w:p>
            <w:r/>
            <w:r>
              <w:t>Schema-per-tenant (PostgreSQL schemas) with row-level security as defense-in-depth</w:t>
            </w:r>
          </w:p>
        </w:tc>
        <w:tc>
          <w:tcPr>
            <w:tcW w:type="dxa" w:w="2880"/>
          </w:tcPr>
          <w:p>
            <w:r/>
            <w:r>
              <w:t>SEBON requires per-broker data segregation; NRB mandates client data confidentiality. Schema isolation prevents cross-tenant data leakage even in case of application bugs.</w:t>
            </w:r>
          </w:p>
        </w:tc>
      </w:tr>
      <w:tr>
        <w:tc>
          <w:tcPr>
            <w:tcW w:type="dxa" w:w="2880"/>
          </w:tcPr>
          <w:p>
            <w:r/>
            <w:r>
              <w:rPr>
                <w:b/>
              </w:rPr>
              <w:t>Compute isolation</w:t>
            </w:r>
          </w:p>
        </w:tc>
        <w:tc>
          <w:tcPr>
            <w:tcW w:type="dxa" w:w="2880"/>
          </w:tcPr>
          <w:p>
            <w:r/>
            <w:r>
              <w:t>Kubernetes namespaces per tenant tier; dedicated pods for large brokers; shared pods for small brokers within resource quotas</w:t>
            </w:r>
          </w:p>
        </w:tc>
        <w:tc>
          <w:tcPr>
            <w:tcW w:type="dxa" w:w="2880"/>
          </w:tcPr>
          <w:p>
            <w:r/>
            <w:r>
              <w:t>Ensures one broker's peak trading load doesn't starve others</w:t>
            </w:r>
          </w:p>
        </w:tc>
      </w:tr>
      <w:tr>
        <w:tc>
          <w:tcPr>
            <w:tcW w:type="dxa" w:w="2880"/>
          </w:tcPr>
          <w:p>
            <w:r/>
            <w:r>
              <w:rPr>
                <w:b/>
              </w:rPr>
              <w:t>Network isolation</w:t>
            </w:r>
          </w:p>
        </w:tc>
        <w:tc>
          <w:tcPr>
            <w:tcW w:type="dxa" w:w="2880"/>
          </w:tcPr>
          <w:p>
            <w:r/>
            <w:r>
              <w:t>Service mesh (Istio) network policies; per-tenant egress rules for external integrations (each broker has own CDSC/bank credentials)</w:t>
            </w:r>
          </w:p>
        </w:tc>
        <w:tc>
          <w:tcPr>
            <w:tcW w:type="dxa" w:w="2880"/>
          </w:tcPr>
          <w:p>
            <w:r/>
            <w:r>
              <w:t>Zero-trust between tenants</w:t>
            </w:r>
          </w:p>
        </w:tc>
      </w:tr>
      <w:tr>
        <w:tc>
          <w:tcPr>
            <w:tcW w:type="dxa" w:w="2880"/>
          </w:tcPr>
          <w:p>
            <w:r/>
            <w:r>
              <w:rPr>
                <w:b/>
              </w:rPr>
              <w:t>Event isolation</w:t>
            </w:r>
          </w:p>
        </w:tc>
        <w:tc>
          <w:tcPr>
            <w:tcW w:type="dxa" w:w="2880"/>
          </w:tcPr>
          <w:p>
            <w:r/>
            <w:r>
              <w:t>Kafka topic-per-tenant for regulated events; shared topics for broadcast events (market data, reference data updates)</w:t>
            </w:r>
          </w:p>
        </w:tc>
        <w:tc>
          <w:tcPr>
            <w:tcW w:type="dxa" w:w="2880"/>
          </w:tcPr>
          <w:p>
            <w:r/>
            <w:r>
              <w:t>Event sourcing requires tenant-scoped event streams for replay/audit</w:t>
            </w:r>
          </w:p>
        </w:tc>
      </w:tr>
      <w:tr>
        <w:tc>
          <w:tcPr>
            <w:tcW w:type="dxa" w:w="2880"/>
          </w:tcPr>
          <w:p>
            <w:r/>
            <w:r>
              <w:rPr>
                <w:b/>
              </w:rPr>
              <w:t>AI isolation</w:t>
            </w:r>
          </w:p>
        </w:tc>
        <w:tc>
          <w:tcPr>
            <w:tcW w:type="dxa" w:w="2880"/>
          </w:tcPr>
          <w:p>
            <w:r/>
            <w:r>
              <w:t>Shared model serving; tenant-scoped RAG indices (vector DB partitioned by tenant); tenant-specific fine-tuned models where applicable</w:t>
            </w:r>
          </w:p>
        </w:tc>
        <w:tc>
          <w:tcPr>
            <w:tcW w:type="dxa" w:w="2880"/>
          </w:tcPr>
          <w:p>
            <w:r/>
            <w:r>
              <w:t>AI context must not leak across tenants</w:t>
            </w:r>
          </w:p>
        </w:tc>
      </w:tr>
      <w:tr>
        <w:tc>
          <w:tcPr>
            <w:tcW w:type="dxa" w:w="2880"/>
          </w:tcPr>
          <w:p>
            <w:r/>
            <w:r>
              <w:rPr>
                <w:b/>
              </w:rPr>
              <w:t>Configuration isolation</w:t>
            </w:r>
          </w:p>
        </w:tc>
        <w:tc>
          <w:tcPr>
            <w:tcW w:type="dxa" w:w="2880"/>
          </w:tcPr>
          <w:p>
            <w:r/>
            <w:r>
              <w:t>Per-tenant configuration store (operator pack selection, plugin enablement, AI agent autonomy levels, report templates, fee structures)</w:t>
            </w:r>
          </w:p>
        </w:tc>
        <w:tc>
          <w:tcPr>
            <w:tcW w:type="dxa" w:w="2880"/>
          </w:tcPr>
          <w:p>
            <w:r/>
            <w:r>
              <w:t>Each broker operates under different risk appetite and capability maturity</w:t>
            </w:r>
          </w:p>
        </w:tc>
      </w:tr>
    </w:tbl>
    <w:p>
      <w:r>
        <w:rPr>
          <w:b/>
        </w:rPr>
        <w:t>Tenant lifecycle management:</w:t>
      </w:r>
    </w:p>
    <w:p>
      <w:pPr>
        <w:pStyle w:val="ListNumber"/>
      </w:pPr>
      <w:r>
        <w:rPr>
          <w:b/>
        </w:rPr>
        <w:t>Provisioning</w:t>
      </w:r>
      <w:r>
        <w:t>: automated tenant creation (schema, namespace, Kafka topics, config, credentials) via self-service admin portal or API.</w:t>
      </w:r>
    </w:p>
    <w:p>
      <w:pPr>
        <w:pStyle w:val="ListNumber"/>
      </w:pPr>
      <w:r>
        <w:rPr>
          <w:b/>
        </w:rPr>
        <w:t>Scaling</w:t>
      </w:r>
      <w:r>
        <w:t>: auto-scaling per tenant based on trading volume; burst capacity during IPO seasons.</w:t>
      </w:r>
    </w:p>
    <w:p>
      <w:pPr>
        <w:pStyle w:val="ListNumber"/>
      </w:pPr>
      <w:r>
        <w:rPr>
          <w:b/>
        </w:rPr>
        <w:t>Offboarding</w:t>
      </w:r>
      <w:r>
        <w:t>: data export, retention per clause-backed trade-record rules where they apply and the platform retention baseline elsewhere (</w:t>
      </w:r>
      <w:r>
        <w:rPr>
          <w:rFonts w:ascii="Courier New" w:hAnsi="Courier New"/>
          <w:sz w:val="20"/>
        </w:rPr>
        <w:t>Ref: LCA-012</w:t>
      </w:r>
      <w:r>
        <w:t xml:space="preserve">, </w:t>
      </w:r>
      <w:r>
        <w:rPr>
          <w:rFonts w:ascii="Courier New" w:hAnsi="Courier New"/>
          <w:sz w:val="20"/>
        </w:rPr>
        <w:t>Ref: LCA-013</w:t>
      </w:r>
      <w:r>
        <w:t>), schema archival, credential revocation.</w:t>
      </w:r>
    </w:p>
    <w:p>
      <w:r>
        <w:rPr>
          <w:b/>
        </w:rPr>
        <w:t>Cross-jurisdiction isolation:</w:t>
      </w:r>
      <w:r>
        <w:t xml:space="preserve"> In future multi-country deployments, jurisdiction will be treated as a first-class isolation boundary (similar to tenant). Regulatory rule packs, reporting templates, tax engines, and compliance thresholds must be namespace-scoped by jurisdiction to prevent accidental cross-application of rules between markets.</w:t>
      </w:r>
    </w:p>
    <w:p>
      <w:pPr>
        <w:pStyle w:val="Heading4"/>
      </w:pPr>
      <w:r>
        <w:t>**4.5. API-First Architecture &amp; Developer Experience**</w:t>
      </w:r>
    </w:p>
    <w:p>
      <w:r>
        <w:t xml:space="preserve">For a truly pluggable architecture, the platform must be </w:t>
      </w:r>
      <w:r>
        <w:rPr>
          <w:b/>
        </w:rPr>
        <w:t>API-first</w:t>
      </w:r>
      <w:r>
        <w:t>: every capability is exposed as a versioned, documented API before any UI is built.</w:t>
      </w:r>
    </w:p>
    <w:p>
      <w:r>
        <w:rPr>
          <w:b/>
        </w:rPr>
        <w:t>API Gateway:</w:t>
      </w:r>
    </w:p>
    <w:p>
      <w:pPr>
        <w:pStyle w:val="ListBullet"/>
      </w:pPr>
      <w:r>
        <w:rPr>
          <w:b/>
        </w:rPr>
        <w:t>Technology</w:t>
      </w:r>
      <w:r>
        <w:t>: Kong or Envoy-based API gateway with service mesh integration.</w:t>
      </w:r>
    </w:p>
    <w:p>
      <w:pPr>
        <w:pStyle w:val="ListBullet"/>
      </w:pPr>
      <w:r>
        <w:rPr>
          <w:b/>
        </w:rPr>
        <w:t>Rate limiting</w:t>
      </w:r>
      <w:r>
        <w:t>: per-tenant, per-API rate limits (tunable per broker tier). Default: 100 req/sec for standard, 500 req/sec for premium.</w:t>
      </w:r>
    </w:p>
    <w:p>
      <w:pPr>
        <w:pStyle w:val="ListBullet"/>
      </w:pPr>
      <w:r>
        <w:rPr>
          <w:b/>
        </w:rPr>
        <w:t>Authentication</w:t>
      </w:r>
      <w:r>
        <w:t>: OAuth2 + mTLS for service-to-service; JWT + TOTP/FIDO2 for user-facing APIs.</w:t>
      </w:r>
    </w:p>
    <w:p>
      <w:pPr>
        <w:pStyle w:val="ListBullet"/>
      </w:pPr>
      <w:r>
        <w:rPr>
          <w:b/>
        </w:rPr>
        <w:t>API versioning</w:t>
      </w:r>
      <w:r>
        <w:t>: URL path versioning (</w:t>
      </w:r>
      <w:r>
        <w:rPr>
          <w:rFonts w:ascii="Courier New" w:hAnsi="Courier New"/>
          <w:sz w:val="20"/>
        </w:rPr>
        <w:t>/v1/</w:t>
      </w:r>
      <w:r>
        <w:t xml:space="preserve">, </w:t>
      </w:r>
      <w:r>
        <w:rPr>
          <w:rFonts w:ascii="Courier New" w:hAnsi="Courier New"/>
          <w:sz w:val="20"/>
        </w:rPr>
        <w:t>/v2/</w:t>
      </w:r>
      <w:r>
        <w:t>); N-1 backward compatibility for 12 months.</w:t>
      </w:r>
    </w:p>
    <w:p>
      <w:pPr>
        <w:pStyle w:val="ListBullet"/>
      </w:pPr>
      <w:r>
        <w:rPr>
          <w:b/>
        </w:rPr>
        <w:t>Throttling &amp; backpressure</w:t>
      </w:r>
      <w:r>
        <w:t>: during peak trading hours (11:00–15:00), priority-based request queuing; pre-trade checks get highest priority.</w:t>
      </w:r>
    </w:p>
    <w:p>
      <w:r>
        <w:rPr>
          <w:b/>
        </w:rPr>
        <w:t>Developer Portal (for plugin developers &amp; integrators):</w:t>
      </w:r>
    </w:p>
    <w:p>
      <w:pPr>
        <w:pStyle w:val="ListBullet"/>
      </w:pPr>
      <w:r>
        <w:t>OpenAPI 3.1 documentation for all public APIs (auto-generated, always up-to-date).</w:t>
      </w:r>
    </w:p>
    <w:p>
      <w:pPr>
        <w:pStyle w:val="ListBullet"/>
      </w:pPr>
      <w:r>
        <w:t>Sandbox environment with synthetic Nepal market data (10 years of synthetic NEPSE history, BS calendar, sample issuers across all 11 sectors).</w:t>
      </w:r>
    </w:p>
    <w:p>
      <w:pPr>
        <w:pStyle w:val="ListBullet"/>
      </w:pPr>
      <w:r>
        <w:t>SDK generation (TypeScript, Python, Java) from OpenAPI specs.</w:t>
      </w:r>
    </w:p>
    <w:p>
      <w:pPr>
        <w:pStyle w:val="ListBullet"/>
      </w:pPr>
      <w:r>
        <w:t>Webhook management: register HTTP endpoints for event callbacks; configurable retry policies; delivery status tracking.</w:t>
      </w:r>
    </w:p>
    <w:p>
      <w:pPr>
        <w:pStyle w:val="ListBullet"/>
      </w:pPr>
      <w:r>
        <w:t>API analytics dashboard: usage metrics, error rates, latency percentiles per API per tenant.</w:t>
      </w:r>
    </w:p>
    <w:p>
      <w:r>
        <w:rPr>
          <w:b/>
        </w:rPr>
        <w:t>Webhook specification:</w:t>
      </w:r>
    </w:p>
    <w:p>
      <w:pPr>
        <w:pStyle w:val="ListBullet"/>
      </w:pPr>
      <w:r>
        <w:t>Every domain event in the event catalog (§3, Specification) can be subscribed to via webhooks.</w:t>
      </w:r>
    </w:p>
    <w:p>
      <w:pPr>
        <w:pStyle w:val="ListBullet"/>
      </w:pPr>
      <w:r>
        <w:t>Delivery: at-least-once; HMAC-SHA256 signed payloads; configurable retry (3 retries, exponential backoff).</w:t>
      </w:r>
    </w:p>
    <w:p>
      <w:pPr>
        <w:pStyle w:val="ListBullet"/>
      </w:pPr>
      <w:r>
        <w:t>Filtering: subscribe to specific event types, specific instruments, specific clients, or all events in a domain.</w:t>
      </w:r>
    </w:p>
    <w:p>
      <w:pPr>
        <w:pStyle w:val="ListBullet"/>
      </w:pPr>
      <w:r>
        <w:t>Use cases: broker building custom dashboards; third-party analytics consuming trade events; regulatory monitoring.</w:t>
      </w:r>
    </w:p>
    <w:p>
      <w:pPr>
        <w:pStyle w:val="Heading4"/>
      </w:pPr>
      <w:r>
        <w:t>**4.6. Notification &amp; Communication Engine**</w:t>
      </w:r>
    </w:p>
    <w:p>
      <w:r>
        <w:t>Every platform action that requires stakeholder awareness must be routed through a centralized notification engine — not ad-hoc per module.</w:t>
      </w:r>
    </w:p>
    <w:p>
      <w:r>
        <w:rPr>
          <w:b/>
        </w:rPr>
        <w:t>Notification channels: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Channel</w:t>
            </w:r>
          </w:p>
        </w:tc>
        <w:tc>
          <w:tcPr>
            <w:tcW w:type="dxa" w:w="2880"/>
            <w:shd w:fill="D9EAF7"/>
          </w:tcPr>
          <w:p>
            <w:r>
              <w:rPr>
                <w:b/>
              </w:rPr>
            </w:r>
            <w:r>
              <w:rPr>
                <w:b/>
              </w:rPr>
              <w:t>Use cases</w:t>
            </w:r>
          </w:p>
        </w:tc>
        <w:tc>
          <w:tcPr>
            <w:tcW w:type="dxa" w:w="2880"/>
            <w:shd w:fill="D9EAF7"/>
          </w:tcPr>
          <w:p>
            <w:r>
              <w:rPr>
                <w:b/>
              </w:rPr>
            </w:r>
            <w:r>
              <w:rPr>
                <w:b/>
              </w:rPr>
              <w:t>Nepal considerations</w:t>
            </w:r>
          </w:p>
        </w:tc>
      </w:tr>
      <w:tr>
        <w:tc>
          <w:tcPr>
            <w:tcW w:type="dxa" w:w="2880"/>
          </w:tcPr>
          <w:p>
            <w:r/>
            <w:r>
              <w:rPr>
                <w:b/>
              </w:rPr>
              <w:t>SMS</w:t>
            </w:r>
          </w:p>
        </w:tc>
        <w:tc>
          <w:tcPr>
            <w:tcW w:type="dxa" w:w="2880"/>
          </w:tcPr>
          <w:p>
            <w:r/>
            <w:r>
              <w:t>Margin calls, settlement alerts, OTP, EDIS reminders</w:t>
            </w:r>
          </w:p>
        </w:tc>
        <w:tc>
          <w:tcPr>
            <w:tcW w:type="dxa" w:w="2880"/>
          </w:tcPr>
          <w:p>
            <w:r/>
            <w:r>
              <w:t>Nepal Telecom / Ncell SMS gateway integration; Nepali language SMS support</w:t>
            </w:r>
          </w:p>
        </w:tc>
      </w:tr>
      <w:tr>
        <w:tc>
          <w:tcPr>
            <w:tcW w:type="dxa" w:w="2880"/>
          </w:tcPr>
          <w:p>
            <w:r/>
            <w:r>
              <w:rPr>
                <w:b/>
              </w:rPr>
              <w:t>Email</w:t>
            </w:r>
          </w:p>
        </w:tc>
        <w:tc>
          <w:tcPr>
            <w:tcW w:type="dxa" w:w="2880"/>
          </w:tcPr>
          <w:p>
            <w:r/>
            <w:r>
              <w:t>Contract notes, holding statements, regulatory reports, KYC status</w:t>
            </w:r>
          </w:p>
        </w:tc>
        <w:tc>
          <w:tcPr>
            <w:tcW w:type="dxa" w:w="2880"/>
          </w:tcPr>
          <w:p>
            <w:r/>
            <w:r>
              <w:t>Required by SEBON for contract note delivery</w:t>
            </w:r>
          </w:p>
        </w:tc>
      </w:tr>
      <w:tr>
        <w:tc>
          <w:tcPr>
            <w:tcW w:type="dxa" w:w="2880"/>
          </w:tcPr>
          <w:p>
            <w:r/>
            <w:r>
              <w:rPr>
                <w:b/>
              </w:rPr>
              <w:t>Push notification</w:t>
            </w:r>
          </w:p>
        </w:tc>
        <w:tc>
          <w:tcPr>
            <w:tcW w:type="dxa" w:w="2880"/>
          </w:tcPr>
          <w:p>
            <w:r/>
            <w:r>
              <w:t>Trade execution, IPO allotment result, corporate action alerts</w:t>
            </w:r>
          </w:p>
        </w:tc>
        <w:tc>
          <w:tcPr>
            <w:tcW w:type="dxa" w:w="2880"/>
          </w:tcPr>
          <w:p>
            <w:r/>
            <w:r>
              <w:t>Mobile app integration (React Native)</w:t>
            </w:r>
          </w:p>
        </w:tc>
      </w:tr>
      <w:tr>
        <w:tc>
          <w:tcPr>
            <w:tcW w:type="dxa" w:w="2880"/>
          </w:tcPr>
          <w:p>
            <w:r/>
            <w:r>
              <w:rPr>
                <w:b/>
              </w:rPr>
              <w:t>In-app inbox</w:t>
            </w:r>
          </w:p>
        </w:tc>
        <w:tc>
          <w:tcPr>
            <w:tcW w:type="dxa" w:w="2880"/>
          </w:tcPr>
          <w:p>
            <w:r/>
            <w:r>
              <w:t>All notifications persisted; read/unread tracking; priority classification</w:t>
            </w:r>
          </w:p>
        </w:tc>
        <w:tc>
          <w:tcPr>
            <w:tcW w:type="dxa" w:w="2880"/>
          </w:tcPr>
          <w:p>
            <w:r/>
            <w:r>
              <w:t>Persistent record for audit</w:t>
            </w:r>
          </w:p>
        </w:tc>
      </w:tr>
      <w:tr>
        <w:tc>
          <w:tcPr>
            <w:tcW w:type="dxa" w:w="2880"/>
          </w:tcPr>
          <w:p>
            <w:r/>
            <w:r>
              <w:rPr>
                <w:b/>
              </w:rPr>
              <w:t>Meroshare notification</w:t>
            </w:r>
          </w:p>
        </w:tc>
        <w:tc>
          <w:tcPr>
            <w:tcW w:type="dxa" w:w="2880"/>
          </w:tcPr>
          <w:p>
            <w:r/>
            <w:r>
              <w:t>IPO status, EDIS status, demat credit</w:t>
            </w:r>
          </w:p>
        </w:tc>
        <w:tc>
          <w:tcPr>
            <w:tcW w:type="dxa" w:w="2880"/>
          </w:tcPr>
          <w:p>
            <w:r/>
            <w:r>
              <w:t>Via CDSC/Meroshare integration (where API permits)</w:t>
            </w:r>
          </w:p>
        </w:tc>
      </w:tr>
      <w:tr>
        <w:tc>
          <w:tcPr>
            <w:tcW w:type="dxa" w:w="2880"/>
          </w:tcPr>
          <w:p>
            <w:r/>
            <w:r>
              <w:rPr>
                <w:b/>
              </w:rPr>
              <w:t>Regulator alert</w:t>
            </w:r>
          </w:p>
        </w:tc>
        <w:tc>
          <w:tcPr>
            <w:tcW w:type="dxa" w:w="2880"/>
          </w:tcPr>
          <w:p>
            <w:r/>
            <w:r>
              <w:t>Threshold breaches, suspicious transactions, system incidents</w:t>
            </w:r>
          </w:p>
        </w:tc>
        <w:tc>
          <w:tcPr>
            <w:tcW w:type="dxa" w:w="2880"/>
          </w:tcPr>
          <w:p>
            <w:r/>
            <w:r>
              <w:t>Dedicated secure channel to SEBON/NRB</w:t>
            </w:r>
          </w:p>
        </w:tc>
      </w:tr>
    </w:tbl>
    <w:p>
      <w:r>
        <w:rPr>
          <w:b/>
        </w:rPr>
        <w:t>Notification templates:</w:t>
      </w:r>
      <w:r>
        <w:t xml:space="preserve"> All templates support dual-language (Nepali/English), BS date formatting, and NPR currency formatting (lakhs/crores notation).</w:t>
      </w:r>
    </w:p>
    <w:p>
      <w:r>
        <w:rPr>
          <w:b/>
        </w:rPr>
        <w:t>Notification SLAs:</w:t>
      </w:r>
    </w:p>
    <w:p>
      <w:pPr>
        <w:pStyle w:val="ListBullet"/>
      </w:pPr>
      <w:r>
        <w:t>Trade execution alert: &lt;30 seconds after trade confirmation.</w:t>
      </w:r>
    </w:p>
    <w:p>
      <w:pPr>
        <w:pStyle w:val="ListBullet"/>
      </w:pPr>
      <w:r>
        <w:t>Margin call: &lt;5 minutes after threshold breach.</w:t>
      </w:r>
    </w:p>
    <w:p>
      <w:pPr>
        <w:pStyle w:val="ListBullet"/>
      </w:pPr>
      <w:r>
        <w:t>Contract note: by the day following the transaction (</w:t>
      </w:r>
      <w:r>
        <w:rPr>
          <w:rFonts w:ascii="Courier New" w:hAnsi="Courier New"/>
          <w:sz w:val="20"/>
        </w:rPr>
        <w:t>Ref: LCA-021</w:t>
      </w:r>
      <w:r>
        <w:t>).</w:t>
      </w:r>
    </w:p>
    <w:p>
      <w:pPr>
        <w:pStyle w:val="ListBullet"/>
      </w:pPr>
      <w:r>
        <w:t>Settlement failure alert: immediately on detection.</w:t>
      </w:r>
    </w:p>
    <w:p>
      <w:pPr>
        <w:pStyle w:val="ListBullet"/>
      </w:pPr>
      <w:r>
        <w:t>EDIS reminder: T+1 morning if sell trade EDIS is pending.</w:t>
      </w:r>
    </w:p>
    <w:p>
      <w:pPr>
        <w:pStyle w:val="ListBullet"/>
      </w:pPr>
      <w:r>
        <w:t>IPO allotment result: within 1 hour of allotment completion.</w:t>
      </w:r>
    </w:p>
    <w:p>
      <w:pPr>
        <w:pStyle w:val="Heading4"/>
      </w:pPr>
      <w:r>
        <w:t>**4.7. Data Governance &amp; Quality Framework**</w:t>
      </w:r>
    </w:p>
    <w:p>
      <w:r>
        <w:t xml:space="preserve">For an AI-native platform, data quality is </w:t>
      </w:r>
      <w:r>
        <w:rPr>
          <w:b/>
        </w:rPr>
        <w:t>foundational</w:t>
      </w:r>
      <w:r>
        <w:t>. Poor data quality kills AI model accuracy, reconciliation accuracy, and regulatory trust.</w:t>
      </w:r>
    </w:p>
    <w:p>
      <w:r>
        <w:rPr>
          <w:b/>
        </w:rPr>
        <w:t>Data governance pillars:</w:t>
      </w:r>
    </w:p>
    <w:p>
      <w:pPr>
        <w:pStyle w:val="ListNumber"/>
      </w:pPr>
      <w:r>
        <w:rPr>
          <w:b/>
        </w:rPr>
        <w:t>Data Catalog</w:t>
      </w:r>
      <w:r>
        <w:t>: automated discovery and cataloging of all data assets (every table, event topic, API response) with business metadata, ownership, and classification (Restricted/Confidential/Internal/Public per NRB Cyber Resilience Guidelines).</w:t>
      </w:r>
    </w:p>
    <w:p>
      <w:pPr>
        <w:pStyle w:val="ListNumber"/>
      </w:pPr>
      <w:r>
        <w:rPr>
          <w:b/>
        </w:rPr>
        <w:t>Data Lineage</w:t>
      </w:r>
      <w:r>
        <w:t>: end-to-end lineage from source (NEPSE floorsheet, CDSC position, connectIPS payment) through transformation to consumption (reports, AI models, dashboards). Essential for regulatory explainability — "Where did this number come from?"</w:t>
      </w:r>
    </w:p>
    <w:p>
      <w:pPr>
        <w:pStyle w:val="ListNumber"/>
      </w:pPr>
      <w:r>
        <w:rPr>
          <w:b/>
        </w:rPr>
        <w:t>Data Quality Rules</w:t>
      </w:r>
      <w:r>
        <w:t>: automated quality gates at every integration point:</w:t>
      </w:r>
    </w:p>
    <w:p>
      <w:pPr>
        <w:pStyle w:val="ListBullet"/>
      </w:pPr>
      <w:r>
        <w:rPr>
          <w:b/>
        </w:rPr>
        <w:t>Completeness</w:t>
      </w:r>
      <w:r>
        <w:t>: mandatory fields populated (e.g., National ID on every KYC record).</w:t>
      </w:r>
    </w:p>
    <w:p>
      <w:pPr>
        <w:pStyle w:val="ListBullet"/>
      </w:pPr>
      <w:r>
        <w:rPr>
          <w:b/>
        </w:rPr>
        <w:t>Validity</w:t>
      </w:r>
      <w:r>
        <w:t>: values within expected ranges (e.g., trade price within circuit breaker bounds).</w:t>
      </w:r>
    </w:p>
    <w:p>
      <w:pPr>
        <w:pStyle w:val="ListBullet"/>
      </w:pPr>
      <w:r>
        <w:rPr>
          <w:b/>
        </w:rPr>
        <w:t>Consistency</w:t>
      </w:r>
      <w:r>
        <w:t>: cross-system agreement (e.g., CDSC position = broker ledger position after recon).</w:t>
      </w:r>
    </w:p>
    <w:p>
      <w:pPr>
        <w:pStyle w:val="ListBullet"/>
      </w:pPr>
      <w:r>
        <w:rPr>
          <w:b/>
        </w:rPr>
        <w:t>Timeliness</w:t>
      </w:r>
      <w:r>
        <w:t>: data freshness SLAs (e.g., NEPSE floorsheet ingested within 30 minutes of publication).</w:t>
      </w:r>
    </w:p>
    <w:p>
      <w:pPr>
        <w:pStyle w:val="ListBullet"/>
      </w:pPr>
      <w:r>
        <w:rPr>
          <w:b/>
        </w:rPr>
        <w:t>Uniqueness</w:t>
      </w:r>
      <w:r>
        <w:t>: no duplicate records (e.g., single KYC per National ID).</w:t>
      </w:r>
    </w:p>
    <w:p>
      <w:pPr>
        <w:pStyle w:val="ListNumber"/>
      </w:pPr>
      <w:r>
        <w:rPr>
          <w:b/>
        </w:rPr>
        <w:t>Data Stewardship</w:t>
      </w:r>
      <w:r>
        <w:t>: assigned data owners per domain (trading data → OMS team; client data → KYC team; financial data → ledger team). Stewards responsible for quality metrics and issue resolution.</w:t>
      </w:r>
    </w:p>
    <w:p>
      <w:pPr>
        <w:pStyle w:val="ListNumber"/>
      </w:pPr>
      <w:r>
        <w:rPr>
          <w:b/>
        </w:rPr>
        <w:t>AI Training Data Governance</w:t>
      </w:r>
      <w:r>
        <w:t>: PII sanitization pipeline for model training; data versioning for reproducibility; bias detection in training datasets.</w:t>
      </w:r>
    </w:p>
    <w:p>
      <w:pPr>
        <w:pStyle w:val="Heading4"/>
      </w:pPr>
      <w:r>
        <w:t>**4.8. Observability, SRE &amp; Operational Excellence**</w:t>
      </w:r>
    </w:p>
    <w:p>
      <w:r>
        <w:rPr>
          <w:b/>
        </w:rPr>
        <w:t>Observability stack:</w:t>
      </w:r>
    </w:p>
    <w:p>
      <w:pPr>
        <w:pStyle w:val="ListBullet"/>
      </w:pPr>
      <w:r>
        <w:rPr>
          <w:b/>
        </w:rPr>
        <w:t>Metrics</w:t>
      </w:r>
      <w:r>
        <w:t>: Prometheus + Grafana; per-tenant dashboards; business KPIs (STP rate, recon auto-match rate, AI model accuracy) alongside system metrics.</w:t>
      </w:r>
    </w:p>
    <w:p>
      <w:pPr>
        <w:pStyle w:val="ListBullet"/>
      </w:pPr>
      <w:r>
        <w:rPr>
          <w:b/>
        </w:rPr>
        <w:t>Logs</w:t>
      </w:r>
      <w:r>
        <w:t>: OpenTelemetry → centralized log aggregation; structured JSON logging with correlation IDs, tenant IDs, and BS dates; NRB-aligned audit-log integrity (tamper-evident) with a conservative 5-year platform retention baseline (</w:t>
      </w:r>
      <w:r>
        <w:rPr>
          <w:rFonts w:ascii="Courier New" w:hAnsi="Courier New"/>
          <w:sz w:val="20"/>
        </w:rPr>
        <w:t>Ref: LCA-013</w:t>
      </w:r>
      <w:r>
        <w:t>).</w:t>
      </w:r>
    </w:p>
    <w:p>
      <w:pPr>
        <w:pStyle w:val="ListBullet"/>
      </w:pPr>
      <w:r>
        <w:rPr>
          <w:b/>
        </w:rPr>
        <w:t>Traces</w:t>
      </w:r>
      <w:r>
        <w:t>: distributed tracing across all services; critical path analysis for latency optimization.</w:t>
      </w:r>
    </w:p>
    <w:p>
      <w:pPr>
        <w:pStyle w:val="ListBullet"/>
      </w:pPr>
      <w:r>
        <w:rPr>
          <w:b/>
        </w:rPr>
        <w:t>Alerts</w:t>
      </w:r>
      <w:r>
        <w:t>: PagerDuty/Opsgenie integration; tiered alerting (P1: trading hours impact → immediate; P2: degraded capability → 30 min; P3: non-critical → next business day).</w:t>
      </w:r>
    </w:p>
    <w:p>
      <w:r>
        <w:rPr>
          <w:b/>
        </w:rPr>
        <w:t>SRE practices:</w:t>
      </w:r>
    </w:p>
    <w:p>
      <w:pPr>
        <w:pStyle w:val="ListBullet"/>
      </w:pPr>
      <w:r>
        <w:rPr>
          <w:b/>
        </w:rPr>
        <w:t>SLOs</w:t>
      </w:r>
      <w:r>
        <w:t>: per-capability SLOs (e.g., pre-trade check P99 &lt;50ms; reconciliation completion by EOD+3h). Error budgets tracked weekly.</w:t>
      </w:r>
    </w:p>
    <w:p>
      <w:pPr>
        <w:pStyle w:val="ListBullet"/>
      </w:pPr>
      <w:r>
        <w:rPr>
          <w:b/>
        </w:rPr>
        <w:t>Incident management</w:t>
      </w:r>
      <w:r>
        <w:t>: defined severity levels; automated runbooks for common incidents; post-incident reviews; timely SEBON/NRB/CERT notifications per applicable policy and approved incident playbooks.</w:t>
      </w:r>
    </w:p>
    <w:p>
      <w:pPr>
        <w:pStyle w:val="ListBullet"/>
      </w:pPr>
      <w:r>
        <w:rPr>
          <w:b/>
        </w:rPr>
        <w:t>Chaos engineering</w:t>
      </w:r>
      <w:r>
        <w:t>: scheduled failure injection during non-trading hours to validate resilience.</w:t>
      </w:r>
    </w:p>
    <w:p>
      <w:pPr>
        <w:pStyle w:val="ListBullet"/>
      </w:pPr>
      <w:r>
        <w:rPr>
          <w:b/>
        </w:rPr>
        <w:t>Deployment discipline</w:t>
      </w:r>
      <w:r>
        <w:t>: zero-downtime deployments; no production changes during NEPSE trading hours (10:30–15:00); canary deployments for AI model updates.</w:t>
      </w:r>
    </w:p>
    <w:p>
      <w:pPr>
        <w:pStyle w:val="Heading4"/>
      </w:pPr>
      <w:r>
        <w:t>**4.9. Batch Processing &amp; Scheduled Operations**</w:t>
      </w:r>
    </w:p>
    <w:p>
      <w:r>
        <w:t>Many critical operations are batch-oriented, not real-time. The platform must have a first-class batch processing framework.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Batch job</w:t>
            </w:r>
          </w:p>
        </w:tc>
        <w:tc>
          <w:tcPr>
            <w:tcW w:type="dxa" w:w="2160"/>
            <w:shd w:fill="D9EAF7"/>
          </w:tcPr>
          <w:p>
            <w:r>
              <w:rPr>
                <w:b/>
              </w:rPr>
            </w:r>
            <w:r>
              <w:rPr>
                <w:b/>
              </w:rPr>
              <w:t>Schedule</w:t>
            </w:r>
          </w:p>
        </w:tc>
        <w:tc>
          <w:tcPr>
            <w:tcW w:type="dxa" w:w="2160"/>
            <w:shd w:fill="D9EAF7"/>
          </w:tcPr>
          <w:p>
            <w:r>
              <w:rPr>
                <w:b/>
              </w:rPr>
            </w:r>
            <w:r>
              <w:rPr>
                <w:b/>
              </w:rPr>
              <w:t>Dependencies</w:t>
            </w:r>
          </w:p>
        </w:tc>
        <w:tc>
          <w:tcPr>
            <w:tcW w:type="dxa" w:w="2160"/>
            <w:shd w:fill="D9EAF7"/>
          </w:tcPr>
          <w:p>
            <w:r>
              <w:rPr>
                <w:b/>
              </w:rPr>
            </w:r>
            <w:r>
              <w:rPr>
                <w:b/>
              </w:rPr>
              <w:t>SLA</w:t>
            </w:r>
          </w:p>
        </w:tc>
      </w:tr>
      <w:tr>
        <w:tc>
          <w:tcPr>
            <w:tcW w:type="dxa" w:w="2160"/>
          </w:tcPr>
          <w:p>
            <w:r/>
            <w:r>
              <w:rPr>
                <w:b/>
              </w:rPr>
              <w:t>EOD floorsheet reconciliation</w:t>
            </w:r>
          </w:p>
        </w:tc>
        <w:tc>
          <w:tcPr>
            <w:tcW w:type="dxa" w:w="2160"/>
          </w:tcPr>
          <w:p>
            <w:r/>
            <w:r>
              <w:t>Daily, after NEPSE floorsheet publication (~15:30)</w:t>
            </w:r>
          </w:p>
        </w:tc>
        <w:tc>
          <w:tcPr>
            <w:tcW w:type="dxa" w:w="2160"/>
          </w:tcPr>
          <w:p>
            <w:r/>
            <w:r>
              <w:t>Floorsheet file ingestion</w:t>
            </w:r>
          </w:p>
        </w:tc>
        <w:tc>
          <w:tcPr>
            <w:tcW w:type="dxa" w:w="2160"/>
          </w:tcPr>
          <w:p>
            <w:r/>
            <w:r>
              <w:t>Completed by 16:30</w:t>
            </w:r>
          </w:p>
        </w:tc>
      </w:tr>
      <w:tr>
        <w:tc>
          <w:tcPr>
            <w:tcW w:type="dxa" w:w="2160"/>
          </w:tcPr>
          <w:p>
            <w:r/>
            <w:r>
              <w:rPr>
                <w:b/>
              </w:rPr>
              <w:t>EOD CDSC position reconciliation</w:t>
            </w:r>
          </w:p>
        </w:tc>
        <w:tc>
          <w:tcPr>
            <w:tcW w:type="dxa" w:w="2160"/>
          </w:tcPr>
          <w:p>
            <w:r/>
            <w:r>
              <w:t>Daily, after CDSC EOD report</w:t>
            </w:r>
          </w:p>
        </w:tc>
        <w:tc>
          <w:tcPr>
            <w:tcW w:type="dxa" w:w="2160"/>
          </w:tcPr>
          <w:p>
            <w:r/>
            <w:r>
              <w:t>CDSC position file</w:t>
            </w:r>
          </w:p>
        </w:tc>
        <w:tc>
          <w:tcPr>
            <w:tcW w:type="dxa" w:w="2160"/>
          </w:tcPr>
          <w:p>
            <w:r/>
            <w:r>
              <w:t>Completed by 17:00</w:t>
            </w:r>
          </w:p>
        </w:tc>
      </w:tr>
      <w:tr>
        <w:tc>
          <w:tcPr>
            <w:tcW w:type="dxa" w:w="2160"/>
          </w:tcPr>
          <w:p>
            <w:r/>
            <w:r>
              <w:rPr>
                <w:b/>
              </w:rPr>
              <w:t>EOD bank reconciliation</w:t>
            </w:r>
          </w:p>
        </w:tc>
        <w:tc>
          <w:tcPr>
            <w:tcW w:type="dxa" w:w="2160"/>
          </w:tcPr>
          <w:p>
            <w:r/>
            <w:r>
              <w:t>Daily, after bank statement</w:t>
            </w:r>
          </w:p>
        </w:tc>
        <w:tc>
          <w:tcPr>
            <w:tcW w:type="dxa" w:w="2160"/>
          </w:tcPr>
          <w:p>
            <w:r/>
            <w:r>
              <w:t>Bank statement file/API</w:t>
            </w:r>
          </w:p>
        </w:tc>
        <w:tc>
          <w:tcPr>
            <w:tcW w:type="dxa" w:w="2160"/>
          </w:tcPr>
          <w:p>
            <w:r/>
            <w:r>
              <w:t>Completed by 17:30</w:t>
            </w:r>
          </w:p>
        </w:tc>
      </w:tr>
      <w:tr>
        <w:tc>
          <w:tcPr>
            <w:tcW w:type="dxa" w:w="2160"/>
          </w:tcPr>
          <w:p>
            <w:r/>
            <w:r>
              <w:rPr>
                <w:b/>
              </w:rPr>
              <w:t>Settlement obligation calculation</w:t>
            </w:r>
          </w:p>
        </w:tc>
        <w:tc>
          <w:tcPr>
            <w:tcW w:type="dxa" w:w="2160"/>
          </w:tcPr>
          <w:p>
            <w:r/>
            <w:r>
              <w:t>Daily, T+0 after trades confirmed</w:t>
            </w:r>
          </w:p>
        </w:tc>
        <w:tc>
          <w:tcPr>
            <w:tcW w:type="dxa" w:w="2160"/>
          </w:tcPr>
          <w:p>
            <w:r/>
            <w:r>
              <w:t>All T+0 trades booked</w:t>
            </w:r>
          </w:p>
        </w:tc>
        <w:tc>
          <w:tcPr>
            <w:tcW w:type="dxa" w:w="2160"/>
          </w:tcPr>
          <w:p>
            <w:r/>
            <w:r>
              <w:t>Completed by 16:00</w:t>
            </w:r>
          </w:p>
        </w:tc>
      </w:tr>
      <w:tr>
        <w:tc>
          <w:tcPr>
            <w:tcW w:type="dxa" w:w="2160"/>
          </w:tcPr>
          <w:p>
            <w:r/>
            <w:r>
              <w:rPr>
                <w:b/>
              </w:rPr>
              <w:t>Corporate action entitlement calculation</w:t>
            </w:r>
          </w:p>
        </w:tc>
        <w:tc>
          <w:tcPr>
            <w:tcW w:type="dxa" w:w="2160"/>
          </w:tcPr>
          <w:p>
            <w:r/>
            <w:r>
              <w:t>Per-event, after book closure</w:t>
            </w:r>
          </w:p>
        </w:tc>
        <w:tc>
          <w:tcPr>
            <w:tcW w:type="dxa" w:w="2160"/>
          </w:tcPr>
          <w:p>
            <w:r/>
            <w:r>
              <w:t>Position snapshot at record date</w:t>
            </w:r>
          </w:p>
        </w:tc>
        <w:tc>
          <w:tcPr>
            <w:tcW w:type="dxa" w:w="2160"/>
          </w:tcPr>
          <w:p>
            <w:r/>
            <w:r>
              <w:t>Completed within 24h of book closure</w:t>
            </w:r>
          </w:p>
        </w:tc>
      </w:tr>
      <w:tr>
        <w:tc>
          <w:tcPr>
            <w:tcW w:type="dxa" w:w="2160"/>
          </w:tcPr>
          <w:p>
            <w:r/>
            <w:r>
              <w:rPr>
                <w:b/>
              </w:rPr>
              <w:t>NAV calculation</w:t>
            </w:r>
          </w:p>
        </w:tc>
        <w:tc>
          <w:tcPr>
            <w:tcW w:type="dxa" w:w="2160"/>
          </w:tcPr>
          <w:p>
            <w:r/>
            <w:r>
              <w:t>Daily, after NEPSE close</w:t>
            </w:r>
          </w:p>
        </w:tc>
        <w:tc>
          <w:tcPr>
            <w:tcW w:type="dxa" w:w="2160"/>
          </w:tcPr>
          <w:p>
            <w:r/>
            <w:r>
              <w:t>All closing prices ingested</w:t>
            </w:r>
          </w:p>
        </w:tc>
        <w:tc>
          <w:tcPr>
            <w:tcW w:type="dxa" w:w="2160"/>
          </w:tcPr>
          <w:p>
            <w:r/>
            <w:r>
              <w:t>Published by 17:00</w:t>
            </w:r>
          </w:p>
        </w:tc>
      </w:tr>
      <w:tr>
        <w:tc>
          <w:tcPr>
            <w:tcW w:type="dxa" w:w="2160"/>
          </w:tcPr>
          <w:p>
            <w:r/>
            <w:r>
              <w:rPr>
                <w:b/>
              </w:rPr>
              <w:t>Regulatory report generation</w:t>
            </w:r>
          </w:p>
        </w:tc>
        <w:tc>
          <w:tcPr>
            <w:tcW w:type="dxa" w:w="2160"/>
          </w:tcPr>
          <w:p>
            <w:r/>
            <w:r>
              <w:t>Monthly/Quarterly per SEBON/NRB schedule</w:t>
            </w:r>
          </w:p>
        </w:tc>
        <w:tc>
          <w:tcPr>
            <w:tcW w:type="dxa" w:w="2160"/>
          </w:tcPr>
          <w:p>
            <w:r/>
            <w:r>
              <w:t>All source data for reporting period</w:t>
            </w:r>
          </w:p>
        </w:tc>
        <w:tc>
          <w:tcPr>
            <w:tcW w:type="dxa" w:w="2160"/>
          </w:tcPr>
          <w:p>
            <w:r/>
            <w:r>
              <w:t>3 days before filing deadline</w:t>
            </w:r>
          </w:p>
        </w:tc>
      </w:tr>
      <w:tr>
        <w:tc>
          <w:tcPr>
            <w:tcW w:type="dxa" w:w="2160"/>
          </w:tcPr>
          <w:p>
            <w:r/>
            <w:r>
              <w:rPr>
                <w:b/>
              </w:rPr>
              <w:t>Capital gains tax batch</w:t>
            </w:r>
          </w:p>
        </w:tc>
        <w:tc>
          <w:tcPr>
            <w:tcW w:type="dxa" w:w="2160"/>
          </w:tcPr>
          <w:p>
            <w:r/>
            <w:r>
              <w:t>End of BS fiscal year (Ashadh end)</w:t>
            </w:r>
          </w:p>
        </w:tc>
        <w:tc>
          <w:tcPr>
            <w:tcW w:type="dxa" w:w="2160"/>
          </w:tcPr>
          <w:p>
            <w:r/>
            <w:r>
              <w:t>All trades for fiscal year</w:t>
            </w:r>
          </w:p>
        </w:tc>
        <w:tc>
          <w:tcPr>
            <w:tcW w:type="dxa" w:w="2160"/>
          </w:tcPr>
          <w:p>
            <w:r/>
            <w:r>
              <w:t>Before Shrawan 15</w:t>
            </w:r>
          </w:p>
        </w:tc>
      </w:tr>
      <w:tr>
        <w:tc>
          <w:tcPr>
            <w:tcW w:type="dxa" w:w="2160"/>
          </w:tcPr>
          <w:p>
            <w:r/>
            <w:r>
              <w:rPr>
                <w:b/>
              </w:rPr>
              <w:t>AI model retraining</w:t>
            </w:r>
          </w:p>
        </w:tc>
        <w:tc>
          <w:tcPr>
            <w:tcW w:type="dxa" w:w="2160"/>
          </w:tcPr>
          <w:p>
            <w:r/>
            <w:r>
              <w:t>Weekly/Monthly</w:t>
            </w:r>
          </w:p>
        </w:tc>
        <w:tc>
          <w:tcPr>
            <w:tcW w:type="dxa" w:w="2160"/>
          </w:tcPr>
          <w:p>
            <w:r/>
            <w:r>
              <w:t>Latest production data</w:t>
            </w:r>
          </w:p>
        </w:tc>
        <w:tc>
          <w:tcPr>
            <w:tcW w:type="dxa" w:w="2160"/>
          </w:tcPr>
          <w:p>
            <w:r/>
            <w:r>
              <w:t>Completed during weekend</w:t>
            </w:r>
          </w:p>
        </w:tc>
      </w:tr>
      <w:tr>
        <w:tc>
          <w:tcPr>
            <w:tcW w:type="dxa" w:w="2160"/>
          </w:tcPr>
          <w:p>
            <w:r/>
            <w:r>
              <w:rPr>
                <w:b/>
              </w:rPr>
              <w:t>Data archival</w:t>
            </w:r>
          </w:p>
        </w:tc>
        <w:tc>
          <w:tcPr>
            <w:tcW w:type="dxa" w:w="2160"/>
          </w:tcPr>
          <w:p>
            <w:r/>
            <w:r>
              <w:t>Monthly</w:t>
            </w:r>
          </w:p>
        </w:tc>
        <w:tc>
          <w:tcPr>
            <w:tcW w:type="dxa" w:w="2160"/>
          </w:tcPr>
          <w:p>
            <w:r/>
            <w:r>
              <w:t>Configurable retention</w:t>
            </w:r>
          </w:p>
        </w:tc>
        <w:tc>
          <w:tcPr>
            <w:tcW w:type="dxa" w:w="2160"/>
          </w:tcPr>
          <w:p>
            <w:r/>
            <w:r>
              <w:t>Within archival window</w:t>
            </w:r>
          </w:p>
        </w:tc>
      </w:tr>
    </w:tbl>
    <w:p>
      <w:r>
        <w:rPr>
          <w:b/>
        </w:rPr>
        <w:t>Batch framework requirements:</w:t>
      </w:r>
    </w:p>
    <w:p>
      <w:pPr>
        <w:pStyle w:val="ListBullet"/>
      </w:pPr>
      <w:r>
        <w:t>Job scheduling with BS calendar awareness (no batch runs on Nepal public holidays).</w:t>
      </w:r>
    </w:p>
    <w:p>
      <w:pPr>
        <w:pStyle w:val="ListBullet"/>
      </w:pPr>
      <w:r>
        <w:t>Dependency DAG: jobs run in correct order; predecessor failure blocks dependents.</w:t>
      </w:r>
    </w:p>
    <w:p>
      <w:pPr>
        <w:pStyle w:val="ListBullet"/>
      </w:pPr>
      <w:r>
        <w:t>Retry with dead-letter queue for failed items.</w:t>
      </w:r>
    </w:p>
    <w:p>
      <w:pPr>
        <w:pStyle w:val="ListBullet"/>
      </w:pPr>
      <w:r>
        <w:t>Monitoring: per-job execution time, success/failure rate, item-level tracking.</w:t>
      </w:r>
    </w:p>
    <w:p>
      <w:pPr>
        <w:pStyle w:val="ListBullet"/>
      </w:pPr>
      <w:r>
        <w:t>Backfill capability: re-run batch for any historical date (critical for corporate actions corrections).</w:t>
      </w:r>
    </w:p>
    <w:p>
      <w:pPr>
        <w:pStyle w:val="Heading4"/>
      </w:pPr>
      <w:r>
        <w:t>**4.10. Adoption, Change Management &amp; Migration Strategy**</w:t>
      </w:r>
    </w:p>
    <w:p>
      <w:r>
        <w:t>Convincing 90 brokers accustomed to Excel and legacy NOTS-era software requires more than superior technology — it requires a deliberate adoption strategy.</w:t>
      </w:r>
    </w:p>
    <w:p>
      <w:r>
        <w:rPr>
          <w:b/>
        </w:rPr>
        <w:t>Migration approach (per broker onboarding):</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Phase</w:t>
            </w:r>
          </w:p>
        </w:tc>
        <w:tc>
          <w:tcPr>
            <w:tcW w:type="dxa" w:w="2880"/>
            <w:shd w:fill="D9EAF7"/>
          </w:tcPr>
          <w:p>
            <w:r>
              <w:rPr>
                <w:b/>
              </w:rPr>
            </w:r>
            <w:r>
              <w:rPr>
                <w:b/>
              </w:rPr>
              <w:t>Duration</w:t>
            </w:r>
          </w:p>
        </w:tc>
        <w:tc>
          <w:tcPr>
            <w:tcW w:type="dxa" w:w="2880"/>
            <w:shd w:fill="D9EAF7"/>
          </w:tcPr>
          <w:p>
            <w:r>
              <w:rPr>
                <w:b/>
              </w:rPr>
            </w:r>
            <w:r>
              <w:rPr>
                <w:b/>
              </w:rPr>
              <w:t>Activities</w:t>
            </w:r>
          </w:p>
        </w:tc>
      </w:tr>
      <w:tr>
        <w:tc>
          <w:tcPr>
            <w:tcW w:type="dxa" w:w="2880"/>
          </w:tcPr>
          <w:p>
            <w:r/>
            <w:r>
              <w:rPr>
                <w:b/>
              </w:rPr>
              <w:t>Discovery</w:t>
            </w:r>
          </w:p>
        </w:tc>
        <w:tc>
          <w:tcPr>
            <w:tcW w:type="dxa" w:w="2880"/>
          </w:tcPr>
          <w:p>
            <w:r/>
            <w:r>
              <w:t>1–2 weeks</w:t>
            </w:r>
          </w:p>
        </w:tc>
        <w:tc>
          <w:tcPr>
            <w:tcW w:type="dxa" w:w="2880"/>
          </w:tcPr>
          <w:p>
            <w:r/>
            <w:r>
              <w:t>Assess current systems; map data formats; identify integration points; brief broker staff</w:t>
            </w:r>
          </w:p>
        </w:tc>
      </w:tr>
      <w:tr>
        <w:tc>
          <w:tcPr>
            <w:tcW w:type="dxa" w:w="2880"/>
          </w:tcPr>
          <w:p>
            <w:r/>
            <w:r>
              <w:rPr>
                <w:b/>
              </w:rPr>
              <w:t>Data migration</w:t>
            </w:r>
          </w:p>
        </w:tc>
        <w:tc>
          <w:tcPr>
            <w:tcW w:type="dxa" w:w="2880"/>
          </w:tcPr>
          <w:p>
            <w:r/>
            <w:r>
              <w:t>2–4 weeks</w:t>
            </w:r>
          </w:p>
        </w:tc>
        <w:tc>
          <w:tcPr>
            <w:tcW w:type="dxa" w:w="2880"/>
          </w:tcPr>
          <w:p>
            <w:r/>
            <w:r>
              <w:t>Extract historical data from Excel/legacy; cleanse and transform; load into platform; validate against source</w:t>
            </w:r>
          </w:p>
        </w:tc>
      </w:tr>
      <w:tr>
        <w:tc>
          <w:tcPr>
            <w:tcW w:type="dxa" w:w="2880"/>
          </w:tcPr>
          <w:p>
            <w:r/>
            <w:r>
              <w:rPr>
                <w:b/>
              </w:rPr>
              <w:t>Parallel running</w:t>
            </w:r>
          </w:p>
        </w:tc>
        <w:tc>
          <w:tcPr>
            <w:tcW w:type="dxa" w:w="2880"/>
          </w:tcPr>
          <w:p>
            <w:r/>
            <w:r>
              <w:t>4–8 weeks</w:t>
            </w:r>
          </w:p>
        </w:tc>
        <w:tc>
          <w:tcPr>
            <w:tcW w:type="dxa" w:w="2880"/>
          </w:tcPr>
          <w:p>
            <w:r/>
            <w:r>
              <w:t>Platform runs alongside existing process; daily comparison of outputs; broker staff validates</w:t>
            </w:r>
          </w:p>
        </w:tc>
      </w:tr>
      <w:tr>
        <w:tc>
          <w:tcPr>
            <w:tcW w:type="dxa" w:w="2880"/>
          </w:tcPr>
          <w:p>
            <w:r/>
            <w:r>
              <w:rPr>
                <w:b/>
              </w:rPr>
              <w:t>Cutover</w:t>
            </w:r>
          </w:p>
        </w:tc>
        <w:tc>
          <w:tcPr>
            <w:tcW w:type="dxa" w:w="2880"/>
          </w:tcPr>
          <w:p>
            <w:r/>
            <w:r>
              <w:t>1 week</w:t>
            </w:r>
          </w:p>
        </w:tc>
        <w:tc>
          <w:tcPr>
            <w:tcW w:type="dxa" w:w="2880"/>
          </w:tcPr>
          <w:p>
            <w:r/>
            <w:r>
              <w:t>Switch to platform as primary; legacy as fallback; intensive support</w:t>
            </w:r>
          </w:p>
        </w:tc>
      </w:tr>
      <w:tr>
        <w:tc>
          <w:tcPr>
            <w:tcW w:type="dxa" w:w="2880"/>
          </w:tcPr>
          <w:p>
            <w:r/>
            <w:r>
              <w:rPr>
                <w:b/>
              </w:rPr>
              <w:t>Stabilization</w:t>
            </w:r>
          </w:p>
        </w:tc>
        <w:tc>
          <w:tcPr>
            <w:tcW w:type="dxa" w:w="2880"/>
          </w:tcPr>
          <w:p>
            <w:r/>
            <w:r>
              <w:t>4 weeks</w:t>
            </w:r>
          </w:p>
        </w:tc>
        <w:tc>
          <w:tcPr>
            <w:tcW w:type="dxa" w:w="2880"/>
          </w:tcPr>
          <w:p>
            <w:r/>
            <w:r>
              <w:t>Monitor; resolve edge cases; fine-tune AI models to broker-specific patterns</w:t>
            </w:r>
          </w:p>
        </w:tc>
      </w:tr>
    </w:tbl>
    <w:p>
      <w:r>
        <w:rPr>
          <w:b/>
        </w:rPr>
        <w:t>Adoption accelerators:</w:t>
      </w:r>
    </w:p>
    <w:p>
      <w:pPr>
        <w:pStyle w:val="ListBullet"/>
      </w:pPr>
      <w:r>
        <w:rPr>
          <w:b/>
        </w:rPr>
        <w:t>Low-disruption migration target</w:t>
      </w:r>
      <w:r>
        <w:t>: platform integrates with NEPSE TMS (not replace it); broker trading workflows change as little as practical during rollout.</w:t>
      </w:r>
    </w:p>
    <w:p>
      <w:pPr>
        <w:pStyle w:val="ListBullet"/>
      </w:pPr>
      <w:r>
        <w:rPr>
          <w:b/>
        </w:rPr>
        <w:t>Free tier</w:t>
      </w:r>
      <w:r>
        <w:t>: basic reconciliation and reporting tools at no cost; premium AI capabilities paid. Reduces adoption barrier.</w:t>
      </w:r>
    </w:p>
    <w:p>
      <w:pPr>
        <w:pStyle w:val="ListBullet"/>
      </w:pPr>
      <w:r>
        <w:rPr>
          <w:b/>
        </w:rPr>
        <w:t>Broker champion program</w:t>
      </w:r>
      <w:r>
        <w:t>: identify 5–10 forward-thinking brokers as early adopters; their success stories drive market adoption.</w:t>
      </w:r>
    </w:p>
    <w:p>
      <w:pPr>
        <w:pStyle w:val="ListBullet"/>
      </w:pPr>
      <w:r>
        <w:rPr>
          <w:b/>
        </w:rPr>
        <w:t>SEBON endorsement</w:t>
      </w:r>
      <w:r>
        <w:t>: if SEBON mandates platform-compatible reporting formats, adoption follows naturally.</w:t>
      </w:r>
    </w:p>
    <w:p>
      <w:pPr>
        <w:pStyle w:val="ListBullet"/>
      </w:pPr>
      <w:r>
        <w:rPr>
          <w:b/>
        </w:rPr>
        <w:t>Training program</w:t>
      </w:r>
      <w:r>
        <w:t>: Nepali-language training materials; on-site training for broker staff; certification program for "Siddhanta Platform Administrator."</w:t>
      </w:r>
    </w:p>
    <w:p>
      <w:r>
        <w:t>---</w:t>
      </w:r>
    </w:p>
    <w:p>
      <w:pPr>
        <w:pStyle w:val="Heading3"/>
      </w:pPr>
      <w:r>
        <w:t>**5. Operator Packs for Nepal**</w:t>
      </w:r>
    </w:p>
    <w:p>
      <w:r>
        <w:t>Each operator pack maps to a specific SEBON-registered intermediary category and embeds Nepal-specific controls, reconciliations, reports, and AI capabilities.</w:t>
      </w:r>
    </w:p>
    <w:p>
      <w:pPr>
        <w:pStyle w:val="Heading4"/>
      </w:pPr>
      <w:r>
        <w:t>**5.0. Automation Maturity Levels (Referenced Across All Packs)**</w:t>
      </w:r>
    </w:p>
    <w:p>
      <w:r>
        <w:t xml:space="preserve">All operator pack capabilities reference a </w:t>
      </w:r>
      <w:r>
        <w:rPr>
          <w:b/>
        </w:rPr>
        <w:t>5-level automation maturity model</w:t>
      </w:r>
      <w:r>
        <w:t xml:space="preserve"> that guides the platform's AI-native progression: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rPr>
                <w:b/>
              </w:rPr>
            </w:r>
            <w:r>
              <w:rPr>
                <w:b/>
              </w:rPr>
              <w:t>Level</w:t>
            </w:r>
          </w:p>
        </w:tc>
        <w:tc>
          <w:tcPr>
            <w:tcW w:type="dxa" w:w="1728"/>
            <w:shd w:fill="D9EAF7"/>
          </w:tcPr>
          <w:p>
            <w:r>
              <w:rPr>
                <w:b/>
              </w:rPr>
            </w:r>
            <w:r>
              <w:rPr>
                <w:b/>
              </w:rPr>
              <w:t>Name</w:t>
            </w:r>
          </w:p>
        </w:tc>
        <w:tc>
          <w:tcPr>
            <w:tcW w:type="dxa" w:w="1728"/>
            <w:shd w:fill="D9EAF7"/>
          </w:tcPr>
          <w:p>
            <w:r>
              <w:rPr>
                <w:b/>
              </w:rPr>
            </w:r>
            <w:r>
              <w:rPr>
                <w:b/>
              </w:rPr>
              <w:t>Description</w:t>
            </w:r>
          </w:p>
        </w:tc>
        <w:tc>
          <w:tcPr>
            <w:tcW w:type="dxa" w:w="1728"/>
            <w:shd w:fill="D9EAF7"/>
          </w:tcPr>
          <w:p>
            <w:r>
              <w:rPr>
                <w:b/>
              </w:rPr>
            </w:r>
            <w:r>
              <w:rPr>
                <w:b/>
              </w:rPr>
              <w:t>Human role</w:t>
            </w:r>
          </w:p>
        </w:tc>
        <w:tc>
          <w:tcPr>
            <w:tcW w:type="dxa" w:w="1728"/>
            <w:shd w:fill="D9EAF7"/>
          </w:tcPr>
          <w:p>
            <w:r>
              <w:rPr>
                <w:b/>
              </w:rPr>
            </w:r>
            <w:r>
              <w:rPr>
                <w:b/>
              </w:rPr>
              <w:t>Example (Nepal)</w:t>
            </w:r>
          </w:p>
        </w:tc>
      </w:tr>
      <w:tr>
        <w:tc>
          <w:tcPr>
            <w:tcW w:type="dxa" w:w="1728"/>
          </w:tcPr>
          <w:p>
            <w:r/>
            <w:r>
              <w:rPr>
                <w:b/>
              </w:rPr>
              <w:t>L1</w:t>
            </w:r>
          </w:p>
        </w:tc>
        <w:tc>
          <w:tcPr>
            <w:tcW w:type="dxa" w:w="1728"/>
          </w:tcPr>
          <w:p>
            <w:r/>
            <w:r>
              <w:t>Manual</w:t>
            </w:r>
          </w:p>
        </w:tc>
        <w:tc>
          <w:tcPr>
            <w:tcW w:type="dxa" w:w="1728"/>
          </w:tcPr>
          <w:p>
            <w:r/>
            <w:r>
              <w:t>Human performs task using platform UI</w:t>
            </w:r>
          </w:p>
        </w:tc>
        <w:tc>
          <w:tcPr>
            <w:tcW w:type="dxa" w:w="1728"/>
          </w:tcPr>
          <w:p>
            <w:r/>
            <w:r>
              <w:t>Operator</w:t>
            </w:r>
          </w:p>
        </w:tc>
        <w:tc>
          <w:tcPr>
            <w:tcW w:type="dxa" w:w="1728"/>
          </w:tcPr>
          <w:p>
            <w:r/>
            <w:r>
              <w:t>Manual data entry of floorsheet trades</w:t>
            </w:r>
          </w:p>
        </w:tc>
      </w:tr>
      <w:tr>
        <w:tc>
          <w:tcPr>
            <w:tcW w:type="dxa" w:w="1728"/>
          </w:tcPr>
          <w:p>
            <w:r/>
            <w:r>
              <w:rPr>
                <w:b/>
              </w:rPr>
              <w:t>L2</w:t>
            </w:r>
          </w:p>
        </w:tc>
        <w:tc>
          <w:tcPr>
            <w:tcW w:type="dxa" w:w="1728"/>
          </w:tcPr>
          <w:p>
            <w:r/>
            <w:r>
              <w:t>Rule-based</w:t>
            </w:r>
          </w:p>
        </w:tc>
        <w:tc>
          <w:tcPr>
            <w:tcW w:type="dxa" w:w="1728"/>
          </w:tcPr>
          <w:p>
            <w:r/>
            <w:r>
              <w:t>Static rules automate decision; human configures rules</w:t>
            </w:r>
          </w:p>
        </w:tc>
        <w:tc>
          <w:tcPr>
            <w:tcW w:type="dxa" w:w="1728"/>
          </w:tcPr>
          <w:p>
            <w:r/>
            <w:r>
              <w:t>Configurator</w:t>
            </w:r>
          </w:p>
        </w:tc>
        <w:tc>
          <w:tcPr>
            <w:tcW w:type="dxa" w:w="1728"/>
          </w:tcPr>
          <w:p>
            <w:r/>
            <w:r>
              <w:t>Circuit breaker price band enforcement</w:t>
            </w:r>
          </w:p>
        </w:tc>
      </w:tr>
      <w:tr>
        <w:tc>
          <w:tcPr>
            <w:tcW w:type="dxa" w:w="1728"/>
          </w:tcPr>
          <w:p>
            <w:r/>
            <w:r>
              <w:rPr>
                <w:b/>
              </w:rPr>
              <w:t>L3</w:t>
            </w:r>
          </w:p>
        </w:tc>
        <w:tc>
          <w:tcPr>
            <w:tcW w:type="dxa" w:w="1728"/>
          </w:tcPr>
          <w:p>
            <w:r/>
            <w:r>
              <w:t>Intelligent</w:t>
            </w:r>
          </w:p>
        </w:tc>
        <w:tc>
          <w:tcPr>
            <w:tcW w:type="dxa" w:w="1728"/>
          </w:tcPr>
          <w:p>
            <w:r/>
            <w:r>
              <w:t>ML model recommends action; human approves</w:t>
            </w:r>
          </w:p>
        </w:tc>
        <w:tc>
          <w:tcPr>
            <w:tcW w:type="dxa" w:w="1728"/>
          </w:tcPr>
          <w:p>
            <w:r/>
            <w:r>
              <w:t>Reviewer</w:t>
            </w:r>
          </w:p>
        </w:tc>
        <w:tc>
          <w:tcPr>
            <w:tcW w:type="dxa" w:w="1728"/>
          </w:tcPr>
          <w:p>
            <w:r/>
            <w:r>
              <w:t>AI suggests reconciliation break resolution; human clicks "Accept"</w:t>
            </w:r>
          </w:p>
        </w:tc>
      </w:tr>
      <w:tr>
        <w:tc>
          <w:tcPr>
            <w:tcW w:type="dxa" w:w="1728"/>
          </w:tcPr>
          <w:p>
            <w:r/>
            <w:r>
              <w:rPr>
                <w:b/>
              </w:rPr>
              <w:t>L4</w:t>
            </w:r>
          </w:p>
        </w:tc>
        <w:tc>
          <w:tcPr>
            <w:tcW w:type="dxa" w:w="1728"/>
          </w:tcPr>
          <w:p>
            <w:r/>
            <w:r>
              <w:t>Agentic</w:t>
            </w:r>
          </w:p>
        </w:tc>
        <w:tc>
          <w:tcPr>
            <w:tcW w:type="dxa" w:w="1728"/>
          </w:tcPr>
          <w:p>
            <w:r/>
            <w:r>
              <w:t>AI agent executes autonomously within guardrails; human monitors exceptions</w:t>
            </w:r>
          </w:p>
        </w:tc>
        <w:tc>
          <w:tcPr>
            <w:tcW w:type="dxa" w:w="1728"/>
          </w:tcPr>
          <w:p>
            <w:r/>
            <w:r>
              <w:t>Monitor</w:t>
            </w:r>
          </w:p>
        </w:tc>
        <w:tc>
          <w:tcPr>
            <w:tcW w:type="dxa" w:w="1728"/>
          </w:tcPr>
          <w:p>
            <w:r/>
            <w:r>
              <w:t>Auto-matching 95%+ of recon breaks; escalating the rest</w:t>
            </w:r>
          </w:p>
        </w:tc>
      </w:tr>
      <w:tr>
        <w:tc>
          <w:tcPr>
            <w:tcW w:type="dxa" w:w="1728"/>
          </w:tcPr>
          <w:p>
            <w:r/>
            <w:r>
              <w:rPr>
                <w:b/>
              </w:rPr>
              <w:t>L5</w:t>
            </w:r>
          </w:p>
        </w:tc>
        <w:tc>
          <w:tcPr>
            <w:tcW w:type="dxa" w:w="1728"/>
          </w:tcPr>
          <w:p>
            <w:r/>
            <w:r>
              <w:t>Autonomous</w:t>
            </w:r>
          </w:p>
        </w:tc>
        <w:tc>
          <w:tcPr>
            <w:tcW w:type="dxa" w:w="1728"/>
          </w:tcPr>
          <w:p>
            <w:r/>
            <w:r>
              <w:t>AI manages end-to-end with no human involvement for tightly bounded, low-impact routine operations</w:t>
            </w:r>
          </w:p>
        </w:tc>
        <w:tc>
          <w:tcPr>
            <w:tcW w:type="dxa" w:w="1728"/>
          </w:tcPr>
          <w:p>
            <w:r/>
            <w:r>
              <w:t>Auditor (post-hoc)</w:t>
            </w:r>
          </w:p>
        </w:tc>
        <w:tc>
          <w:tcPr>
            <w:tcW w:type="dxa" w:w="1728"/>
          </w:tcPr>
          <w:p>
            <w:r/>
            <w:r>
              <w:t>Automatic delivery of routine statements after deterministic validation</w:t>
            </w:r>
          </w:p>
        </w:tc>
      </w:tr>
    </w:tbl>
    <w:p>
      <w:r>
        <w:rPr>
          <w:b/>
        </w:rPr>
        <w:t>Progression principle</w:t>
      </w:r>
      <w:r>
        <w:t>: every capability starts at L2–L3 during pilot phase and advances only as accuracy is proven and regulator comfort increases. Regression to lower levels is always possible (graceful degradation). High-impact regulatory decisions (for example, changing lock status, approving transfers, filing regulated submissions) should remain deterministic and/or human-approved rather than defaulting to L5 AI autonomy.</w:t>
      </w:r>
    </w:p>
    <w:p>
      <w:pPr>
        <w:pStyle w:val="Heading4"/>
      </w:pPr>
      <w:r>
        <w:t>**5.1. Pack A: Stock Broker + Depository Participant (90 Brokers, 122 DPs)**</w:t>
      </w:r>
    </w:p>
    <w:p>
      <w:r>
        <w:t xml:space="preserve">This is the </w:t>
      </w:r>
      <w:r>
        <w:rPr>
          <w:b/>
        </w:rPr>
        <w:t>primary revenue driver</w:t>
      </w:r>
      <w:r>
        <w:t xml:space="preserve"> and the first pack to build.</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Module</w:t>
            </w:r>
          </w:p>
        </w:tc>
        <w:tc>
          <w:tcPr>
            <w:tcW w:type="dxa" w:w="4320"/>
            <w:shd w:fill="D9EAF7"/>
          </w:tcPr>
          <w:p>
            <w:r>
              <w:rPr>
                <w:b/>
              </w:rPr>
            </w:r>
            <w:r>
              <w:rPr>
                <w:b/>
              </w:rPr>
              <w:t>Capabilities</w:t>
            </w:r>
          </w:p>
        </w:tc>
      </w:tr>
      <w:tr>
        <w:tc>
          <w:tcPr>
            <w:tcW w:type="dxa" w:w="4320"/>
          </w:tcPr>
          <w:p>
            <w:r/>
            <w:r>
              <w:rPr>
                <w:b/>
              </w:rPr>
              <w:t>Client onboarding</w:t>
            </w:r>
          </w:p>
        </w:tc>
        <w:tc>
          <w:tcPr>
            <w:tcW w:type="dxa" w:w="4320"/>
          </w:tcPr>
          <w:p>
            <w:r/>
            <w:r>
              <w:t>National ID verification, KYC form auto-fill (Nepali + English), CDSC demat account linkage, risk profiling questionnaire, consent management</w:t>
            </w:r>
          </w:p>
        </w:tc>
      </w:tr>
      <w:tr>
        <w:tc>
          <w:tcPr>
            <w:tcW w:type="dxa" w:w="4320"/>
          </w:tcPr>
          <w:p>
            <w:r/>
            <w:r>
              <w:rPr>
                <w:b/>
              </w:rPr>
              <w:t>Order management (OMS)</w:t>
            </w:r>
          </w:p>
        </w:tc>
        <w:tc>
          <w:tcPr>
            <w:tcW w:type="dxa" w:w="4320"/>
          </w:tcPr>
          <w:p>
            <w:r/>
            <w:r>
              <w:t>Integration with NEPSE TMS; pre-trade risk checks (margin, exposure, promoter lock-in); order routing; order modification/cancellation; advanced order workflows where venue rules permit</w:t>
            </w:r>
          </w:p>
        </w:tc>
      </w:tr>
      <w:tr>
        <w:tc>
          <w:tcPr>
            <w:tcW w:type="dxa" w:w="4320"/>
          </w:tcPr>
          <w:p>
            <w:r/>
            <w:r>
              <w:rPr>
                <w:b/>
              </w:rPr>
              <w:t>Trade processing</w:t>
            </w:r>
          </w:p>
        </w:tc>
        <w:tc>
          <w:tcPr>
            <w:tcW w:type="dxa" w:w="4320"/>
          </w:tcPr>
          <w:p>
            <w:r/>
            <w:r>
              <w:t>Real-time trade capture from NEPSE; contract note generation (Nepali template); commission calculation per SEBON slabs; trade confirmation dispatch</w:t>
            </w:r>
          </w:p>
        </w:tc>
      </w:tr>
      <w:tr>
        <w:tc>
          <w:tcPr>
            <w:tcW w:type="dxa" w:w="4320"/>
          </w:tcPr>
          <w:p>
            <w:r/>
            <w:r>
              <w:rPr>
                <w:b/>
              </w:rPr>
              <w:t>Settlement</w:t>
            </w:r>
          </w:p>
        </w:tc>
        <w:tc>
          <w:tcPr>
            <w:tcW w:type="dxa" w:w="4320"/>
          </w:tcPr>
          <w:p>
            <w:r/>
            <w:r>
              <w:t>T+2 obligation calculation; EDIS management (auto-initiation for sell trades); pay-in/pay-out tracking; short delivery management; CDSC reconciliation</w:t>
            </w:r>
          </w:p>
        </w:tc>
      </w:tr>
      <w:tr>
        <w:tc>
          <w:tcPr>
            <w:tcW w:type="dxa" w:w="4320"/>
          </w:tcPr>
          <w:p>
            <w:r/>
            <w:r>
              <w:rPr>
                <w:b/>
              </w:rPr>
              <w:t>Position &amp; ledger</w:t>
            </w:r>
          </w:p>
        </w:tc>
        <w:tc>
          <w:tcPr>
            <w:tcW w:type="dxa" w:w="4320"/>
          </w:tcPr>
          <w:p>
            <w:r/>
            <w:r>
              <w:t>Securities position ledger; cash ledger (client-wise); margin ledger; fee ledger; client money segregation; daily position snapshot</w:t>
            </w:r>
          </w:p>
        </w:tc>
      </w:tr>
      <w:tr>
        <w:tc>
          <w:tcPr>
            <w:tcW w:type="dxa" w:w="4320"/>
          </w:tcPr>
          <w:p>
            <w:r/>
            <w:r>
              <w:rPr>
                <w:b/>
              </w:rPr>
              <w:t>Corporate actions</w:t>
            </w:r>
          </w:p>
        </w:tc>
        <w:tc>
          <w:tcPr>
            <w:tcW w:type="dxa" w:w="4320"/>
          </w:tcPr>
          <w:p>
            <w:r/>
            <w:r>
              <w:t>Bonus/rights/dividend entitlement processing; IPO/FPO allotment reconciliation; corporate action calendar management</w:t>
            </w:r>
          </w:p>
        </w:tc>
      </w:tr>
      <w:tr>
        <w:tc>
          <w:tcPr>
            <w:tcW w:type="dxa" w:w="4320"/>
          </w:tcPr>
          <w:p>
            <w:r/>
            <w:r>
              <w:rPr>
                <w:b/>
              </w:rPr>
              <w:t>Reconciliation</w:t>
            </w:r>
          </w:p>
        </w:tc>
        <w:tc>
          <w:tcPr>
            <w:tcW w:type="dxa" w:w="4320"/>
          </w:tcPr>
          <w:p>
            <w:r/>
            <w:r>
              <w:t>Broker vs NEPSE (floorsheet); Broker vs CDSC (positions); Broker vs Bank (cash); Sub-ledger vs GL; Client asset vs bank balance; Meroshare holdings matching</w:t>
            </w:r>
          </w:p>
        </w:tc>
      </w:tr>
      <w:tr>
        <w:tc>
          <w:tcPr>
            <w:tcW w:type="dxa" w:w="4320"/>
          </w:tcPr>
          <w:p>
            <w:r/>
            <w:r>
              <w:rPr>
                <w:b/>
              </w:rPr>
              <w:t>Client servicing</w:t>
            </w:r>
          </w:p>
        </w:tc>
        <w:tc>
          <w:tcPr>
            <w:tcW w:type="dxa" w:w="4320"/>
          </w:tcPr>
          <w:p>
            <w:r/>
            <w:r>
              <w:t>Portfolio valuation; holding statements; contract notes; capital gains report (for tax filing); SIP management</w:t>
            </w:r>
          </w:p>
        </w:tc>
      </w:tr>
      <w:tr>
        <w:tc>
          <w:tcPr>
            <w:tcW w:type="dxa" w:w="4320"/>
          </w:tcPr>
          <w:p>
            <w:r/>
            <w:r>
              <w:rPr>
                <w:b/>
              </w:rPr>
              <w:t>Margin trading</w:t>
            </w:r>
          </w:p>
        </w:tc>
        <w:tc>
          <w:tcPr>
            <w:tcW w:type="dxa" w:w="4320"/>
          </w:tcPr>
          <w:p>
            <w:r/>
            <w:r>
              <w:t>Margin eligibility checking (per SEBON 2082 directive); margin call automation; collateral valuation; forced liquidation workflow</w:t>
            </w:r>
          </w:p>
        </w:tc>
      </w:tr>
      <w:tr>
        <w:tc>
          <w:tcPr>
            <w:tcW w:type="dxa" w:w="4320"/>
          </w:tcPr>
          <w:p>
            <w:r/>
            <w:r>
              <w:rPr>
                <w:b/>
              </w:rPr>
              <w:t>Risk management</w:t>
            </w:r>
          </w:p>
        </w:tc>
        <w:tc>
          <w:tcPr>
            <w:tcW w:type="dxa" w:w="4320"/>
          </w:tcPr>
          <w:p>
            <w:r/>
            <w:r>
              <w:t>Client exposure monitoring; concentration limits; circuit-breaker-aware risk checks; intraday P&amp;L</w:t>
            </w:r>
          </w:p>
        </w:tc>
      </w:tr>
      <w:tr>
        <w:tc>
          <w:tcPr>
            <w:tcW w:type="dxa" w:w="4320"/>
          </w:tcPr>
          <w:p>
            <w:r/>
            <w:r>
              <w:rPr>
                <w:b/>
              </w:rPr>
              <w:t>Regulatory reporting</w:t>
            </w:r>
          </w:p>
        </w:tc>
        <w:tc>
          <w:tcPr>
            <w:tcW w:type="dxa" w:w="4320"/>
          </w:tcPr>
          <w:p>
            <w:r/>
            <w:r>
              <w:t>Board-specified quarterly returns (</w:t>
            </w:r>
            <w:r>
              <w:rPr>
                <w:rFonts w:ascii="Courier New" w:hAnsi="Courier New"/>
                <w:sz w:val="20"/>
              </w:rPr>
              <w:t>Ref: LCA-024</w:t>
            </w:r>
            <w:r>
              <w:t>); NRB AML/CFT reports; securities-market transaction-fee reports; capital adequacy schedules; suspicious transaction reports</w:t>
            </w:r>
          </w:p>
        </w:tc>
      </w:tr>
    </w:tbl>
    <w:p>
      <w:r>
        <w:rPr>
          <w:b/>
        </w:rPr>
        <w:t>Mandatory controls:</w:t>
      </w:r>
    </w:p>
    <w:p>
      <w:pPr>
        <w:pStyle w:val="ListBullet"/>
      </w:pPr>
      <w:r>
        <w:t>Client money segregation and restricted-use cash handling (</w:t>
      </w:r>
      <w:r>
        <w:rPr>
          <w:rFonts w:ascii="Courier New" w:hAnsi="Courier New"/>
          <w:sz w:val="20"/>
        </w:rPr>
        <w:t>Ref: LCA-012</w:t>
      </w:r>
      <w:r>
        <w:t>)</w:t>
      </w:r>
    </w:p>
    <w:p>
      <w:pPr>
        <w:pStyle w:val="ListBullet"/>
      </w:pPr>
      <w:r>
        <w:t>Daily reconciliation (6 types minimum) as a platform operating control; explicit broker-specific daily clause still pending (</w:t>
      </w:r>
      <w:r>
        <w:rPr>
          <w:rFonts w:ascii="Courier New" w:hAnsi="Courier New"/>
          <w:sz w:val="20"/>
        </w:rPr>
        <w:t>Ref: LCA-022</w:t>
      </w:r>
      <w:r>
        <w:t>)</w:t>
      </w:r>
    </w:p>
    <w:p>
      <w:pPr>
        <w:pStyle w:val="ListBullet"/>
      </w:pPr>
      <w:r>
        <w:t>Margin monitoring and automated call generation</w:t>
      </w:r>
    </w:p>
    <w:p>
      <w:pPr>
        <w:pStyle w:val="ListBullet"/>
      </w:pPr>
      <w:r>
        <w:t>Trade-completion information dispatch immediately on execution (</w:t>
      </w:r>
      <w:r>
        <w:rPr>
          <w:rFonts w:ascii="Courier New" w:hAnsi="Courier New"/>
          <w:sz w:val="20"/>
        </w:rPr>
        <w:t>Ref: LCA-012</w:t>
      </w:r>
      <w:r>
        <w:t>); contract note by the following day (</w:t>
      </w:r>
      <w:r>
        <w:rPr>
          <w:rFonts w:ascii="Courier New" w:hAnsi="Courier New"/>
          <w:sz w:val="20"/>
        </w:rPr>
        <w:t>Ref: LCA-021</w:t>
      </w:r>
      <w:r>
        <w:t>)</w:t>
      </w:r>
    </w:p>
    <w:p>
      <w:pPr>
        <w:pStyle w:val="ListBullet"/>
      </w:pPr>
      <w:r>
        <w:t>Restricted list enforcement (SEBON sanctioned list)</w:t>
      </w:r>
    </w:p>
    <w:p>
      <w:pPr>
        <w:pStyle w:val="ListBullet"/>
      </w:pPr>
      <w:r>
        <w:t>Promoter share transaction blocking</w:t>
      </w:r>
    </w:p>
    <w:p>
      <w:pPr>
        <w:pStyle w:val="ListBullet"/>
      </w:pPr>
      <w:r>
        <w:t>Maker-checker for all ledger adjustments</w:t>
      </w:r>
    </w:p>
    <w:p>
      <w:r>
        <w:rPr>
          <w:b/>
        </w:rPr>
        <w:t>AI capabilities embedded:</w:t>
      </w:r>
    </w:p>
    <w:p>
      <w:pPr>
        <w:pStyle w:val="ListBullet"/>
      </w:pPr>
      <w:r>
        <w:t>AI copilot for broker operations ("Show me all unsettled trades for T+2 today," "Which clients are approaching margin call?")</w:t>
      </w:r>
    </w:p>
    <w:p>
      <w:pPr>
        <w:pStyle w:val="ListBullet"/>
      </w:pPr>
      <w:r>
        <w:t>Automated reconciliation with auto-resolution for known patterns</w:t>
      </w:r>
    </w:p>
    <w:p>
      <w:pPr>
        <w:pStyle w:val="ListBullet"/>
      </w:pPr>
      <w:r>
        <w:t>Predictive settlement fail alerts</w:t>
      </w:r>
    </w:p>
    <w:p>
      <w:pPr>
        <w:pStyle w:val="ListBullet"/>
      </w:pPr>
      <w:r>
        <w:t>Smart contract note generation (Nepali language, personalized)</w:t>
      </w:r>
    </w:p>
    <w:p>
      <w:pPr>
        <w:pStyle w:val="ListBullet"/>
      </w:pPr>
      <w:r>
        <w:t>Tax calculation automation (capital gains, TDS)</w:t>
      </w:r>
    </w:p>
    <w:p>
      <w:pPr>
        <w:pStyle w:val="Heading4"/>
      </w:pPr>
      <w:r>
        <w:t>**5.2. Pack B: Merchant Banker (32 Merchant Bankers)**</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Module</w:t>
            </w:r>
          </w:p>
        </w:tc>
        <w:tc>
          <w:tcPr>
            <w:tcW w:type="dxa" w:w="4320"/>
            <w:shd w:fill="D9EAF7"/>
          </w:tcPr>
          <w:p>
            <w:r>
              <w:rPr>
                <w:b/>
              </w:rPr>
            </w:r>
            <w:r>
              <w:rPr>
                <w:b/>
              </w:rPr>
              <w:t>Capabilities</w:t>
            </w:r>
          </w:p>
        </w:tc>
      </w:tr>
      <w:tr>
        <w:tc>
          <w:tcPr>
            <w:tcW w:type="dxa" w:w="4320"/>
          </w:tcPr>
          <w:p>
            <w:r/>
            <w:r>
              <w:rPr>
                <w:b/>
              </w:rPr>
              <w:t>Issue management</w:t>
            </w:r>
          </w:p>
        </w:tc>
        <w:tc>
          <w:tcPr>
            <w:tcW w:type="dxa" w:w="4320"/>
          </w:tcPr>
          <w:p>
            <w:r/>
            <w:r>
              <w:t>IPO/FPO/rights issue lifecycle management; prospectus preparation support; Board-facing filing workflow aligned to the active prospectus / due-diligence submission pack and current post-issue close reporting baseline (</w:t>
            </w:r>
            <w:r>
              <w:rPr>
                <w:rFonts w:ascii="Courier New" w:hAnsi="Courier New"/>
                <w:sz w:val="20"/>
              </w:rPr>
              <w:t>Ref: LCA-025</w:t>
            </w:r>
            <w:r>
              <w:t xml:space="preserve">, </w:t>
            </w:r>
            <w:r>
              <w:rPr>
                <w:rFonts w:ascii="Courier New" w:hAnsi="Courier New"/>
                <w:sz w:val="20"/>
              </w:rPr>
              <w:t>Ref: LCA-026</w:t>
            </w:r>
            <w:r>
              <w:t>)</w:t>
            </w:r>
          </w:p>
        </w:tc>
      </w:tr>
      <w:tr>
        <w:tc>
          <w:tcPr>
            <w:tcW w:type="dxa" w:w="4320"/>
          </w:tcPr>
          <w:p>
            <w:r/>
            <w:r>
              <w:rPr>
                <w:b/>
              </w:rPr>
              <w:t>Underwriting</w:t>
            </w:r>
          </w:p>
        </w:tc>
        <w:tc>
          <w:tcPr>
            <w:tcW w:type="dxa" w:w="4320"/>
          </w:tcPr>
          <w:p>
            <w:r/>
            <w:r>
              <w:t>Underwriting commitment tracking; syndicate management (where applicable); commitment vs subscription tracking</w:t>
            </w:r>
          </w:p>
        </w:tc>
      </w:tr>
      <w:tr>
        <w:tc>
          <w:tcPr>
            <w:tcW w:type="dxa" w:w="4320"/>
          </w:tcPr>
          <w:p>
            <w:r/>
            <w:r>
              <w:rPr>
                <w:b/>
              </w:rPr>
              <w:t>Application management</w:t>
            </w:r>
          </w:p>
        </w:tc>
        <w:tc>
          <w:tcPr>
            <w:tcW w:type="dxa" w:w="4320"/>
          </w:tcPr>
          <w:p>
            <w:r/>
            <w:r>
              <w:t>Integration with Meroshare for application collection; ASBA bank integration (43 banks); application monitoring dashboard</w:t>
            </w:r>
          </w:p>
        </w:tc>
      </w:tr>
      <w:tr>
        <w:tc>
          <w:tcPr>
            <w:tcW w:type="dxa" w:w="4320"/>
          </w:tcPr>
          <w:p>
            <w:r/>
            <w:r>
              <w:rPr>
                <w:b/>
              </w:rPr>
              <w:t>Allotment</w:t>
            </w:r>
          </w:p>
        </w:tc>
        <w:tc>
          <w:tcPr>
            <w:tcW w:type="dxa" w:w="4320"/>
          </w:tcPr>
          <w:p>
            <w:r/>
            <w:r>
              <w:t>Configurable allotment algorithm (lottery, pro-rata, hybrid); duplicate detection (PAN/National ID across ASBA banks); board-facing allotment and issue-close detail generation within the current 7-day reporting clock, with live template revalidation before filing (</w:t>
            </w:r>
            <w:r>
              <w:rPr>
                <w:rFonts w:ascii="Courier New" w:hAnsi="Courier New"/>
                <w:sz w:val="20"/>
              </w:rPr>
              <w:t>Ref: LCA-026</w:t>
            </w:r>
            <w:r>
              <w:t>)</w:t>
            </w:r>
          </w:p>
        </w:tc>
      </w:tr>
      <w:tr>
        <w:tc>
          <w:tcPr>
            <w:tcW w:type="dxa" w:w="4320"/>
          </w:tcPr>
          <w:p>
            <w:r/>
            <w:r>
              <w:rPr>
                <w:b/>
              </w:rPr>
              <w:t>Escrow management</w:t>
            </w:r>
          </w:p>
        </w:tc>
        <w:tc>
          <w:tcPr>
            <w:tcW w:type="dxa" w:w="4320"/>
          </w:tcPr>
          <w:p>
            <w:r/>
            <w:r>
              <w:t>Escrow account reconciliation; refund processing; ASBA unblock coordination</w:t>
            </w:r>
          </w:p>
        </w:tc>
      </w:tr>
      <w:tr>
        <w:tc>
          <w:tcPr>
            <w:tcW w:type="dxa" w:w="4320"/>
          </w:tcPr>
          <w:p>
            <w:r/>
            <w:r>
              <w:rPr>
                <w:b/>
              </w:rPr>
              <w:t>Due diligence</w:t>
            </w:r>
          </w:p>
        </w:tc>
        <w:tc>
          <w:tcPr>
            <w:tcW w:type="dxa" w:w="4320"/>
          </w:tcPr>
          <w:p>
            <w:r/>
            <w:r>
              <w:t>Due diligence checklist management; document vault; compliance evidence trail</w:t>
            </w:r>
          </w:p>
        </w:tc>
      </w:tr>
      <w:tr>
        <w:tc>
          <w:tcPr>
            <w:tcW w:type="dxa" w:w="4320"/>
          </w:tcPr>
          <w:p>
            <w:r/>
            <w:r>
              <w:rPr>
                <w:b/>
              </w:rPr>
              <w:t>Post-issuance</w:t>
            </w:r>
          </w:p>
        </w:tc>
        <w:tc>
          <w:tcPr>
            <w:tcW w:type="dxa" w:w="4320"/>
          </w:tcPr>
          <w:p>
            <w:r/>
            <w:r>
              <w:t>Listing application to NEPSE; post-listing monitoring; investor servicing</w:t>
            </w:r>
          </w:p>
        </w:tc>
      </w:tr>
      <w:tr>
        <w:tc>
          <w:tcPr>
            <w:tcW w:type="dxa" w:w="4320"/>
          </w:tcPr>
          <w:p>
            <w:r/>
            <w:r>
              <w:rPr>
                <w:b/>
              </w:rPr>
              <w:t>Reporting</w:t>
            </w:r>
          </w:p>
        </w:tc>
        <w:tc>
          <w:tcPr>
            <w:tcW w:type="dxa" w:w="4320"/>
          </w:tcPr>
          <w:p>
            <w:r/>
            <w:r>
              <w:t>Board-facing allotment and issue-close reports due within the current 7-day post-completion window (</w:t>
            </w:r>
            <w:r>
              <w:rPr>
                <w:rFonts w:ascii="Courier New" w:hAnsi="Courier New"/>
                <w:sz w:val="20"/>
              </w:rPr>
              <w:t>Ref: LCA-026</w:t>
            </w:r>
            <w:r>
              <w:t>); due diligence certificate (</w:t>
            </w:r>
            <w:r>
              <w:rPr>
                <w:rFonts w:ascii="Courier New" w:hAnsi="Courier New"/>
                <w:sz w:val="20"/>
              </w:rPr>
              <w:t>Ref: LCA-025</w:t>
            </w:r>
            <w:r>
              <w:t>); issue summary report; demand analysis report</w:t>
            </w:r>
          </w:p>
        </w:tc>
      </w:tr>
    </w:tbl>
    <w:p>
      <w:r>
        <w:rPr>
          <w:b/>
        </w:rPr>
        <w:t>AI capabilities:</w:t>
      </w:r>
    </w:p>
    <w:p>
      <w:pPr>
        <w:pStyle w:val="ListBullet"/>
      </w:pPr>
      <w:r>
        <w:t>AI-powered prospectus validation against prescribed disclosure structure and internal rulebook (</w:t>
      </w:r>
      <w:r>
        <w:rPr>
          <w:rFonts w:ascii="Courier New" w:hAnsi="Courier New"/>
          <w:sz w:val="20"/>
        </w:rPr>
        <w:t>Ref: LCA-025</w:t>
      </w:r>
      <w:r>
        <w:t>)</w:t>
      </w:r>
    </w:p>
    <w:p>
      <w:pPr>
        <w:pStyle w:val="ListBullet"/>
      </w:pPr>
      <w:r>
        <w:t>Demand forecasting based on historical IPO data and market conditions</w:t>
      </w:r>
    </w:p>
    <w:p>
      <w:pPr>
        <w:pStyle w:val="ListBullet"/>
      </w:pPr>
      <w:r>
        <w:t>Automated duplicate application detection</w:t>
      </w:r>
    </w:p>
    <w:p>
      <w:pPr>
        <w:pStyle w:val="ListBullet"/>
      </w:pPr>
      <w:r>
        <w:t>AI copilot for merchant bankers ("Show demand curve for current IPO," "Flag any compliance gaps in this prospectus")</w:t>
      </w:r>
    </w:p>
    <w:p>
      <w:pPr>
        <w:pStyle w:val="Heading4"/>
      </w:pPr>
      <w:r>
        <w:t>**5.3. Pack C: Fund Manager (17 Fund Managers)**</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Module</w:t>
            </w:r>
          </w:p>
        </w:tc>
        <w:tc>
          <w:tcPr>
            <w:tcW w:type="dxa" w:w="4320"/>
            <w:shd w:fill="D9EAF7"/>
          </w:tcPr>
          <w:p>
            <w:r>
              <w:rPr>
                <w:b/>
              </w:rPr>
            </w:r>
            <w:r>
              <w:rPr>
                <w:b/>
              </w:rPr>
              <w:t>Capabilities</w:t>
            </w:r>
          </w:p>
        </w:tc>
      </w:tr>
      <w:tr>
        <w:tc>
          <w:tcPr>
            <w:tcW w:type="dxa" w:w="4320"/>
          </w:tcPr>
          <w:p>
            <w:r/>
            <w:r>
              <w:rPr>
                <w:b/>
              </w:rPr>
              <w:t>Portfolio management</w:t>
            </w:r>
          </w:p>
        </w:tc>
        <w:tc>
          <w:tcPr>
            <w:tcW w:type="dxa" w:w="4320"/>
          </w:tcPr>
          <w:p>
            <w:r/>
            <w:r>
              <w:t>Multi-fund portfolio tracking; asset allocation monitoring; rebalancing recommendations</w:t>
            </w:r>
          </w:p>
        </w:tc>
      </w:tr>
      <w:tr>
        <w:tc>
          <w:tcPr>
            <w:tcW w:type="dxa" w:w="4320"/>
          </w:tcPr>
          <w:p>
            <w:r/>
            <w:r>
              <w:rPr>
                <w:b/>
              </w:rPr>
              <w:t>NAV calculation</w:t>
            </w:r>
          </w:p>
        </w:tc>
        <w:tc>
          <w:tcPr>
            <w:tcW w:type="dxa" w:w="4320"/>
          </w:tcPr>
          <w:p>
            <w:r/>
            <w:r>
              <w:t>Automated daily NAV using NEPSE closing prices; multi-source price hierarchy; NAV verification and publication workflow</w:t>
            </w:r>
          </w:p>
        </w:tc>
      </w:tr>
      <w:tr>
        <w:tc>
          <w:tcPr>
            <w:tcW w:type="dxa" w:w="4320"/>
          </w:tcPr>
          <w:p>
            <w:r/>
            <w:r>
              <w:rPr>
                <w:b/>
              </w:rPr>
              <w:t>Unit operations</w:t>
            </w:r>
          </w:p>
        </w:tc>
        <w:tc>
          <w:tcPr>
            <w:tcW w:type="dxa" w:w="4320"/>
          </w:tcPr>
          <w:p>
            <w:r/>
            <w:r>
              <w:t>Purchase/redemption processing; SIP/SWP management; unit holder registry</w:t>
            </w:r>
          </w:p>
        </w:tc>
      </w:tr>
      <w:tr>
        <w:tc>
          <w:tcPr>
            <w:tcW w:type="dxa" w:w="4320"/>
          </w:tcPr>
          <w:p>
            <w:r/>
            <w:r>
              <w:rPr>
                <w:b/>
              </w:rPr>
              <w:t>Distribution</w:t>
            </w:r>
          </w:p>
        </w:tc>
        <w:tc>
          <w:tcPr>
            <w:tcW w:type="dxa" w:w="4320"/>
          </w:tcPr>
          <w:p>
            <w:r/>
            <w:r>
              <w:t>Dividend distribution to unit holders; TDS calculation; payment routing</w:t>
            </w:r>
          </w:p>
        </w:tc>
      </w:tr>
      <w:tr>
        <w:tc>
          <w:tcPr>
            <w:tcW w:type="dxa" w:w="4320"/>
          </w:tcPr>
          <w:p>
            <w:r/>
            <w:r>
              <w:rPr>
                <w:b/>
              </w:rPr>
              <w:t>Compliance</w:t>
            </w:r>
          </w:p>
        </w:tc>
        <w:tc>
          <w:tcPr>
            <w:tcW w:type="dxa" w:w="4320"/>
          </w:tcPr>
          <w:p>
            <w:r/>
            <w:r>
              <w:t>Investment limit monitoring (per SEBON mutual fund regulations); concentration checks; sector exposure limits</w:t>
            </w:r>
          </w:p>
        </w:tc>
      </w:tr>
      <w:tr>
        <w:tc>
          <w:tcPr>
            <w:tcW w:type="dxa" w:w="4320"/>
          </w:tcPr>
          <w:p>
            <w:r/>
            <w:r>
              <w:rPr>
                <w:b/>
              </w:rPr>
              <w:t>Reporting</w:t>
            </w:r>
          </w:p>
        </w:tc>
        <w:tc>
          <w:tcPr>
            <w:tcW w:type="dxa" w:w="4320"/>
          </w:tcPr>
          <w:p>
            <w:r/>
            <w:r>
              <w:t>Board-facing fund reports; investor statements; fund factsheets; portfolio disclosure</w:t>
            </w:r>
          </w:p>
        </w:tc>
      </w:tr>
    </w:tbl>
    <w:p>
      <w:r>
        <w:rPr>
          <w:b/>
        </w:rPr>
        <w:t>AI capabilities:</w:t>
      </w:r>
    </w:p>
    <w:p>
      <w:pPr>
        <w:pStyle w:val="ListBullet"/>
      </w:pPr>
      <w:r>
        <w:t>AI-generated fund factsheets with performance commentary</w:t>
      </w:r>
    </w:p>
    <w:p>
      <w:pPr>
        <w:pStyle w:val="ListBullet"/>
      </w:pPr>
      <w:r>
        <w:t>Anomaly detection in NAV calculations</w:t>
      </w:r>
    </w:p>
    <w:p>
      <w:pPr>
        <w:pStyle w:val="ListBullet"/>
      </w:pPr>
      <w:r>
        <w:t>Portfolio optimization recommendations</w:t>
      </w:r>
    </w:p>
    <w:p>
      <w:pPr>
        <w:pStyle w:val="ListBullet"/>
      </w:pPr>
      <w:r>
        <w:t>Investor suitability matching</w:t>
      </w:r>
    </w:p>
    <w:p>
      <w:pPr>
        <w:pStyle w:val="Heading4"/>
      </w:pPr>
      <w:r>
        <w:t>**5.4. Pack D: Regulator Dashboard (SEBON, NRB)**</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Module</w:t>
            </w:r>
          </w:p>
        </w:tc>
        <w:tc>
          <w:tcPr>
            <w:tcW w:type="dxa" w:w="4320"/>
            <w:shd w:fill="D9EAF7"/>
          </w:tcPr>
          <w:p>
            <w:r>
              <w:rPr>
                <w:b/>
              </w:rPr>
            </w:r>
            <w:r>
              <w:rPr>
                <w:b/>
              </w:rPr>
              <w:t>Capabilities</w:t>
            </w:r>
          </w:p>
        </w:tc>
      </w:tr>
      <w:tr>
        <w:tc>
          <w:tcPr>
            <w:tcW w:type="dxa" w:w="4320"/>
          </w:tcPr>
          <w:p>
            <w:r/>
            <w:r>
              <w:rPr>
                <w:b/>
              </w:rPr>
              <w:t>Market surveillance</w:t>
            </w:r>
          </w:p>
        </w:tc>
        <w:tc>
          <w:tcPr>
            <w:tcW w:type="dxa" w:w="4320"/>
          </w:tcPr>
          <w:p>
            <w:r/>
            <w:r>
              <w:t>Real-time view of trading patterns; unusual activity detection; price manipulation alerts</w:t>
            </w:r>
          </w:p>
        </w:tc>
      </w:tr>
      <w:tr>
        <w:tc>
          <w:tcPr>
            <w:tcW w:type="dxa" w:w="4320"/>
          </w:tcPr>
          <w:p>
            <w:r/>
            <w:r>
              <w:rPr>
                <w:b/>
              </w:rPr>
              <w:t>Intermediary monitoring</w:t>
            </w:r>
          </w:p>
        </w:tc>
        <w:tc>
          <w:tcPr>
            <w:tcW w:type="dxa" w:w="4320"/>
          </w:tcPr>
          <w:p>
            <w:r/>
            <w:r>
              <w:t>Capital adequacy monitoring across all brokers; compliance status dashboard; reporting completeness tracking</w:t>
            </w:r>
          </w:p>
        </w:tc>
      </w:tr>
      <w:tr>
        <w:tc>
          <w:tcPr>
            <w:tcW w:type="dxa" w:w="4320"/>
          </w:tcPr>
          <w:p>
            <w:r/>
            <w:r>
              <w:rPr>
                <w:b/>
              </w:rPr>
              <w:t>Promoter share oversight</w:t>
            </w:r>
          </w:p>
        </w:tc>
        <w:tc>
          <w:tcPr>
            <w:tcW w:type="dxa" w:w="4320"/>
          </w:tcPr>
          <w:p>
            <w:r/>
            <w:r>
              <w:t>Real-time promoter share registry visibility; lock-in status across all companies and sectors; violation alerts</w:t>
            </w:r>
          </w:p>
        </w:tc>
      </w:tr>
      <w:tr>
        <w:tc>
          <w:tcPr>
            <w:tcW w:type="dxa" w:w="4320"/>
          </w:tcPr>
          <w:p>
            <w:r/>
            <w:r>
              <w:rPr>
                <w:b/>
              </w:rPr>
              <w:t>AML/CFT oversight</w:t>
            </w:r>
          </w:p>
        </w:tc>
        <w:tc>
          <w:tcPr>
            <w:tcW w:type="dxa" w:w="4320"/>
          </w:tcPr>
          <w:p>
            <w:r/>
            <w:r>
              <w:t>Cross-market suspicious activity monitoring; entity relationship visualization; investigation case management</w:t>
            </w:r>
          </w:p>
        </w:tc>
      </w:tr>
      <w:tr>
        <w:tc>
          <w:tcPr>
            <w:tcW w:type="dxa" w:w="4320"/>
          </w:tcPr>
          <w:p>
            <w:r/>
            <w:r>
              <w:rPr>
                <w:b/>
              </w:rPr>
              <w:t>Inspection support</w:t>
            </w:r>
          </w:p>
        </w:tc>
        <w:tc>
          <w:tcPr>
            <w:tcW w:type="dxa" w:w="4320"/>
          </w:tcPr>
          <w:p>
            <w:r/>
            <w:r>
              <w:t>On-demand data extraction for inspections; audit trail access; evidence packaging</w:t>
            </w:r>
          </w:p>
        </w:tc>
      </w:tr>
    </w:tbl>
    <w:p>
      <w:pPr>
        <w:pStyle w:val="Heading4"/>
      </w:pPr>
      <w:r>
        <w:t>**5.5. Pack E: Issuer Tools (270+ Listed Companies)**</w:t>
      </w:r>
    </w:p>
    <w:p>
      <w:r>
        <w:rPr>
          <w:b/>
        </w:rPr>
        <w:t>Functional scope:</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Module</w:t>
            </w:r>
          </w:p>
        </w:tc>
        <w:tc>
          <w:tcPr>
            <w:tcW w:type="dxa" w:w="4320"/>
            <w:shd w:fill="D9EAF7"/>
          </w:tcPr>
          <w:p>
            <w:r>
              <w:rPr>
                <w:b/>
              </w:rPr>
            </w:r>
            <w:r>
              <w:rPr>
                <w:b/>
              </w:rPr>
              <w:t>Capabilities</w:t>
            </w:r>
          </w:p>
        </w:tc>
      </w:tr>
      <w:tr>
        <w:tc>
          <w:tcPr>
            <w:tcW w:type="dxa" w:w="4320"/>
          </w:tcPr>
          <w:p>
            <w:r/>
            <w:r>
              <w:rPr>
                <w:b/>
              </w:rPr>
              <w:t>Corporate actions management</w:t>
            </w:r>
          </w:p>
        </w:tc>
        <w:tc>
          <w:tcPr>
            <w:tcW w:type="dxa" w:w="4320"/>
          </w:tcPr>
          <w:p>
            <w:r/>
            <w:r>
              <w:t>Bonus/rights/dividend declaration workflow; record date management; entitlement calculation preview</w:t>
            </w:r>
          </w:p>
        </w:tc>
      </w:tr>
      <w:tr>
        <w:tc>
          <w:tcPr>
            <w:tcW w:type="dxa" w:w="4320"/>
          </w:tcPr>
          <w:p>
            <w:r/>
            <w:r>
              <w:rPr>
                <w:b/>
              </w:rPr>
              <w:t>Shareholder registry</w:t>
            </w:r>
          </w:p>
        </w:tc>
        <w:tc>
          <w:tcPr>
            <w:tcW w:type="dxa" w:w="4320"/>
          </w:tcPr>
          <w:p>
            <w:r/>
            <w:r>
              <w:t>Real-time view of shareholder composition; promoter vs public breakdown; top shareholder analysis</w:t>
            </w:r>
          </w:p>
        </w:tc>
      </w:tr>
      <w:tr>
        <w:tc>
          <w:tcPr>
            <w:tcW w:type="dxa" w:w="4320"/>
          </w:tcPr>
          <w:p>
            <w:r/>
            <w:r>
              <w:rPr>
                <w:b/>
              </w:rPr>
              <w:t>Regulatory filing</w:t>
            </w:r>
          </w:p>
        </w:tc>
        <w:tc>
          <w:tcPr>
            <w:tcW w:type="dxa" w:w="4320"/>
          </w:tcPr>
          <w:p>
            <w:r/>
            <w:r>
              <w:t>Board- and exchange-facing filing workflow for price-sensitive notices, meeting packs, book-closure notices, and periodic issuer disclosures (</w:t>
            </w:r>
            <w:r>
              <w:rPr>
                <w:rFonts w:ascii="Courier New" w:hAnsi="Courier New"/>
                <w:sz w:val="20"/>
              </w:rPr>
              <w:t>Ref: LCA-027</w:t>
            </w:r>
            <w:r>
              <w:t xml:space="preserve">, </w:t>
            </w:r>
            <w:r>
              <w:rPr>
                <w:rFonts w:ascii="Courier New" w:hAnsi="Courier New"/>
                <w:sz w:val="20"/>
              </w:rPr>
              <w:t>Ref: LCA-028</w:t>
            </w:r>
            <w:r>
              <w:t>)</w:t>
            </w:r>
          </w:p>
        </w:tc>
      </w:tr>
      <w:tr>
        <w:tc>
          <w:tcPr>
            <w:tcW w:type="dxa" w:w="4320"/>
          </w:tcPr>
          <w:p>
            <w:r/>
            <w:r>
              <w:rPr>
                <w:b/>
              </w:rPr>
              <w:t>Investor relations</w:t>
            </w:r>
          </w:p>
        </w:tc>
        <w:tc>
          <w:tcPr>
            <w:tcW w:type="dxa" w:w="4320"/>
          </w:tcPr>
          <w:p>
            <w:r/>
            <w:r>
              <w:t>Shareholder communication distribution; AGM management; query handling</w:t>
            </w:r>
          </w:p>
        </w:tc>
      </w:tr>
    </w:tbl>
    <w:p>
      <w:r>
        <w:t>---</w:t>
      </w:r>
    </w:p>
    <w:p>
      <w:pPr>
        <w:pStyle w:val="Heading3"/>
      </w:pPr>
      <w:r>
        <w:t>**6. Plugin Ecosystem: Nepal-Specific Plugins**</w:t>
      </w:r>
    </w:p>
    <w:p>
      <w:r>
        <w:t>Beyond the core operator packs, plugins enable rapid localization and ecosystem growth.</w:t>
      </w:r>
    </w:p>
    <w:p>
      <w:pPr>
        <w:pStyle w:val="Heading4"/>
      </w:pPr>
      <w:r>
        <w:t>**6.1. High-Value Plugin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Plugin</w:t>
            </w:r>
          </w:p>
        </w:tc>
        <w:tc>
          <w:tcPr>
            <w:tcW w:type="dxa" w:w="2160"/>
            <w:shd w:fill="D9EAF7"/>
          </w:tcPr>
          <w:p>
            <w:r>
              <w:rPr>
                <w:b/>
              </w:rPr>
            </w:r>
            <w:r>
              <w:rPr>
                <w:b/>
              </w:rPr>
              <w:t>Target users</w:t>
            </w:r>
          </w:p>
        </w:tc>
        <w:tc>
          <w:tcPr>
            <w:tcW w:type="dxa" w:w="2160"/>
            <w:shd w:fill="D9EAF7"/>
          </w:tcPr>
          <w:p>
            <w:r>
              <w:rPr>
                <w:b/>
              </w:rPr>
            </w:r>
            <w:r>
              <w:rPr>
                <w:b/>
              </w:rPr>
              <w:t>Core functionality</w:t>
            </w:r>
          </w:p>
        </w:tc>
        <w:tc>
          <w:tcPr>
            <w:tcW w:type="dxa" w:w="2160"/>
            <w:shd w:fill="D9EAF7"/>
          </w:tcPr>
          <w:p>
            <w:r>
              <w:rPr>
                <w:b/>
              </w:rPr>
            </w:r>
            <w:r>
              <w:rPr>
                <w:b/>
              </w:rPr>
              <w:t>Revenue model</w:t>
            </w:r>
          </w:p>
        </w:tc>
      </w:tr>
      <w:tr>
        <w:tc>
          <w:tcPr>
            <w:tcW w:type="dxa" w:w="2160"/>
          </w:tcPr>
          <w:p>
            <w:r/>
            <w:r>
              <w:rPr>
                <w:b/>
              </w:rPr>
              <w:t>eKYC &amp; National ID Pack</w:t>
            </w:r>
          </w:p>
        </w:tc>
        <w:tc>
          <w:tcPr>
            <w:tcW w:type="dxa" w:w="2160"/>
          </w:tcPr>
          <w:p>
            <w:r/>
            <w:r>
              <w:t>All intermediaries</w:t>
            </w:r>
          </w:p>
        </w:tc>
        <w:tc>
          <w:tcPr>
            <w:tcW w:type="dxa" w:w="2160"/>
          </w:tcPr>
          <w:p>
            <w:r/>
            <w:r>
              <w:t>Approval-dependent eKYC connector for NRB-approved National ID workflows, subject to access approval and interface availability; assisted onboarding; biometric verification hooks where legally available</w:t>
            </w:r>
          </w:p>
        </w:tc>
        <w:tc>
          <w:tcPr>
            <w:tcW w:type="dxa" w:w="2160"/>
          </w:tcPr>
          <w:p>
            <w:r/>
            <w:r>
              <w:t>Per-verification fee</w:t>
            </w:r>
          </w:p>
        </w:tc>
      </w:tr>
      <w:tr>
        <w:tc>
          <w:tcPr>
            <w:tcW w:type="dxa" w:w="2160"/>
          </w:tcPr>
          <w:p>
            <w:r/>
            <w:r>
              <w:rPr>
                <w:b/>
              </w:rPr>
              <w:t>Promoter Share Management Pack</w:t>
            </w:r>
          </w:p>
        </w:tc>
        <w:tc>
          <w:tcPr>
            <w:tcW w:type="dxa" w:w="2160"/>
          </w:tcPr>
          <w:p>
            <w:r/>
            <w:r>
              <w:t>Issuers, CDSC, brokers</w:t>
            </w:r>
          </w:p>
        </w:tc>
        <w:tc>
          <w:tcPr>
            <w:tcW w:type="dxa" w:w="2160"/>
          </w:tcPr>
          <w:p>
            <w:r/>
            <w:r>
              <w:t>Manages entire lifecycle of promoter shares: lock-in periods, conversion requests, regulatory approval workflows; SEBON/NRB/Beema Samiti multi-regulator approval routing</w:t>
            </w:r>
          </w:p>
        </w:tc>
        <w:tc>
          <w:tcPr>
            <w:tcW w:type="dxa" w:w="2160"/>
          </w:tcPr>
          <w:p>
            <w:r/>
            <w:r>
              <w:t>Subscription + per-issuer fee</w:t>
            </w:r>
          </w:p>
        </w:tc>
      </w:tr>
      <w:tr>
        <w:tc>
          <w:tcPr>
            <w:tcW w:type="dxa" w:w="2160"/>
          </w:tcPr>
          <w:p>
            <w:r/>
            <w:r>
              <w:rPr>
                <w:b/>
              </w:rPr>
              <w:t>Margin Trading &amp; Risk Pack</w:t>
            </w:r>
          </w:p>
        </w:tc>
        <w:tc>
          <w:tcPr>
            <w:tcW w:type="dxa" w:w="2160"/>
          </w:tcPr>
          <w:p>
            <w:r/>
            <w:r>
              <w:t>Brokers</w:t>
            </w:r>
          </w:p>
        </w:tc>
        <w:tc>
          <w:tcPr>
            <w:tcW w:type="dxa" w:w="2160"/>
          </w:tcPr>
          <w:p>
            <w:r/>
            <w:r>
              <w:t>Implements SEBON's Margin Trading Directive 2082; automated margin calls, eligibility checking, portfolio stress-testing</w:t>
            </w:r>
          </w:p>
        </w:tc>
        <w:tc>
          <w:tcPr>
            <w:tcW w:type="dxa" w:w="2160"/>
          </w:tcPr>
          <w:p>
            <w:r/>
            <w:r>
              <w:t>Subscription per broker</w:t>
            </w:r>
          </w:p>
        </w:tc>
      </w:tr>
      <w:tr>
        <w:tc>
          <w:tcPr>
            <w:tcW w:type="dxa" w:w="2160"/>
          </w:tcPr>
          <w:p>
            <w:r/>
            <w:r>
              <w:rPr>
                <w:b/>
              </w:rPr>
              <w:t>Regulatory Reporting Pack</w:t>
            </w:r>
          </w:p>
        </w:tc>
        <w:tc>
          <w:tcPr>
            <w:tcW w:type="dxa" w:w="2160"/>
          </w:tcPr>
          <w:p>
            <w:r/>
            <w:r>
              <w:t>All intermediaries</w:t>
            </w:r>
          </w:p>
        </w:tc>
        <w:tc>
          <w:tcPr>
            <w:tcW w:type="dxa" w:w="2160"/>
          </w:tcPr>
          <w:p>
            <w:r/>
            <w:r>
              <w:t>Auto-generates all SEBON/NRB periodic reports; AI-validated data; PDF/Excel/XML output</w:t>
            </w:r>
          </w:p>
        </w:tc>
        <w:tc>
          <w:tcPr>
            <w:tcW w:type="dxa" w:w="2160"/>
          </w:tcPr>
          <w:p>
            <w:r/>
            <w:r>
              <w:t>Subscription</w:t>
            </w:r>
          </w:p>
        </w:tc>
      </w:tr>
      <w:tr>
        <w:tc>
          <w:tcPr>
            <w:tcW w:type="dxa" w:w="2160"/>
          </w:tcPr>
          <w:p>
            <w:r/>
            <w:r>
              <w:rPr>
                <w:b/>
              </w:rPr>
              <w:t>Cyber Resilience &amp; CERT Workflow Pack</w:t>
            </w:r>
          </w:p>
        </w:tc>
        <w:tc>
          <w:tcPr>
            <w:tcW w:type="dxa" w:w="2160"/>
          </w:tcPr>
          <w:p>
            <w:r/>
            <w:r>
              <w:t>All intermediaries</w:t>
            </w:r>
          </w:p>
        </w:tc>
        <w:tc>
          <w:tcPr>
            <w:tcW w:type="dxa" w:w="2160"/>
          </w:tcPr>
          <w:p>
            <w:r/>
            <w:r>
              <w:t>Monitors environment for threats; orchestrates approved remediation workflows; formats audit evidence for regulator or sector-CERT submission workflows if and when a formal operating process is published</w:t>
            </w:r>
          </w:p>
        </w:tc>
        <w:tc>
          <w:tcPr>
            <w:tcW w:type="dxa" w:w="2160"/>
          </w:tcPr>
          <w:p>
            <w:r/>
            <w:r>
              <w:t>Subscription</w:t>
            </w:r>
          </w:p>
        </w:tc>
      </w:tr>
      <w:tr>
        <w:tc>
          <w:tcPr>
            <w:tcW w:type="dxa" w:w="2160"/>
          </w:tcPr>
          <w:p>
            <w:r/>
            <w:r>
              <w:rPr>
                <w:b/>
              </w:rPr>
              <w:t>connectIPS Payment Pack</w:t>
            </w:r>
          </w:p>
        </w:tc>
        <w:tc>
          <w:tcPr>
            <w:tcW w:type="dxa" w:w="2160"/>
          </w:tcPr>
          <w:p>
            <w:r/>
            <w:r>
              <w:t>Brokers, banks</w:t>
            </w:r>
          </w:p>
        </w:tc>
        <w:tc>
          <w:tcPr>
            <w:tcW w:type="dxa" w:w="2160"/>
          </w:tcPr>
          <w:p>
            <w:r/>
            <w:r>
              <w:t>Direct payment integration for settlement, dividend payments, IPO fund transfers</w:t>
            </w:r>
          </w:p>
        </w:tc>
        <w:tc>
          <w:tcPr>
            <w:tcW w:type="dxa" w:w="2160"/>
          </w:tcPr>
          <w:p>
            <w:r/>
            <w:r>
              <w:t>Transaction fee</w:t>
            </w:r>
          </w:p>
        </w:tc>
      </w:tr>
      <w:tr>
        <w:tc>
          <w:tcPr>
            <w:tcW w:type="dxa" w:w="2160"/>
          </w:tcPr>
          <w:p>
            <w:r/>
            <w:r>
              <w:rPr>
                <w:b/>
              </w:rPr>
              <w:t>BS Calendar &amp; Tax Pack</w:t>
            </w:r>
          </w:p>
        </w:tc>
        <w:tc>
          <w:tcPr>
            <w:tcW w:type="dxa" w:w="2160"/>
          </w:tcPr>
          <w:p>
            <w:r/>
            <w:r>
              <w:t>All operators</w:t>
            </w:r>
          </w:p>
        </w:tc>
        <w:tc>
          <w:tcPr>
            <w:tcW w:type="dxa" w:w="2160"/>
          </w:tcPr>
          <w:p>
            <w:r/>
            <w:r>
              <w:t>Bikram Sambat fiscal year engine; capital gains calculator; TDS automation; tax filing report generation</w:t>
            </w:r>
          </w:p>
        </w:tc>
        <w:tc>
          <w:tcPr>
            <w:tcW w:type="dxa" w:w="2160"/>
          </w:tcPr>
          <w:p>
            <w:r/>
            <w:r>
              <w:t>Subscription</w:t>
            </w:r>
          </w:p>
        </w:tc>
      </w:tr>
      <w:tr>
        <w:tc>
          <w:tcPr>
            <w:tcW w:type="dxa" w:w="2160"/>
          </w:tcPr>
          <w:p>
            <w:r/>
            <w:r>
              <w:rPr>
                <w:b/>
              </w:rPr>
              <w:t>NEPSE Analytics Pack</w:t>
            </w:r>
          </w:p>
        </w:tc>
        <w:tc>
          <w:tcPr>
            <w:tcW w:type="dxa" w:w="2160"/>
          </w:tcPr>
          <w:p>
            <w:r/>
            <w:r>
              <w:t>Brokers, fund managers</w:t>
            </w:r>
          </w:p>
        </w:tc>
        <w:tc>
          <w:tcPr>
            <w:tcW w:type="dxa" w:w="2160"/>
          </w:tcPr>
          <w:p>
            <w:r/>
            <w:r>
              <w:t>Real-time index tracking; sector analytics; technical indicators; AI-powered market sentiment analysis from Nepali financial news</w:t>
            </w:r>
          </w:p>
        </w:tc>
        <w:tc>
          <w:tcPr>
            <w:tcW w:type="dxa" w:w="2160"/>
          </w:tcPr>
          <w:p>
            <w:r/>
            <w:r>
              <w:t>Subscription</w:t>
            </w:r>
          </w:p>
        </w:tc>
      </w:tr>
      <w:tr>
        <w:tc>
          <w:tcPr>
            <w:tcW w:type="dxa" w:w="2160"/>
          </w:tcPr>
          <w:p>
            <w:r/>
            <w:r>
              <w:rPr>
                <w:b/>
              </w:rPr>
              <w:t>Nepali Language NLP Pack</w:t>
            </w:r>
          </w:p>
        </w:tc>
        <w:tc>
          <w:tcPr>
            <w:tcW w:type="dxa" w:w="2160"/>
          </w:tcPr>
          <w:p>
            <w:r/>
            <w:r>
              <w:t>All</w:t>
            </w:r>
          </w:p>
        </w:tc>
        <w:tc>
          <w:tcPr>
            <w:tcW w:type="dxa" w:w="2160"/>
          </w:tcPr>
          <w:p>
            <w:r/>
            <w:r>
              <w:t>Devanagari text processing for document extraction, regulatory circular parsing, investor communication in Nepali</w:t>
            </w:r>
          </w:p>
        </w:tc>
        <w:tc>
          <w:tcPr>
            <w:tcW w:type="dxa" w:w="2160"/>
          </w:tcPr>
          <w:p>
            <w:r/>
            <w:r>
              <w:t>Platform bundled</w:t>
            </w:r>
          </w:p>
        </w:tc>
      </w:tr>
      <w:tr>
        <w:tc>
          <w:tcPr>
            <w:tcW w:type="dxa" w:w="2160"/>
          </w:tcPr>
          <w:p>
            <w:r/>
            <w:r>
              <w:rPr>
                <w:b/>
              </w:rPr>
              <w:t>Specialized Investment Fund Pack</w:t>
            </w:r>
          </w:p>
        </w:tc>
        <w:tc>
          <w:tcPr>
            <w:tcW w:type="dxa" w:w="2160"/>
          </w:tcPr>
          <w:p>
            <w:r/>
            <w:r>
              <w:t>SIF managers, institutional operators</w:t>
            </w:r>
          </w:p>
        </w:tc>
        <w:tc>
          <w:tcPr>
            <w:tcW w:type="dxa" w:w="2160"/>
          </w:tcPr>
          <w:p>
            <w:r/>
            <w:r>
              <w:t>Fund setup, mandate controls, investor eligibility, reporting, and compliance workflows tailored to SEBON SIF structures</w:t>
            </w:r>
          </w:p>
        </w:tc>
        <w:tc>
          <w:tcPr>
            <w:tcW w:type="dxa" w:w="2160"/>
          </w:tcPr>
          <w:p>
            <w:r/>
            <w:r>
              <w:t>Subscription + implementation</w:t>
            </w:r>
          </w:p>
        </w:tc>
      </w:tr>
      <w:tr>
        <w:tc>
          <w:tcPr>
            <w:tcW w:type="dxa" w:w="2160"/>
          </w:tcPr>
          <w:p>
            <w:r/>
            <w:r>
              <w:rPr>
                <w:b/>
              </w:rPr>
              <w:t>RTA / Registrar Pack</w:t>
            </w:r>
          </w:p>
        </w:tc>
        <w:tc>
          <w:tcPr>
            <w:tcW w:type="dxa" w:w="2160"/>
          </w:tcPr>
          <w:p>
            <w:r/>
            <w:r>
              <w:t>RTAs, issuers, depository-linked operators</w:t>
            </w:r>
          </w:p>
        </w:tc>
        <w:tc>
          <w:tcPr>
            <w:tcW w:type="dxa" w:w="2160"/>
          </w:tcPr>
          <w:p>
            <w:r/>
            <w:r>
              <w:t>Shareholder registry operations, transfer workflows, book-closure snapshots, entitlement data servicing</w:t>
            </w:r>
          </w:p>
        </w:tc>
        <w:tc>
          <w:tcPr>
            <w:tcW w:type="dxa" w:w="2160"/>
          </w:tcPr>
          <w:p>
            <w:r/>
            <w:r>
              <w:t>Subscription + per-issuer fee</w:t>
            </w:r>
          </w:p>
        </w:tc>
      </w:tr>
    </w:tbl>
    <w:p>
      <w:pPr>
        <w:pStyle w:val="Heading4"/>
      </w:pPr>
      <w:r>
        <w:t>**6.2. Plugin Manifest Example (Nepal)**</w:t>
      </w:r>
    </w:p>
    <w:p>
      <w:r>
        <w:t>This manifest is illustrative only. It shows interface and governance shape, not proof of existing certifications, domains, or production approvals.</w:t>
      </w:r>
    </w:p>
    <w:p>
      <w:pPr>
        <w:shd w:fill="F5F5F5"/>
      </w:pPr>
      <w:r>
        <w:rPr>
          <w:b/>
          <w:sz w:val="18"/>
        </w:rPr>
        <w:t>JSON</w:t>
        <w:br/>
      </w:r>
      <w:r>
        <w:rPr>
          <w:rFonts w:ascii="Courier New" w:hAnsi="Courier New"/>
          <w:sz w:val="18"/>
        </w:rPr>
        <w:t>{</w:t>
        <w:br/>
        <w:t xml:space="preserve">  "name": "np.promoter-share-manager",</w:t>
        <w:br/>
        <w:t xml:space="preserve">  "version": "1.0.0",</w:t>
        <w:br/>
        <w:t xml:space="preserve">  "vendor": {</w:t>
        <w:br/>
        <w:t xml:space="preserve">    "name": "Siddhanta Capital Technologies",</w:t>
        <w:br/>
        <w:t xml:space="preserve">    "website": "https://siddhanta.com.np",</w:t>
        <w:br/>
        <w:t xml:space="preserve">    "support_email": "compliance@siddhanta.com.np"</w:t>
        <w:br/>
        <w:t xml:space="preserve">  },</w:t>
        <w:br/>
        <w:t xml:space="preserve">  "description": "Manages the full lifecycle of promoter shares across all sectors, supporting multi-regulator approval workflows (SEBON, NRB, Beema Samiti) with immutable audit trails.",</w:t>
        <w:br/>
        <w:t xml:space="preserve">  "capabilities": [</w:t>
        <w:br/>
        <w:t xml:space="preserve">    "issuer.promoter_share_mgmt",</w:t>
        <w:br/>
        <w:t xml:space="preserve">    "reg_reporting.sebon",</w:t>
        <w:br/>
        <w:t xml:space="preserve">    "ai.agent"</w:t>
        <w:br/>
        <w:t xml:space="preserve">  ],</w:t>
        <w:br/>
        <w:t xml:space="preserve">  "interfaces": {</w:t>
        <w:br/>
        <w:t xml:space="preserve">    "api": { "openapi": "./promoter-api.yaml" },</w:t>
        <w:br/>
        <w:t xml:space="preserve">    "events": {</w:t>
        <w:br/>
        <w:t xml:space="preserve">      "publishes": ["PromoterLockExpired", "PromoterTransferRequested", "LockViolationDetected"],</w:t>
        <w:br/>
        <w:t xml:space="preserve">      "subscribes": ["TradeExecuted", "SettlementInitiated", "ShareTransferRequested"]</w:t>
        <w:br/>
        <w:t xml:space="preserve">    },</w:t>
        <w:br/>
        <w:t xml:space="preserve">    "data_contracts": [</w:t>
        <w:br/>
        <w:t xml:space="preserve">      {</w:t>
        <w:br/>
        <w:t xml:space="preserve">        "name": "Promoter Record",</w:t>
        <w:br/>
        <w:t xml:space="preserve">        "schema": "./schemas/promoter.avsc",</w:t>
        <w:br/>
        <w:t xml:space="preserve">        "classification": "restricted"</w:t>
        <w:br/>
        <w:t xml:space="preserve">      },</w:t>
        <w:br/>
        <w:t xml:space="preserve">      {</w:t>
        <w:br/>
        <w:t xml:space="preserve">        "name": "Lock-in Schedule",</w:t>
        <w:br/>
        <w:t xml:space="preserve">        "schema": "./schemas/lockin-schedule.avsc",</w:t>
        <w:br/>
        <w:t xml:space="preserve">        "classification": "confidential"</w:t>
        <w:br/>
        <w:t xml:space="preserve">      }</w:t>
        <w:br/>
        <w:t xml:space="preserve">    ]</w:t>
        <w:br/>
        <w:t xml:space="preserve">  },</w:t>
        <w:br/>
        <w:t xml:space="preserve">  "security": {</w:t>
        <w:br/>
        <w:t xml:space="preserve">    "permissions": ["read.positions", "read.client_pii", "write.lock_status", "export.reg_reports"],</w:t>
        <w:br/>
        <w:t xml:space="preserve">    "secrets": [</w:t>
        <w:br/>
        <w:t xml:space="preserve">      { "name": "cdsc_api_key", "type": "api_key" },</w:t>
        <w:br/>
        <w:t xml:space="preserve">      { "name": "sebon_report_cert", "type": "certificate" }</w:t>
        <w:br/>
        <w:t xml:space="preserve">    ],</w:t>
        <w:br/>
        <w:t xml:space="preserve">    "audit": {</w:t>
        <w:br/>
        <w:t xml:space="preserve">      "log_level": "verbose",</w:t>
        <w:br/>
        <w:t xml:space="preserve">      "pii_redaction": true,</w:t>
        <w:br/>
        <w:t xml:space="preserve">      "ai_decision_logging": true</w:t>
        <w:br/>
        <w:t xml:space="preserve">    }</w:t>
        <w:br/>
        <w:t xml:space="preserve">  },</w:t>
        <w:br/>
        <w:t xml:space="preserve">  "ai_governance": {</w:t>
        <w:br/>
        <w:t xml:space="preserve">    "models_used": [</w:t>
        <w:br/>
        <w:t xml:space="preserve">      {</w:t>
        <w:br/>
        <w:t xml:space="preserve">        "name": "lock-violation-detector",</w:t>
        <w:br/>
        <w:t xml:space="preserve">        "type": "classification",</w:t>
        <w:br/>
        <w:t xml:space="preserve">        "version": "1.0.0",</w:t>
        <w:br/>
        <w:t xml:space="preserve">        "purpose": "Detect attempted trading of locked promoter shares by comparing transaction attributes against lock-in rules",</w:t>
        <w:br/>
        <w:t xml:space="preserve">        "training_data_description": "Historical trade data and lock-in schedules from CDSC (anonymized)",</w:t>
        <w:br/>
        <w:t xml:space="preserve">        "explainability_method": "rule_extraction"</w:t>
        <w:br/>
        <w:t xml:space="preserve">      }</w:t>
        <w:br/>
        <w:t xml:space="preserve">    ],</w:t>
        <w:br/>
        <w:t xml:space="preserve">    "human_oversight": "human_in_the_loop",</w:t>
        <w:br/>
        <w:t xml:space="preserve">    "max_autonomous_impact": {</w:t>
        <w:br/>
        <w:t xml:space="preserve">      "financial_limit_usd": 0,</w:t>
        <w:br/>
        <w:t xml:space="preserve">      "affected_accounts_limit": 1,</w:t>
        <w:br/>
        <w:t xml:space="preserve">      "description": "AI can recommend hold/block actions; deterministic lock rules enforce approved controls; lock-in schedules cannot be modified without human approval"</w:t>
        <w:br/>
        <w:t xml:space="preserve">    },</w:t>
        <w:br/>
        <w:t xml:space="preserve">    "fallback_behavior": "Fall back to strict rule-based blocking using lock_in_end_date attribute; all transactions involving promoter-tagged shares queued for manual review"</w:t>
        <w:br/>
        <w:t xml:space="preserve">  },</w:t>
        <w:br/>
        <w:t xml:space="preserve">  "compatibility": {</w:t>
        <w:br/>
        <w:t xml:space="preserve">    "platform_min_version": "2.0.0",</w:t>
        <w:br/>
        <w:t xml:space="preserve">    "platform_max_tested_version": "2.1.0",</w:t>
        <w:br/>
        <w:t xml:space="preserve">    "required_ai_services": ["agent_orchestrator", "knowledge_graph"],</w:t>
        <w:br/>
        <w:t xml:space="preserve">    "required_nepal_integrations": ["cdsc_api", "national_id_gateway"]</w:t>
        <w:br/>
        <w:t xml:space="preserve">  },</w:t>
        <w:br/>
        <w:t xml:space="preserve">  "certification": {</w:t>
        <w:br/>
        <w:t xml:space="preserve">    "tier": "regulated_critical",</w:t>
        <w:br/>
        <w:t xml:space="preserve">    "evidence": [</w:t>
        <w:br/>
        <w:t xml:space="preserve">      { "type": "pen_test_report", "uri": "https://certs.siddhanta.com.np/ptest-2026-q1.pdf" },</w:t>
        <w:br/>
        <w:t xml:space="preserve">      { "type": "ai_model_card", "uri": "https://certs.siddhanta.com.np/lock-detector-card.pdf" },</w:t>
        <w:br/>
        <w:t xml:space="preserve">      { "type": "ai_bias_audit", "uri": "https://certs.siddhanta.com.np/lock-detector-bias.pdf" },</w:t>
        <w:br/>
        <w:t xml:space="preserve">      { "type": "integration_conformance", "uri": "https://certs.siddhanta.com.np/cdsc-conformance.pdf" }</w:t>
        <w:br/>
        <w:t xml:space="preserve">    ]</w:t>
        <w:br/>
        <w:t xml:space="preserve">  }</w:t>
        <w:br/>
        <w:t>}</w:t>
      </w:r>
    </w:p>
    <w:p>
      <w:r>
        <w:t>---</w:t>
      </w:r>
    </w:p>
    <w:p>
      <w:pPr>
        <w:pStyle w:val="Heading3"/>
      </w:pPr>
      <w:r>
        <w:t>**7. Implementation Roadmap for Nepal**</w:t>
      </w:r>
    </w:p>
    <w:p>
      <w:r>
        <w:t>Given the immediate market crisis and regulatory openings, the timeline is accelerated. Each phase is designed to deliver standalone commercial value while building toward the full platform vision.</w:t>
      </w:r>
    </w:p>
    <w:p>
      <w:pPr>
        <w:pStyle w:val="Heading4"/>
      </w:pPr>
      <w:r>
        <w:t>**Phase 0: Foundation &amp; Regulatory Engagement (0–3 Months)**</w:t>
      </w:r>
    </w:p>
    <w:p>
      <w:r>
        <w:rPr>
          <w:b/>
        </w:rPr>
        <w:t>Goal:</w:t>
      </w:r>
      <w:r>
        <w:t xml:space="preserve"> Establish relationships, secure data access, and build the core platform skeleton.</w:t>
      </w:r>
    </w:p>
    <w:p>
      <w:r>
        <w:rPr>
          <w:b/>
        </w:rPr>
        <w:t>Deliverables:</w:t>
      </w:r>
    </w:p>
    <w:p>
      <w:pPr>
        <w:pStyle w:val="ListNumber"/>
      </w:pPr>
      <w:r>
        <w:t>Formal engagement with SEBON and CDSC to present the promoter share solution concept.</w:t>
      </w:r>
    </w:p>
    <w:p>
      <w:pPr>
        <w:pStyle w:val="ListNumber"/>
      </w:pPr>
      <w:r>
        <w:t>MOU with CDSC for API access (demat data, settlement feed, Meroshare integration).</w:t>
      </w:r>
    </w:p>
    <w:p>
      <w:pPr>
        <w:pStyle w:val="ListNumber"/>
      </w:pPr>
      <w:r>
        <w:t>Core platform infrastructure: Kubernetes cluster, event store, identity service, audit service.</w:t>
      </w:r>
    </w:p>
    <w:p>
      <w:pPr>
        <w:pStyle w:val="ListNumber"/>
      </w:pPr>
      <w:r>
        <w:t>Bi-directional BS↔Gregorian calendar service with NEPSE holiday calendar.</w:t>
      </w:r>
    </w:p>
    <w:p>
      <w:pPr>
        <w:pStyle w:val="ListNumber"/>
      </w:pPr>
      <w:r>
        <w:t>National ID integration proof-of-concept.</w:t>
      </w:r>
    </w:p>
    <w:p>
      <w:r>
        <w:rPr>
          <w:b/>
        </w:rPr>
        <w:t>Team:</w:t>
      </w:r>
      <w:r>
        <w:t xml:space="preserve"> 10–15 FTEs (architects, platform engineers, regulatory liaison).</w:t>
      </w:r>
    </w:p>
    <w:p>
      <w:r>
        <w:rPr>
          <w:b/>
        </w:rPr>
        <w:t>Cost:</w:t>
      </w:r>
      <w:r>
        <w:t xml:space="preserve"> $0.5M–$1.5M.</w:t>
      </w:r>
    </w:p>
    <w:p>
      <w:pPr>
        <w:pStyle w:val="Heading4"/>
      </w:pPr>
      <w:r>
        <w:t>**Phase 1: The "Regulatory Clarity" MVP (3–12 Months)**</w:t>
      </w:r>
    </w:p>
    <w:p>
      <w:r>
        <w:rPr>
          <w:b/>
        </w:rPr>
        <w:t>Goal:</w:t>
      </w:r>
      <w:r>
        <w:t xml:space="preserve"> Solve the immediate ISIN/promoter share crisis and prove the platform's value.</w:t>
      </w:r>
    </w:p>
    <w:p>
      <w:r>
        <w:rPr>
          <w:b/>
        </w:rPr>
        <w:t>Deliverables:</w:t>
      </w:r>
    </w:p>
    <w:p>
      <w:pPr>
        <w:pStyle w:val="ListNumber"/>
      </w:pPr>
      <w:r>
        <w:t>Core event-sourced ledger with attribute-based share classification.</w:t>
      </w:r>
    </w:p>
    <w:p>
      <w:pPr>
        <w:pStyle w:val="ListNumber"/>
      </w:pPr>
      <w:r>
        <w:rPr>
          <w:b/>
        </w:rPr>
        <w:t>Promoter Share Management Pack</w:t>
      </w:r>
      <w:r>
        <w:t>: standalone module for managing locked shares with immutable auditability, multi-regulator approval workflows (SEBON/NRB/Beema Samiti routing).</w:t>
      </w:r>
    </w:p>
    <w:p>
      <w:pPr>
        <w:pStyle w:val="ListNumber"/>
      </w:pPr>
      <w:r>
        <w:rPr>
          <w:b/>
        </w:rPr>
        <w:t>Promoter Share Compliance Agent</w:t>
      </w:r>
      <w:r>
        <w:t>: policy-engine backed monitoring, with deterministic handling of clear rule breaches where legally permitted and human-reviewed exception queues.</w:t>
      </w:r>
    </w:p>
    <w:p>
      <w:pPr>
        <w:pStyle w:val="ListNumber"/>
      </w:pPr>
      <w:r>
        <w:rPr>
          <w:b/>
        </w:rPr>
        <w:t>Regulator Dashboard v1</w:t>
      </w:r>
      <w:r>
        <w:t>: real-time view of promoter shareholdings, lock-in status, and violation alerts for a pilot group of companies.</w:t>
      </w:r>
    </w:p>
    <w:p>
      <w:pPr>
        <w:pStyle w:val="ListNumber"/>
      </w:pPr>
      <w:r>
        <w:t>Knowledge graph loaded with company-promoter-sector-regulator relationships.</w:t>
      </w:r>
    </w:p>
    <w:p>
      <w:pPr>
        <w:pStyle w:val="ListNumber"/>
      </w:pPr>
      <w:r>
        <w:t>Basic NEPSE floorsheet reconciliation engine.</w:t>
      </w:r>
    </w:p>
    <w:p>
      <w:r>
        <w:rPr>
          <w:b/>
        </w:rPr>
        <w:t>Key metrics:</w:t>
      </w:r>
    </w:p>
    <w:p>
      <w:pPr>
        <w:pStyle w:val="ListBullet"/>
      </w:pPr>
      <w:r>
        <w:t>Validation recall target &gt;=99% on labeled promoter-share test scenarios, with all detected exceptions routed to reviewed queues during pilot.</w:t>
      </w:r>
    </w:p>
    <w:p>
      <w:pPr>
        <w:pStyle w:val="ListBullet"/>
      </w:pPr>
      <w:r>
        <w:t>Regulator dashboard response time &lt;2 seconds for standard queries on pilot-sized datasets.</w:t>
      </w:r>
    </w:p>
    <w:p>
      <w:pPr>
        <w:pStyle w:val="ListBullet"/>
      </w:pPr>
      <w:r>
        <w:t>Successful pilot with 5–10 listed companies (across bank, insurance, and hydropower sectors).</w:t>
      </w:r>
    </w:p>
    <w:p>
      <w:r>
        <w:rPr>
          <w:b/>
        </w:rPr>
        <w:t>Team:</w:t>
      </w:r>
      <w:r>
        <w:t xml:space="preserve"> 20–35 FTEs (including 5–7 AI/ML engineers).</w:t>
      </w:r>
    </w:p>
    <w:p>
      <w:r>
        <w:rPr>
          <w:b/>
        </w:rPr>
        <w:t>Cost:</w:t>
      </w:r>
      <w:r>
        <w:t xml:space="preserve"> $2M–$6M.</w:t>
      </w:r>
    </w:p>
    <w:p>
      <w:pPr>
        <w:pStyle w:val="Heading4"/>
      </w:pPr>
      <w:r>
        <w:t>**Phase 2: Broker &amp; DP Modernization (12–21 Months)**</w:t>
      </w:r>
    </w:p>
    <w:p>
      <w:r>
        <w:rPr>
          <w:b/>
        </w:rPr>
        <w:t>Goal:</w:t>
      </w:r>
      <w:r>
        <w:t xml:space="preserve"> Onboard the first tier of brokers and DPs onto the full platform.</w:t>
      </w:r>
    </w:p>
    <w:p>
      <w:r>
        <w:rPr>
          <w:b/>
        </w:rPr>
        <w:t>Deliverables:</w:t>
      </w:r>
    </w:p>
    <w:p>
      <w:pPr>
        <w:pStyle w:val="ListNumber"/>
      </w:pPr>
      <w:r>
        <w:rPr>
          <w:b/>
        </w:rPr>
        <w:t>Brokerage/DP Operator Pack</w:t>
      </w:r>
      <w:r>
        <w:t xml:space="preserve"> (Pack A): OMS integration with NEPSE TMS, client ledger, settlement processing, EDIS automation, contract note generation.</w:t>
      </w:r>
    </w:p>
    <w:p>
      <w:pPr>
        <w:pStyle w:val="ListNumber"/>
      </w:pPr>
      <w:r>
        <w:rPr>
          <w:b/>
        </w:rPr>
        <w:t>AI-powered reconciliation suite</w:t>
      </w:r>
      <w:r>
        <w:t>: auto-matching with CDSC, Meroshare, NEPSE floorsheet, and bank statements.</w:t>
      </w:r>
    </w:p>
    <w:p>
      <w:pPr>
        <w:pStyle w:val="ListNumber"/>
      </w:pPr>
      <w:r>
        <w:rPr>
          <w:b/>
        </w:rPr>
        <w:t>eKYC &amp; Onboarding Pack</w:t>
      </w:r>
      <w:r>
        <w:t>: National ID integration, AI-powered document processing for Nepali documents.</w:t>
      </w:r>
    </w:p>
    <w:p>
      <w:pPr>
        <w:pStyle w:val="ListNumber"/>
      </w:pPr>
      <w:r>
        <w:rPr>
          <w:b/>
        </w:rPr>
        <w:t>Corporate Actions Engine</w:t>
      </w:r>
      <w:r>
        <w:t>: automated bonus/rights/dividend processing with CDSC integration.</w:t>
      </w:r>
    </w:p>
    <w:p>
      <w:pPr>
        <w:pStyle w:val="ListNumber"/>
      </w:pPr>
      <w:r>
        <w:rPr>
          <w:b/>
        </w:rPr>
        <w:t>Margin Trading Module</w:t>
      </w:r>
      <w:r>
        <w:t>: SEBON Directive 2082 implementation with automated margin calls.</w:t>
      </w:r>
    </w:p>
    <w:p>
      <w:pPr>
        <w:pStyle w:val="ListNumber"/>
      </w:pPr>
      <w:r>
        <w:rPr>
          <w:b/>
        </w:rPr>
        <w:t>Tax Engine</w:t>
      </w:r>
      <w:r>
        <w:t>: capital gains tax calculation, TDS automation, BS fiscal year reporting.</w:t>
      </w:r>
    </w:p>
    <w:p>
      <w:pPr>
        <w:pStyle w:val="ListNumber"/>
      </w:pPr>
      <w:r>
        <w:rPr>
          <w:b/>
        </w:rPr>
        <w:t>Plugin Marketplace v1</w:t>
      </w:r>
      <w:r>
        <w:t>: hosting the above packs.</w:t>
      </w:r>
    </w:p>
    <w:p>
      <w:r>
        <w:rPr>
          <w:b/>
        </w:rPr>
        <w:t>Key metrics:</w:t>
      </w:r>
    </w:p>
    <w:p>
      <w:pPr>
        <w:pStyle w:val="ListBullet"/>
      </w:pPr>
      <w:r>
        <w:t>Target STP rate for broker operations &gt;95% in clearly defined straight-through workflows.</w:t>
      </w:r>
    </w:p>
    <w:p>
      <w:pPr>
        <w:pStyle w:val="ListBullet"/>
      </w:pPr>
      <w:r>
        <w:t>Target reconciliation break resolution time &lt;2 hours (vs. current 1–2 days) for standard exception classes.</w:t>
      </w:r>
    </w:p>
    <w:p>
      <w:pPr>
        <w:pStyle w:val="ListBullet"/>
      </w:pPr>
      <w:r>
        <w:t>Target onboarding time 15-30 minutes for low-risk retail investors with complete digital documentation and approved eKYC rails.</w:t>
      </w:r>
    </w:p>
    <w:p>
      <w:pPr>
        <w:pStyle w:val="ListBullet"/>
      </w:pPr>
      <w:r>
        <w:t>10–15 brokers onboarded.</w:t>
      </w:r>
    </w:p>
    <w:p>
      <w:r>
        <w:rPr>
          <w:b/>
        </w:rPr>
        <w:t>Team:</w:t>
      </w:r>
      <w:r>
        <w:t xml:space="preserve"> 40–65 FTEs (including 10–12 AI/ML engineers).</w:t>
      </w:r>
    </w:p>
    <w:p>
      <w:r>
        <w:rPr>
          <w:b/>
        </w:rPr>
        <w:t>Cost:</w:t>
      </w:r>
      <w:r>
        <w:t xml:space="preserve"> $6M–$18M.</w:t>
      </w:r>
    </w:p>
    <w:p>
      <w:pPr>
        <w:pStyle w:val="Heading4"/>
      </w:pPr>
      <w:r>
        <w:t>**Phase 3: Market-Wide Utility &amp; Primary Market (21–36 Months)**</w:t>
      </w:r>
    </w:p>
    <w:p>
      <w:r>
        <w:rPr>
          <w:b/>
        </w:rPr>
        <w:t>Goal:</w:t>
      </w:r>
      <w:r>
        <w:t xml:space="preserve"> Become the default operating system for Nepal's capital markets.</w:t>
      </w:r>
    </w:p>
    <w:p>
      <w:r>
        <w:rPr>
          <w:b/>
        </w:rPr>
        <w:t>Deliverables:</w:t>
      </w:r>
    </w:p>
    <w:p>
      <w:pPr>
        <w:pStyle w:val="ListNumber"/>
      </w:pPr>
      <w:r>
        <w:rPr>
          <w:b/>
        </w:rPr>
        <w:t>Merchant Banker Pack</w:t>
      </w:r>
      <w:r>
        <w:t xml:space="preserve"> (Pack B): full IPO/FPO lifecycle, ASBA integration with 43 banks, allotment automation.</w:t>
      </w:r>
    </w:p>
    <w:p>
      <w:pPr>
        <w:pStyle w:val="ListNumber"/>
      </w:pPr>
      <w:r>
        <w:rPr>
          <w:b/>
        </w:rPr>
        <w:t>Fund Manager Pack</w:t>
      </w:r>
      <w:r>
        <w:t xml:space="preserve"> (Pack C): NAV calculation, unit operations, SIP management.</w:t>
      </w:r>
    </w:p>
    <w:p>
      <w:pPr>
        <w:pStyle w:val="ListNumber"/>
      </w:pPr>
      <w:r>
        <w:rPr>
          <w:b/>
        </w:rPr>
        <w:t>Full AI Agent Suite</w:t>
      </w:r>
      <w:r>
        <w:t>: Hydropower Risk Agent, Settlement Prediction Agent, AML/CFT Agent, Regulatory Change Agent.</w:t>
      </w:r>
    </w:p>
    <w:p>
      <w:pPr>
        <w:pStyle w:val="ListNumber"/>
      </w:pPr>
      <w:r>
        <w:rPr>
          <w:b/>
        </w:rPr>
        <w:t>NEPSE and CDSC deep integration</w:t>
      </w:r>
      <w:r>
        <w:t>: direct settlement connectors, real-time position sync.</w:t>
      </w:r>
    </w:p>
    <w:p>
      <w:pPr>
        <w:pStyle w:val="ListNumber"/>
      </w:pPr>
      <w:r>
        <w:rPr>
          <w:b/>
        </w:rPr>
        <w:t>Operational automation at scale</w:t>
      </w:r>
      <w:r>
        <w:t>: target &gt;80% straight-through handling in low-risk, well-structured exception classes, with human review retained for material exceptions.</w:t>
      </w:r>
    </w:p>
    <w:p>
      <w:pPr>
        <w:pStyle w:val="ListNumber"/>
      </w:pPr>
      <w:r>
        <w:rPr>
          <w:b/>
        </w:rPr>
        <w:t>Issuer Tools</w:t>
      </w:r>
      <w:r>
        <w:t xml:space="preserve"> (Pack E): corporate actions management, shareholder registry, regulatory filing.</w:t>
      </w:r>
    </w:p>
    <w:p>
      <w:pPr>
        <w:pStyle w:val="ListNumber"/>
      </w:pPr>
      <w:r>
        <w:t>Prepare regulator or sector-CERT cyber reporting adapters if and when a formal operating process is published.</w:t>
      </w:r>
    </w:p>
    <w:p>
      <w:r>
        <w:rPr>
          <w:b/>
        </w:rPr>
        <w:t>Key metrics:</w:t>
      </w:r>
    </w:p>
    <w:p>
      <w:pPr>
        <w:pStyle w:val="ListBullet"/>
      </w:pPr>
      <w:r>
        <w:t>50+ brokers and 80+ DPs onboarded.</w:t>
      </w:r>
    </w:p>
    <w:p>
      <w:pPr>
        <w:pStyle w:val="ListBullet"/>
      </w:pPr>
      <w:r>
        <w:t>All 32 merchant bankers using the IPO workflow.</w:t>
      </w:r>
    </w:p>
    <w:p>
      <w:pPr>
        <w:pStyle w:val="ListBullet"/>
      </w:pPr>
      <w:r>
        <w:t>STP rate &gt;98%.</w:t>
      </w:r>
    </w:p>
    <w:p>
      <w:pPr>
        <w:pStyle w:val="ListBullet"/>
      </w:pPr>
      <w:r>
        <w:t>SEBON and NRB receiving real-time regulatory feeds.</w:t>
      </w:r>
    </w:p>
    <w:p>
      <w:r>
        <w:rPr>
          <w:b/>
        </w:rPr>
        <w:t>Team:</w:t>
      </w:r>
      <w:r>
        <w:t xml:space="preserve"> 60–100+ FTEs (including 15–20 AI/ML engineers).</w:t>
      </w:r>
    </w:p>
    <w:p>
      <w:r>
        <w:rPr>
          <w:b/>
        </w:rPr>
        <w:t>Cost:</w:t>
      </w:r>
      <w:r>
        <w:t xml:space="preserve"> $18M–$40M.</w:t>
      </w:r>
    </w:p>
    <w:p>
      <w:pPr>
        <w:pStyle w:val="Heading4"/>
      </w:pPr>
      <w:r>
        <w:t>**Phase 4: Regional Expansion &amp; Advanced Capabilities (36+ Months)**</w:t>
      </w:r>
    </w:p>
    <w:p>
      <w:r>
        <w:rPr>
          <w:b/>
        </w:rPr>
        <w:t>Goal:</w:t>
      </w:r>
      <w:r>
        <w:t xml:space="preserve"> Leverage Nepal success for regional expansion; add advanced capabilities.</w:t>
      </w:r>
    </w:p>
    <w:p>
      <w:r>
        <w:rPr>
          <w:b/>
        </w:rPr>
        <w:t>Deliverables:</w:t>
      </w:r>
    </w:p>
    <w:p>
      <w:pPr>
        <w:pStyle w:val="ListNumber"/>
      </w:pPr>
      <w:r>
        <w:rPr>
          <w:b/>
        </w:rPr>
        <w:t>Bangladesh country pack</w:t>
      </w:r>
      <w:r>
        <w:t xml:space="preserve"> adaptation (leverage platform for DSE/CSE market).</w:t>
      </w:r>
    </w:p>
    <w:p>
      <w:pPr>
        <w:pStyle w:val="ListNumber"/>
      </w:pPr>
      <w:r>
        <w:rPr>
          <w:b/>
        </w:rPr>
        <w:t>Sri Lanka country pack</w:t>
      </w:r>
      <w:r>
        <w:t xml:space="preserve"> adaptation.</w:t>
      </w:r>
    </w:p>
    <w:p>
      <w:pPr>
        <w:pStyle w:val="ListNumber"/>
      </w:pPr>
      <w:r>
        <w:rPr>
          <w:b/>
        </w:rPr>
        <w:t>Commodity exchange support</w:t>
      </w:r>
      <w:r>
        <w:t xml:space="preserve"> (SEBON also regulates commodity exchanges).</w:t>
      </w:r>
    </w:p>
    <w:p>
      <w:pPr>
        <w:pStyle w:val="ListNumber"/>
      </w:pPr>
      <w:r>
        <w:rPr>
          <w:b/>
        </w:rPr>
        <w:t>OTC/unlisted securities module</w:t>
      </w:r>
      <w:r>
        <w:t xml:space="preserve"> (growing market in Nepal).</w:t>
      </w:r>
    </w:p>
    <w:p>
      <w:pPr>
        <w:pStyle w:val="ListNumber"/>
      </w:pPr>
      <w:r>
        <w:rPr>
          <w:b/>
        </w:rPr>
        <w:t>Advanced analytics &amp; investor intelligence</w:t>
      </w:r>
      <w:r>
        <w:t xml:space="preserve"> platform for institutional use.</w:t>
      </w:r>
    </w:p>
    <w:p>
      <w:pPr>
        <w:pStyle w:val="ListNumber"/>
      </w:pPr>
      <w:r>
        <w:rPr>
          <w:b/>
        </w:rPr>
        <w:t>CBDC readiness</w:t>
      </w:r>
      <w:r>
        <w:t xml:space="preserve"> if NRB proceeds with digital currency pilots.</w:t>
      </w:r>
    </w:p>
    <w:p>
      <w:r>
        <w:t>---</w:t>
      </w:r>
    </w:p>
    <w:p>
      <w:pPr>
        <w:pStyle w:val="Heading3"/>
      </w:pPr>
      <w:r>
        <w:t>**8. Risk Assessment &amp; Mitigation (Nepal-Specific)**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Risk</w:t>
            </w:r>
          </w:p>
        </w:tc>
        <w:tc>
          <w:tcPr>
            <w:tcW w:type="dxa" w:w="2160"/>
            <w:shd w:fill="D9EAF7"/>
          </w:tcPr>
          <w:p>
            <w:r>
              <w:rPr>
                <w:b/>
              </w:rPr>
            </w:r>
            <w:r>
              <w:rPr>
                <w:b/>
              </w:rPr>
              <w:t>Probability</w:t>
            </w:r>
          </w:p>
        </w:tc>
        <w:tc>
          <w:tcPr>
            <w:tcW w:type="dxa" w:w="2160"/>
            <w:shd w:fill="D9EAF7"/>
          </w:tcPr>
          <w:p>
            <w:r>
              <w:rPr>
                <w:b/>
              </w:rPr>
            </w:r>
            <w:r>
              <w:rPr>
                <w:b/>
              </w:rPr>
              <w:t>Impact</w:t>
            </w:r>
          </w:p>
        </w:tc>
        <w:tc>
          <w:tcPr>
            <w:tcW w:type="dxa" w:w="2160"/>
            <w:shd w:fill="D9EAF7"/>
          </w:tcPr>
          <w:p>
            <w:r>
              <w:rPr>
                <w:b/>
              </w:rPr>
            </w:r>
            <w:r>
              <w:rPr>
                <w:b/>
              </w:rPr>
              <w:t>Mitigation strategy</w:t>
            </w:r>
          </w:p>
        </w:tc>
      </w:tr>
      <w:tr>
        <w:tc>
          <w:tcPr>
            <w:tcW w:type="dxa" w:w="2160"/>
          </w:tcPr>
          <w:p>
            <w:r/>
            <w:r>
              <w:rPr>
                <w:b/>
              </w:rPr>
              <w:t>Regulatory policy reversal</w:t>
            </w:r>
            <w:r>
              <w:t xml:space="preserve"> (e.g., SEBON mandates dual ISINs against our single-source-of-truth model)</w:t>
            </w:r>
          </w:p>
        </w:tc>
        <w:tc>
          <w:tcPr>
            <w:tcW w:type="dxa" w:w="2160"/>
          </w:tcPr>
          <w:p>
            <w:r/>
            <w:r>
              <w:t>Medium</w:t>
            </w:r>
          </w:p>
        </w:tc>
        <w:tc>
          <w:tcPr>
            <w:tcW w:type="dxa" w:w="2160"/>
          </w:tcPr>
          <w:p>
            <w:r/>
            <w:r>
              <w:t>High</w:t>
            </w:r>
          </w:p>
        </w:tc>
        <w:tc>
          <w:tcPr>
            <w:tcW w:type="dxa" w:w="2160"/>
          </w:tcPr>
          <w:p>
            <w:r/>
            <w:r>
              <w:rPr>
                <w:b/>
              </w:rPr>
              <w:t>Architectural abstraction:</w:t>
            </w:r>
            <w:r>
              <w:t xml:space="preserve"> Core ledger is attribute-based, not ISIN-based. Adapting to dual-ISIN should be a bounded data-model and integration change rather than a full platform rewrite. Work </w:t>
            </w:r>
            <w:r>
              <w:rPr>
                <w:i/>
              </w:rPr>
              <w:t>with</w:t>
            </w:r>
            <w:r>
              <w:t xml:space="preserve"> CDSC, not against them.</w:t>
            </w:r>
          </w:p>
        </w:tc>
      </w:tr>
      <w:tr>
        <w:tc>
          <w:tcPr>
            <w:tcW w:type="dxa" w:w="2160"/>
          </w:tcPr>
          <w:p>
            <w:r/>
            <w:r>
              <w:rPr>
                <w:b/>
              </w:rPr>
              <w:t>Political instability &amp; policy paralysis</w:t>
            </w:r>
            <w:r>
              <w:t xml:space="preserve"> (as seen in the ISIN deadlock)</w:t>
            </w:r>
          </w:p>
        </w:tc>
        <w:tc>
          <w:tcPr>
            <w:tcW w:type="dxa" w:w="2160"/>
          </w:tcPr>
          <w:p>
            <w:r/>
            <w:r>
              <w:t>High</w:t>
            </w:r>
          </w:p>
        </w:tc>
        <w:tc>
          <w:tcPr>
            <w:tcW w:type="dxa" w:w="2160"/>
          </w:tcPr>
          <w:p>
            <w:r/>
            <w:r>
              <w:t>Medium</w:t>
            </w:r>
          </w:p>
        </w:tc>
        <w:tc>
          <w:tcPr>
            <w:tcW w:type="dxa" w:w="2160"/>
          </w:tcPr>
          <w:p>
            <w:r/>
            <w:r>
              <w:rPr>
                <w:b/>
              </w:rPr>
              <w:t>Focus on private sector:</w:t>
            </w:r>
            <w:r>
              <w:t xml:space="preserve"> Initial focus on private brokers, DPs, and issuers who are directly feeling the pain. Government sales follow once market traction is proven.</w:t>
            </w:r>
          </w:p>
        </w:tc>
      </w:tr>
      <w:tr>
        <w:tc>
          <w:tcPr>
            <w:tcW w:type="dxa" w:w="2160"/>
          </w:tcPr>
          <w:p>
            <w:r/>
            <w:r>
              <w:rPr>
                <w:b/>
              </w:rPr>
              <w:t>CDSC/NEPSE resistance</w:t>
            </w:r>
            <w:r>
              <w:t xml:space="preserve"> (perceived competitive threat to their technology role)</w:t>
            </w:r>
          </w:p>
        </w:tc>
        <w:tc>
          <w:tcPr>
            <w:tcW w:type="dxa" w:w="2160"/>
          </w:tcPr>
          <w:p>
            <w:r/>
            <w:r>
              <w:t>Medium</w:t>
            </w:r>
          </w:p>
        </w:tc>
        <w:tc>
          <w:tcPr>
            <w:tcW w:type="dxa" w:w="2160"/>
          </w:tcPr>
          <w:p>
            <w:r/>
            <w:r>
              <w:t>High</w:t>
            </w:r>
          </w:p>
        </w:tc>
        <w:tc>
          <w:tcPr>
            <w:tcW w:type="dxa" w:w="2160"/>
          </w:tcPr>
          <w:p>
            <w:r/>
            <w:r>
              <w:rPr>
                <w:b/>
              </w:rPr>
              <w:t>Complementary positioning:</w:t>
            </w:r>
            <w:r>
              <w:t xml:space="preserve"> Position as a value-add layer </w:t>
            </w:r>
            <w:r>
              <w:rPr>
                <w:i/>
              </w:rPr>
              <w:t>on top of</w:t>
            </w:r>
            <w:r>
              <w:t xml:space="preserve"> CDSC/NEPSE infrastructure, not a replacement. Offer to white-label or co-develop. Build connectors, not competitors.</w:t>
            </w:r>
          </w:p>
        </w:tc>
      </w:tr>
      <w:tr>
        <w:tc>
          <w:tcPr>
            <w:tcW w:type="dxa" w:w="2160"/>
          </w:tcPr>
          <w:p>
            <w:r/>
            <w:r>
              <w:rPr>
                <w:b/>
              </w:rPr>
              <w:t>Talent scarcity</w:t>
            </w:r>
            <w:r>
              <w:t xml:space="preserve"> (AI/ML and capital markets domain expertise)</w:t>
            </w:r>
          </w:p>
        </w:tc>
        <w:tc>
          <w:tcPr>
            <w:tcW w:type="dxa" w:w="2160"/>
          </w:tcPr>
          <w:p>
            <w:r/>
            <w:r>
              <w:t>High</w:t>
            </w:r>
          </w:p>
        </w:tc>
        <w:tc>
          <w:tcPr>
            <w:tcW w:type="dxa" w:w="2160"/>
          </w:tcPr>
          <w:p>
            <w:r/>
            <w:r>
              <w:t>Medium</w:t>
            </w:r>
          </w:p>
        </w:tc>
        <w:tc>
          <w:tcPr>
            <w:tcW w:type="dxa" w:w="2160"/>
          </w:tcPr>
          <w:p>
            <w:r/>
            <w:r>
              <w:rPr>
                <w:b/>
              </w:rPr>
              <w:t>Hybrid team model:</w:t>
            </w:r>
            <w:r>
              <w:t xml:space="preserve"> Build core Nepali team for domain expertise, regulatory navigation, and support. Augment with experienced international AI/ML and platform architects for 18–24 months with formal knowledge transfer.</w:t>
            </w:r>
          </w:p>
        </w:tc>
      </w:tr>
      <w:tr>
        <w:tc>
          <w:tcPr>
            <w:tcW w:type="dxa" w:w="2160"/>
          </w:tcPr>
          <w:p>
            <w:r/>
            <w:r>
              <w:rPr>
                <w:b/>
              </w:rPr>
              <w:t>Data sovereignty &amp; localization</w:t>
            </w:r>
            <w:r>
              <w:t xml:space="preserve"> (NRB cloud feasibility study, Data Center Directive)</w:t>
            </w:r>
          </w:p>
        </w:tc>
        <w:tc>
          <w:tcPr>
            <w:tcW w:type="dxa" w:w="2160"/>
          </w:tcPr>
          <w:p>
            <w:r/>
            <w:r>
              <w:t>Medium</w:t>
            </w:r>
          </w:p>
        </w:tc>
        <w:tc>
          <w:tcPr>
            <w:tcW w:type="dxa" w:w="2160"/>
          </w:tcPr>
          <w:p>
            <w:r/>
            <w:r>
              <w:t>High</w:t>
            </w:r>
          </w:p>
        </w:tc>
        <w:tc>
          <w:tcPr>
            <w:tcW w:type="dxa" w:w="2160"/>
          </w:tcPr>
          <w:p>
            <w:r/>
            <w:r>
              <w:rPr>
                <w:b/>
              </w:rPr>
              <w:t>Cloud-native, in-country by default:</w:t>
            </w:r>
            <w:r>
              <w:t xml:space="preserve"> Kubernetes architecture is portable. Primary data and backups should remain in Nepal unless an explicit regulator-approved exception is obtained for narrowly scoped disaster recovery or tooling.</w:t>
            </w:r>
          </w:p>
        </w:tc>
      </w:tr>
      <w:tr>
        <w:tc>
          <w:tcPr>
            <w:tcW w:type="dxa" w:w="2160"/>
          </w:tcPr>
          <w:p>
            <w:r/>
            <w:r>
              <w:rPr>
                <w:b/>
              </w:rPr>
              <w:t>Internet reliability</w:t>
            </w:r>
            <w:r>
              <w:t xml:space="preserve"> (outside Kathmandu valley, connectivity is inconsistent)</w:t>
            </w:r>
          </w:p>
        </w:tc>
        <w:tc>
          <w:tcPr>
            <w:tcW w:type="dxa" w:w="2160"/>
          </w:tcPr>
          <w:p>
            <w:r/>
            <w:r>
              <w:t>High</w:t>
            </w:r>
          </w:p>
        </w:tc>
        <w:tc>
          <w:tcPr>
            <w:tcW w:type="dxa" w:w="2160"/>
          </w:tcPr>
          <w:p>
            <w:r/>
            <w:r>
              <w:t>Medium</w:t>
            </w:r>
          </w:p>
        </w:tc>
        <w:tc>
          <w:tcPr>
            <w:tcW w:type="dxa" w:w="2160"/>
          </w:tcPr>
          <w:p>
            <w:r/>
            <w:r>
              <w:rPr>
                <w:b/>
              </w:rPr>
              <w:t>Offline-capable design:</w:t>
            </w:r>
            <w:r>
              <w:t xml:space="preserve"> Mobile apps support offline data collection that syncs on reconnection. Critical path operations (settlement, regulatory reporting) use server-to-server connections that are more reliable than consumer internet.</w:t>
            </w:r>
          </w:p>
        </w:tc>
      </w:tr>
      <w:tr>
        <w:tc>
          <w:tcPr>
            <w:tcW w:type="dxa" w:w="2160"/>
          </w:tcPr>
          <w:p>
            <w:r/>
            <w:r>
              <w:rPr>
                <w:b/>
              </w:rPr>
              <w:t>Low payment willingness</w:t>
            </w:r>
            <w:r>
              <w:t xml:space="preserve"> (brokers accustomed to low-cost/free legacy systems)</w:t>
            </w:r>
          </w:p>
        </w:tc>
        <w:tc>
          <w:tcPr>
            <w:tcW w:type="dxa" w:w="2160"/>
          </w:tcPr>
          <w:p>
            <w:r/>
            <w:r>
              <w:t>High</w:t>
            </w:r>
          </w:p>
        </w:tc>
        <w:tc>
          <w:tcPr>
            <w:tcW w:type="dxa" w:w="2160"/>
          </w:tcPr>
          <w:p>
            <w:r/>
            <w:r>
              <w:t>Medium</w:t>
            </w:r>
          </w:p>
        </w:tc>
        <w:tc>
          <w:tcPr>
            <w:tcW w:type="dxa" w:w="2160"/>
          </w:tcPr>
          <w:p>
            <w:r/>
            <w:r>
              <w:rPr>
                <w:b/>
              </w:rPr>
              <w:t>Freemium + outcome-based pricing:</w:t>
            </w:r>
            <w:r>
              <w:t xml:space="preserve"> Basic reconciliation and reporting tools free or very low cost. Charge for AI capabilities, premium analytics, and compliance automation on outcome-based pricing (per-reconciliation resolved, per-report generated).</w:t>
            </w:r>
          </w:p>
        </w:tc>
      </w:tr>
      <w:tr>
        <w:tc>
          <w:tcPr>
            <w:tcW w:type="dxa" w:w="2160"/>
          </w:tcPr>
          <w:p>
            <w:r/>
            <w:r>
              <w:rPr>
                <w:b/>
              </w:rPr>
              <w:t>NEPSE TMS lock-in</w:t>
            </w:r>
            <w:r>
              <w:t xml:space="preserve"> (brokers cannot easily change their trading interface)</w:t>
            </w:r>
          </w:p>
        </w:tc>
        <w:tc>
          <w:tcPr>
            <w:tcW w:type="dxa" w:w="2160"/>
          </w:tcPr>
          <w:p>
            <w:r/>
            <w:r>
              <w:t>Medium</w:t>
            </w:r>
          </w:p>
        </w:tc>
        <w:tc>
          <w:tcPr>
            <w:tcW w:type="dxa" w:w="2160"/>
          </w:tcPr>
          <w:p>
            <w:r/>
            <w:r>
              <w:t>Medium</w:t>
            </w:r>
          </w:p>
        </w:tc>
        <w:tc>
          <w:tcPr>
            <w:tcW w:type="dxa" w:w="2160"/>
          </w:tcPr>
          <w:p>
            <w:r/>
            <w:r>
              <w:rPr>
                <w:b/>
              </w:rPr>
              <w:t>Complement, don't replace:</w:t>
            </w:r>
            <w:r>
              <w:t xml:space="preserve"> Position as back-office automation that works </w:t>
            </w:r>
            <w:r>
              <w:rPr>
                <w:i/>
              </w:rPr>
              <w:t>alongside</w:t>
            </w:r>
            <w:r>
              <w:t xml:space="preserve"> NEPSE TMS, not as a replacement trading interface. Integrate via TMS API/feed consumption.</w:t>
            </w:r>
          </w:p>
        </w:tc>
      </w:tr>
      <w:tr>
        <w:tc>
          <w:tcPr>
            <w:tcW w:type="dxa" w:w="2160"/>
          </w:tcPr>
          <w:p>
            <w:r/>
            <w:r>
              <w:rPr>
                <w:b/>
              </w:rPr>
              <w:t>AI model risk</w:t>
            </w:r>
            <w:r>
              <w:t xml:space="preserve"> (incorrect AI decisions in regulated processes)</w:t>
            </w:r>
          </w:p>
        </w:tc>
        <w:tc>
          <w:tcPr>
            <w:tcW w:type="dxa" w:w="2160"/>
          </w:tcPr>
          <w:p>
            <w:r/>
            <w:r>
              <w:t>Medium</w:t>
            </w:r>
          </w:p>
        </w:tc>
        <w:tc>
          <w:tcPr>
            <w:tcW w:type="dxa" w:w="2160"/>
          </w:tcPr>
          <w:p>
            <w:r/>
            <w:r>
              <w:t>High</w:t>
            </w:r>
          </w:p>
        </w:tc>
        <w:tc>
          <w:tcPr>
            <w:tcW w:type="dxa" w:w="2160"/>
          </w:tcPr>
          <w:p>
            <w:r/>
            <w:r>
              <w:rPr>
                <w:b/>
              </w:rPr>
              <w:t>Human approval and deterministic controls by default:</w:t>
            </w:r>
            <w:r>
              <w:t xml:space="preserve"> High-impact AI-assisted decisions (blocking trades, approvals, regulated submissions) should use deterministic rule engines and/or human confirmation in early phases. Autonomy increases only for low-risk bounded workflows after evidence and regulator comfort are established.</w:t>
            </w:r>
          </w:p>
        </w:tc>
      </w:tr>
      <w:tr>
        <w:tc>
          <w:tcPr>
            <w:tcW w:type="dxa" w:w="2160"/>
          </w:tcPr>
          <w:p>
            <w:r/>
            <w:r>
              <w:rPr>
                <w:b/>
              </w:rPr>
              <w:t>Market downturn</w:t>
            </w:r>
            <w:r>
              <w:t xml:space="preserve"> (reduced trading volumes compress broker margins and tech budgets)</w:t>
            </w:r>
          </w:p>
        </w:tc>
        <w:tc>
          <w:tcPr>
            <w:tcW w:type="dxa" w:w="2160"/>
          </w:tcPr>
          <w:p>
            <w:r/>
            <w:r>
              <w:t>Medium</w:t>
            </w:r>
          </w:p>
        </w:tc>
        <w:tc>
          <w:tcPr>
            <w:tcW w:type="dxa" w:w="2160"/>
          </w:tcPr>
          <w:p>
            <w:r/>
            <w:r>
              <w:t>Medium</w:t>
            </w:r>
          </w:p>
        </w:tc>
        <w:tc>
          <w:tcPr>
            <w:tcW w:type="dxa" w:w="2160"/>
          </w:tcPr>
          <w:p>
            <w:r/>
            <w:r>
              <w:rPr>
                <w:b/>
              </w:rPr>
              <w:t>Demonstrate ROI during downturns:</w:t>
            </w:r>
            <w:r>
              <w:t xml:space="preserve"> Platform value proposition (reduced operational cost, fewer errors, compliance automation) is actually </w:t>
            </w:r>
            <w:r>
              <w:rPr>
                <w:i/>
              </w:rPr>
              <w:t>stronger</w:t>
            </w:r>
            <w:r>
              <w:t xml:space="preserve"> during downturns when margins are thin.</w:t>
            </w:r>
          </w:p>
        </w:tc>
      </w:tr>
    </w:tbl>
    <w:p>
      <w:r>
        <w:t>---</w:t>
      </w:r>
    </w:p>
    <w:p>
      <w:pPr>
        <w:pStyle w:val="Heading3"/>
      </w:pPr>
      <w:r>
        <w:t>**9. Competitive Positioning in Nepal**</w:t>
      </w:r>
    </w:p>
    <w:p>
      <w:pPr>
        <w:pStyle w:val="Heading4"/>
      </w:pPr>
      <w:r>
        <w:t>**9.1. Current Competitive Landscape**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rPr>
                <w:b/>
              </w:rPr>
            </w:r>
            <w:r>
              <w:rPr>
                <w:b/>
              </w:rPr>
              <w:t>Category</w:t>
            </w:r>
          </w:p>
        </w:tc>
        <w:tc>
          <w:tcPr>
            <w:tcW w:type="dxa" w:w="2160"/>
            <w:shd w:fill="D9EAF7"/>
          </w:tcPr>
          <w:p>
            <w:r>
              <w:rPr>
                <w:b/>
              </w:rPr>
            </w:r>
            <w:r>
              <w:rPr>
                <w:b/>
              </w:rPr>
              <w:t>Players</w:t>
            </w:r>
          </w:p>
        </w:tc>
        <w:tc>
          <w:tcPr>
            <w:tcW w:type="dxa" w:w="2160"/>
            <w:shd w:fill="D9EAF7"/>
          </w:tcPr>
          <w:p>
            <w:r>
              <w:rPr>
                <w:b/>
              </w:rPr>
            </w:r>
            <w:r>
              <w:rPr>
                <w:b/>
              </w:rPr>
              <w:t>Strengths</w:t>
            </w:r>
          </w:p>
        </w:tc>
        <w:tc>
          <w:tcPr>
            <w:tcW w:type="dxa" w:w="2160"/>
            <w:shd w:fill="D9EAF7"/>
          </w:tcPr>
          <w:p>
            <w:r>
              <w:rPr>
                <w:b/>
              </w:rPr>
            </w:r>
            <w:r>
              <w:rPr>
                <w:b/>
              </w:rPr>
              <w:t>Weaknesses</w:t>
            </w:r>
          </w:p>
        </w:tc>
      </w:tr>
      <w:tr>
        <w:tc>
          <w:tcPr>
            <w:tcW w:type="dxa" w:w="2160"/>
          </w:tcPr>
          <w:p>
            <w:r/>
            <w:r>
              <w:rPr>
                <w:b/>
              </w:rPr>
              <w:t>NEPSE TMS</w:t>
            </w:r>
          </w:p>
        </w:tc>
        <w:tc>
          <w:tcPr>
            <w:tcW w:type="dxa" w:w="2160"/>
          </w:tcPr>
          <w:p>
            <w:r/>
            <w:r>
              <w:t>NEPSE (centrally provided)</w:t>
            </w:r>
          </w:p>
        </w:tc>
        <w:tc>
          <w:tcPr>
            <w:tcW w:type="dxa" w:w="2160"/>
          </w:tcPr>
          <w:p>
            <w:r/>
            <w:r>
              <w:t>Universal adoption; integrated with exchange</w:t>
            </w:r>
          </w:p>
        </w:tc>
        <w:tc>
          <w:tcPr>
            <w:tcW w:type="dxa" w:w="2160"/>
          </w:tcPr>
          <w:p>
            <w:r/>
            <w:r>
              <w:t>No broker customization; limited analytics; periodic reliability issues</w:t>
            </w:r>
          </w:p>
        </w:tc>
      </w:tr>
      <w:tr>
        <w:tc>
          <w:tcPr>
            <w:tcW w:type="dxa" w:w="2160"/>
          </w:tcPr>
          <w:p>
            <w:r/>
            <w:r>
              <w:rPr>
                <w:b/>
              </w:rPr>
              <w:t>Legacy broker software</w:t>
            </w:r>
          </w:p>
        </w:tc>
        <w:tc>
          <w:tcPr>
            <w:tcW w:type="dxa" w:w="2160"/>
          </w:tcPr>
          <w:p>
            <w:r/>
            <w:r>
              <w:t>Various local vendors</w:t>
            </w:r>
          </w:p>
        </w:tc>
        <w:tc>
          <w:tcPr>
            <w:tcW w:type="dxa" w:w="2160"/>
          </w:tcPr>
          <w:p>
            <w:r/>
            <w:r>
              <w:t>Familiarity; low cost</w:t>
            </w:r>
          </w:p>
        </w:tc>
        <w:tc>
          <w:tcPr>
            <w:tcW w:type="dxa" w:w="2160"/>
          </w:tcPr>
          <w:p>
            <w:r/>
            <w:r>
              <w:t>Manual processes; no AI; poor integration; no regulatory automation</w:t>
            </w:r>
          </w:p>
        </w:tc>
      </w:tr>
      <w:tr>
        <w:tc>
          <w:tcPr>
            <w:tcW w:type="dxa" w:w="2160"/>
          </w:tcPr>
          <w:p>
            <w:r/>
            <w:r>
              <w:rPr>
                <w:b/>
              </w:rPr>
              <w:t>Excel/manual processes</w:t>
            </w:r>
          </w:p>
        </w:tc>
        <w:tc>
          <w:tcPr>
            <w:tcW w:type="dxa" w:w="2160"/>
          </w:tcPr>
          <w:p>
            <w:r/>
            <w:r>
              <w:t>Many brokers (especially smaller ones)</w:t>
            </w:r>
          </w:p>
        </w:tc>
        <w:tc>
          <w:tcPr>
            <w:tcW w:type="dxa" w:w="2160"/>
          </w:tcPr>
          <w:p>
            <w:r/>
            <w:r>
              <w:t>Zero cost; flexible</w:t>
            </w:r>
          </w:p>
        </w:tc>
        <w:tc>
          <w:tcPr>
            <w:tcW w:type="dxa" w:w="2160"/>
          </w:tcPr>
          <w:p>
            <w:r/>
            <w:r>
              <w:t>Error-prone; no audit trail; massive manual effort; compliance risk</w:t>
            </w:r>
          </w:p>
        </w:tc>
      </w:tr>
      <w:tr>
        <w:tc>
          <w:tcPr>
            <w:tcW w:type="dxa" w:w="2160"/>
          </w:tcPr>
          <w:p>
            <w:r/>
            <w:r>
              <w:rPr>
                <w:b/>
              </w:rPr>
              <w:t>CDSC/Meroshare</w:t>
            </w:r>
          </w:p>
        </w:tc>
        <w:tc>
          <w:tcPr>
            <w:tcW w:type="dxa" w:w="2160"/>
          </w:tcPr>
          <w:p>
            <w:r/>
            <w:r>
              <w:t>CDSC</w:t>
            </w:r>
          </w:p>
        </w:tc>
        <w:tc>
          <w:tcPr>
            <w:tcW w:type="dxa" w:w="2160"/>
          </w:tcPr>
          <w:p>
            <w:r/>
            <w:r>
              <w:t>Dominant depository platform; investor trust</w:t>
            </w:r>
          </w:p>
        </w:tc>
        <w:tc>
          <w:tcPr>
            <w:tcW w:type="dxa" w:w="2160"/>
          </w:tcPr>
          <w:p>
            <w:r/>
            <w:r>
              <w:t>Poor integration with broker systems; flagging code failures; limited API</w:t>
            </w:r>
          </w:p>
        </w:tc>
      </w:tr>
      <w:tr>
        <w:tc>
          <w:tcPr>
            <w:tcW w:type="dxa" w:w="2160"/>
          </w:tcPr>
          <w:p>
            <w:r/>
            <w:r>
              <w:rPr>
                <w:b/>
              </w:rPr>
              <w:t>International platforms</w:t>
            </w:r>
          </w:p>
        </w:tc>
        <w:tc>
          <w:tcPr>
            <w:tcW w:type="dxa" w:w="2160"/>
          </w:tcPr>
          <w:p>
            <w:r/>
            <w:r>
              <w:t>None present currently</w:t>
            </w:r>
          </w:p>
        </w:tc>
        <w:tc>
          <w:tcPr>
            <w:tcW w:type="dxa" w:w="2160"/>
          </w:tcPr>
          <w:p>
            <w:r/>
            <w:r>
              <w:t>N/A</w:t>
            </w:r>
          </w:p>
        </w:tc>
        <w:tc>
          <w:tcPr>
            <w:tcW w:type="dxa" w:w="2160"/>
          </w:tcPr>
          <w:p>
            <w:r/>
            <w:r>
              <w:t>N/A (not a competitive threat today, but validates market need)</w:t>
            </w:r>
          </w:p>
        </w:tc>
      </w:tr>
    </w:tbl>
    <w:p>
      <w:pPr>
        <w:pStyle w:val="Heading4"/>
      </w:pPr>
      <w:r>
        <w:t>**9.2. Siddhanta's Differentiation**</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Dimension</w:t>
            </w:r>
          </w:p>
        </w:tc>
        <w:tc>
          <w:tcPr>
            <w:tcW w:type="dxa" w:w="2880"/>
            <w:shd w:fill="D9EAF7"/>
          </w:tcPr>
          <w:p>
            <w:r>
              <w:rPr>
                <w:b/>
              </w:rPr>
            </w:r>
            <w:r>
              <w:rPr>
                <w:b/>
              </w:rPr>
              <w:t>Current state</w:t>
            </w:r>
          </w:p>
        </w:tc>
        <w:tc>
          <w:tcPr>
            <w:tcW w:type="dxa" w:w="2880"/>
            <w:shd w:fill="D9EAF7"/>
          </w:tcPr>
          <w:p>
            <w:r>
              <w:rPr>
                <w:b/>
              </w:rPr>
            </w:r>
            <w:r>
              <w:rPr>
                <w:b/>
              </w:rPr>
              <w:t>Siddhanta</w:t>
            </w:r>
          </w:p>
        </w:tc>
      </w:tr>
      <w:tr>
        <w:tc>
          <w:tcPr>
            <w:tcW w:type="dxa" w:w="2880"/>
          </w:tcPr>
          <w:p>
            <w:r/>
            <w:r>
              <w:rPr>
                <w:b/>
              </w:rPr>
              <w:t>Reconciliation</w:t>
            </w:r>
          </w:p>
        </w:tc>
        <w:tc>
          <w:tcPr>
            <w:tcW w:type="dxa" w:w="2880"/>
          </w:tcPr>
          <w:p>
            <w:r/>
            <w:r>
              <w:t>Manual (1–2 days, error-prone)</w:t>
            </w:r>
          </w:p>
        </w:tc>
        <w:tc>
          <w:tcPr>
            <w:tcW w:type="dxa" w:w="2880"/>
          </w:tcPr>
          <w:p>
            <w:r/>
            <w:r>
              <w:t>AI-assisted and rules-driven, with minutes-level handling for standard breaks and human review for complex exceptions</w:t>
            </w:r>
          </w:p>
        </w:tc>
      </w:tr>
      <w:tr>
        <w:tc>
          <w:tcPr>
            <w:tcW w:type="dxa" w:w="2880"/>
          </w:tcPr>
          <w:p>
            <w:r/>
            <w:r>
              <w:rPr>
                <w:b/>
              </w:rPr>
              <w:t>Regulatory reporting</w:t>
            </w:r>
          </w:p>
        </w:tc>
        <w:tc>
          <w:tcPr>
            <w:tcW w:type="dxa" w:w="2880"/>
          </w:tcPr>
          <w:p>
            <w:r/>
            <w:r>
              <w:t>Manual assembly (days per report)</w:t>
            </w:r>
          </w:p>
        </w:tc>
        <w:tc>
          <w:tcPr>
            <w:tcW w:type="dxa" w:w="2880"/>
          </w:tcPr>
          <w:p>
            <w:r/>
            <w:r>
              <w:t>AI-assisted draft generation and validation, with approval workflow before submission</w:t>
            </w:r>
          </w:p>
        </w:tc>
      </w:tr>
      <w:tr>
        <w:tc>
          <w:tcPr>
            <w:tcW w:type="dxa" w:w="2880"/>
          </w:tcPr>
          <w:p>
            <w:r/>
            <w:r>
              <w:rPr>
                <w:b/>
              </w:rPr>
              <w:t>Promoter share compliance</w:t>
            </w:r>
          </w:p>
        </w:tc>
        <w:tc>
          <w:tcPr>
            <w:tcW w:type="dxa" w:w="2880"/>
          </w:tcPr>
          <w:p>
            <w:r/>
            <w:r>
              <w:t>Broken flagging code</w:t>
            </w:r>
          </w:p>
        </w:tc>
        <w:tc>
          <w:tcPr>
            <w:tcW w:type="dxa" w:w="2880"/>
          </w:tcPr>
          <w:p>
            <w:r/>
            <w:r>
              <w:t>Deterministic attribute-based control with AI-assisted monitoring and exception handling</w:t>
            </w:r>
          </w:p>
        </w:tc>
      </w:tr>
      <w:tr>
        <w:tc>
          <w:tcPr>
            <w:tcW w:type="dxa" w:w="2880"/>
          </w:tcPr>
          <w:p>
            <w:r/>
            <w:r>
              <w:rPr>
                <w:b/>
              </w:rPr>
              <w:t>KYC onboarding</w:t>
            </w:r>
          </w:p>
        </w:tc>
        <w:tc>
          <w:tcPr>
            <w:tcW w:type="dxa" w:w="2880"/>
          </w:tcPr>
          <w:p>
            <w:r/>
            <w:r>
              <w:t>Manual form filling (days)</w:t>
            </w:r>
          </w:p>
        </w:tc>
        <w:tc>
          <w:tcPr>
            <w:tcW w:type="dxa" w:w="2880"/>
          </w:tcPr>
          <w:p>
            <w:r/>
            <w:r>
              <w:t>AI-assisted onboarding; target 15-30 minutes for low-risk digital cases once approved eKYC rails are available</w:t>
            </w:r>
          </w:p>
        </w:tc>
      </w:tr>
      <w:tr>
        <w:tc>
          <w:tcPr>
            <w:tcW w:type="dxa" w:w="2880"/>
          </w:tcPr>
          <w:p>
            <w:r/>
            <w:r>
              <w:rPr>
                <w:b/>
              </w:rPr>
              <w:t>Corporate actions</w:t>
            </w:r>
          </w:p>
        </w:tc>
        <w:tc>
          <w:tcPr>
            <w:tcW w:type="dxa" w:w="2880"/>
          </w:tcPr>
          <w:p>
            <w:r/>
            <w:r>
              <w:t>Semi-manual with CDSC</w:t>
            </w:r>
          </w:p>
        </w:tc>
        <w:tc>
          <w:tcPr>
            <w:tcW w:type="dxa" w:w="2880"/>
          </w:tcPr>
          <w:p>
            <w:r/>
            <w:r>
              <w:t>Straight-through automation for standard cases, with AI-assisted entitlement calculation and exception review</w:t>
            </w:r>
          </w:p>
        </w:tc>
      </w:tr>
      <w:tr>
        <w:tc>
          <w:tcPr>
            <w:tcW w:type="dxa" w:w="2880"/>
          </w:tcPr>
          <w:p>
            <w:r/>
            <w:r>
              <w:rPr>
                <w:b/>
              </w:rPr>
              <w:t>Settlement management</w:t>
            </w:r>
          </w:p>
        </w:tc>
        <w:tc>
          <w:tcPr>
            <w:tcW w:type="dxa" w:w="2880"/>
          </w:tcPr>
          <w:p>
            <w:r/>
            <w:r>
              <w:t>Reactive (discover fails after T+2)</w:t>
            </w:r>
          </w:p>
        </w:tc>
        <w:tc>
          <w:tcPr>
            <w:tcW w:type="dxa" w:w="2880"/>
          </w:tcPr>
          <w:p>
            <w:r/>
            <w:r>
              <w:t>Predictive (AI predicts fails before T+2)</w:t>
            </w:r>
          </w:p>
        </w:tc>
      </w:tr>
      <w:tr>
        <w:tc>
          <w:tcPr>
            <w:tcW w:type="dxa" w:w="2880"/>
          </w:tcPr>
          <w:p>
            <w:r/>
            <w:r>
              <w:rPr>
                <w:b/>
              </w:rPr>
              <w:t>Multi-regulator compliance</w:t>
            </w:r>
          </w:p>
        </w:tc>
        <w:tc>
          <w:tcPr>
            <w:tcW w:type="dxa" w:w="2880"/>
          </w:tcPr>
          <w:p>
            <w:r/>
            <w:r>
              <w:t>Manual tracking per regulator</w:t>
            </w:r>
          </w:p>
        </w:tc>
        <w:tc>
          <w:tcPr>
            <w:tcW w:type="dxa" w:w="2880"/>
          </w:tcPr>
          <w:p>
            <w:r/>
            <w:r>
              <w:t>Automated routing and compliance checking</w:t>
            </w:r>
          </w:p>
        </w:tc>
      </w:tr>
      <w:tr>
        <w:tc>
          <w:tcPr>
            <w:tcW w:type="dxa" w:w="2880"/>
          </w:tcPr>
          <w:p>
            <w:r/>
            <w:r>
              <w:rPr>
                <w:b/>
              </w:rPr>
              <w:t>Language</w:t>
            </w:r>
          </w:p>
        </w:tc>
        <w:tc>
          <w:tcPr>
            <w:tcW w:type="dxa" w:w="2880"/>
          </w:tcPr>
          <w:p>
            <w:r/>
            <w:r>
              <w:t>English-centric</w:t>
            </w:r>
          </w:p>
        </w:tc>
        <w:tc>
          <w:tcPr>
            <w:tcW w:type="dxa" w:w="2880"/>
          </w:tcPr>
          <w:p>
            <w:r/>
            <w:r>
              <w:t>Nepali-first with English support</w:t>
            </w:r>
          </w:p>
        </w:tc>
      </w:tr>
      <w:tr>
        <w:tc>
          <w:tcPr>
            <w:tcW w:type="dxa" w:w="2880"/>
          </w:tcPr>
          <w:p>
            <w:r/>
            <w:r>
              <w:rPr>
                <w:b/>
              </w:rPr>
              <w:t>Tax compliance</w:t>
            </w:r>
          </w:p>
        </w:tc>
        <w:tc>
          <w:tcPr>
            <w:tcW w:type="dxa" w:w="2880"/>
          </w:tcPr>
          <w:p>
            <w:r/>
            <w:r>
              <w:t>Manual calculation</w:t>
            </w:r>
          </w:p>
        </w:tc>
        <w:tc>
          <w:tcPr>
            <w:tcW w:type="dxa" w:w="2880"/>
          </w:tcPr>
          <w:p>
            <w:r/>
            <w:r>
              <w:t>Automated capital gains + TDS with BS fiscal year</w:t>
            </w:r>
          </w:p>
        </w:tc>
      </w:tr>
    </w:tbl>
    <w:p>
      <w:r>
        <w:t>---</w:t>
      </w:r>
    </w:p>
    <w:p>
      <w:pPr>
        <w:pStyle w:val="Heading3"/>
      </w:pPr>
      <w:r>
        <w:t>**10. Financial Model &amp; Unit Economics**</w:t>
      </w:r>
    </w:p>
    <w:p>
      <w:pPr>
        <w:pStyle w:val="Heading4"/>
      </w:pPr>
      <w:r>
        <w:t>**10.1. Revenue Model**</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rPr>
                <w:b/>
              </w:rPr>
            </w:r>
            <w:r>
              <w:rPr>
                <w:b/>
              </w:rPr>
              <w:t>Revenue stream</w:t>
            </w:r>
          </w:p>
        </w:tc>
        <w:tc>
          <w:tcPr>
            <w:tcW w:type="dxa" w:w="2880"/>
            <w:shd w:fill="D9EAF7"/>
          </w:tcPr>
          <w:p>
            <w:r>
              <w:rPr>
                <w:b/>
              </w:rPr>
            </w:r>
            <w:r>
              <w:rPr>
                <w:b/>
              </w:rPr>
              <w:t>Description</w:t>
            </w:r>
          </w:p>
        </w:tc>
        <w:tc>
          <w:tcPr>
            <w:tcW w:type="dxa" w:w="2880"/>
            <w:shd w:fill="D9EAF7"/>
          </w:tcPr>
          <w:p>
            <w:r>
              <w:rPr>
                <w:b/>
              </w:rPr>
            </w:r>
            <w:r>
              <w:rPr>
                <w:b/>
              </w:rPr>
              <w:t>Illustrative pricing</w:t>
            </w:r>
          </w:p>
        </w:tc>
      </w:tr>
      <w:tr>
        <w:tc>
          <w:tcPr>
            <w:tcW w:type="dxa" w:w="2880"/>
          </w:tcPr>
          <w:p>
            <w:r/>
            <w:r>
              <w:rPr>
                <w:b/>
              </w:rPr>
              <w:t>Platform subscription</w:t>
            </w:r>
          </w:p>
        </w:tc>
        <w:tc>
          <w:tcPr>
            <w:tcW w:type="dxa" w:w="2880"/>
          </w:tcPr>
          <w:p>
            <w:r/>
            <w:r>
              <w:t>Core platform access per operator</w:t>
            </w:r>
          </w:p>
        </w:tc>
        <w:tc>
          <w:tcPr>
            <w:tcW w:type="dxa" w:w="2880"/>
          </w:tcPr>
          <w:p>
            <w:r/>
            <w:r>
              <w:t>Rs 50K–3L/month per broker (tiered by size)</w:t>
            </w:r>
          </w:p>
        </w:tc>
      </w:tr>
      <w:tr>
        <w:tc>
          <w:tcPr>
            <w:tcW w:type="dxa" w:w="2880"/>
          </w:tcPr>
          <w:p>
            <w:r/>
            <w:r>
              <w:rPr>
                <w:b/>
              </w:rPr>
              <w:t>Pack subscription</w:t>
            </w:r>
          </w:p>
        </w:tc>
        <w:tc>
          <w:tcPr>
            <w:tcW w:type="dxa" w:w="2880"/>
          </w:tcPr>
          <w:p>
            <w:r/>
            <w:r>
              <w:t>Per operator pack</w:t>
            </w:r>
          </w:p>
        </w:tc>
        <w:tc>
          <w:tcPr>
            <w:tcW w:type="dxa" w:w="2880"/>
          </w:tcPr>
          <w:p>
            <w:r/>
            <w:r>
              <w:t>Rs 10K–50K/month per pack</w:t>
            </w:r>
          </w:p>
        </w:tc>
      </w:tr>
      <w:tr>
        <w:tc>
          <w:tcPr>
            <w:tcW w:type="dxa" w:w="2880"/>
          </w:tcPr>
          <w:p>
            <w:r/>
            <w:r>
              <w:rPr>
                <w:b/>
              </w:rPr>
              <w:t>Transaction fees</w:t>
            </w:r>
          </w:p>
        </w:tc>
        <w:tc>
          <w:tcPr>
            <w:tcW w:type="dxa" w:w="2880"/>
          </w:tcPr>
          <w:p>
            <w:r/>
            <w:r>
              <w:t>Per-trade, per-settlement, per-reconciliation</w:t>
            </w:r>
          </w:p>
        </w:tc>
        <w:tc>
          <w:tcPr>
            <w:tcW w:type="dxa" w:w="2880"/>
          </w:tcPr>
          <w:p>
            <w:r/>
            <w:r>
              <w:t>Rs 1–5 per transaction (volume discounts)</w:t>
            </w:r>
          </w:p>
        </w:tc>
      </w:tr>
      <w:tr>
        <w:tc>
          <w:tcPr>
            <w:tcW w:type="dxa" w:w="2880"/>
          </w:tcPr>
          <w:p>
            <w:r/>
            <w:r>
              <w:rPr>
                <w:b/>
              </w:rPr>
              <w:t>AI compute metering</w:t>
            </w:r>
          </w:p>
        </w:tc>
        <w:tc>
          <w:tcPr>
            <w:tcW w:type="dxa" w:w="2880"/>
          </w:tcPr>
          <w:p>
            <w:r/>
            <w:r>
              <w:t>LLM inference, agent executions</w:t>
            </w:r>
          </w:p>
        </w:tc>
        <w:tc>
          <w:tcPr>
            <w:tcW w:type="dxa" w:w="2880"/>
          </w:tcPr>
          <w:p>
            <w:r/>
            <w:r>
              <w:t>Rs 500–5K/month per operator (usage-based)</w:t>
            </w:r>
          </w:p>
        </w:tc>
      </w:tr>
      <w:tr>
        <w:tc>
          <w:tcPr>
            <w:tcW w:type="dxa" w:w="2880"/>
          </w:tcPr>
          <w:p>
            <w:r/>
            <w:r>
              <w:rPr>
                <w:b/>
              </w:rPr>
              <w:t>Integration fees</w:t>
            </w:r>
          </w:p>
        </w:tc>
        <w:tc>
          <w:tcPr>
            <w:tcW w:type="dxa" w:w="2880"/>
          </w:tcPr>
          <w:p>
            <w:r/>
            <w:r>
              <w:t>CDSC, NEPSE, ASBA connectors</w:t>
            </w:r>
          </w:p>
        </w:tc>
        <w:tc>
          <w:tcPr>
            <w:tcW w:type="dxa" w:w="2880"/>
          </w:tcPr>
          <w:p>
            <w:r/>
            <w:r>
              <w:t>Rs 1L–5L one-time + Rs 10K–30K/month maintenance</w:t>
            </w:r>
          </w:p>
        </w:tc>
      </w:tr>
      <w:tr>
        <w:tc>
          <w:tcPr>
            <w:tcW w:type="dxa" w:w="2880"/>
          </w:tcPr>
          <w:p>
            <w:r/>
            <w:r>
              <w:rPr>
                <w:b/>
              </w:rPr>
              <w:t>Plugin marketplace</w:t>
            </w:r>
          </w:p>
        </w:tc>
        <w:tc>
          <w:tcPr>
            <w:tcW w:type="dxa" w:w="2880"/>
          </w:tcPr>
          <w:p>
            <w:r/>
            <w:r>
              <w:t>Revenue share on third-party plugins</w:t>
            </w:r>
          </w:p>
        </w:tc>
        <w:tc>
          <w:tcPr>
            <w:tcW w:type="dxa" w:w="2880"/>
          </w:tcPr>
          <w:p>
            <w:r/>
            <w:r>
              <w:t>70/30 split</w:t>
            </w:r>
          </w:p>
        </w:tc>
      </w:tr>
      <w:tr>
        <w:tc>
          <w:tcPr>
            <w:tcW w:type="dxa" w:w="2880"/>
          </w:tcPr>
          <w:p>
            <w:r/>
            <w:r>
              <w:rPr>
                <w:b/>
              </w:rPr>
              <w:t>Premium support</w:t>
            </w:r>
          </w:p>
        </w:tc>
        <w:tc>
          <w:tcPr>
            <w:tcW w:type="dxa" w:w="2880"/>
          </w:tcPr>
          <w:p>
            <w:r/>
            <w:r>
              <w:t>Dedicated support + managed services</w:t>
            </w:r>
          </w:p>
        </w:tc>
        <w:tc>
          <w:tcPr>
            <w:tcW w:type="dxa" w:w="2880"/>
          </w:tcPr>
          <w:p>
            <w:r/>
            <w:r>
              <w:t>Rs 25K–1L/month</w:t>
            </w:r>
          </w:p>
        </w:tc>
      </w:tr>
      <w:tr>
        <w:tc>
          <w:tcPr>
            <w:tcW w:type="dxa" w:w="2880"/>
          </w:tcPr>
          <w:p>
            <w:r/>
            <w:r>
              <w:rPr>
                <w:b/>
              </w:rPr>
              <w:t>Regulator license</w:t>
            </w:r>
          </w:p>
        </w:tc>
        <w:tc>
          <w:tcPr>
            <w:tcW w:type="dxa" w:w="2880"/>
          </w:tcPr>
          <w:p>
            <w:r/>
            <w:r>
              <w:t>SEBON/NRB dashboard access</w:t>
            </w:r>
          </w:p>
        </w:tc>
        <w:tc>
          <w:tcPr>
            <w:tcW w:type="dxa" w:w="2880"/>
          </w:tcPr>
          <w:p>
            <w:r/>
            <w:r>
              <w:t>Custom enterprise pricing</w:t>
            </w:r>
          </w:p>
        </w:tc>
      </w:tr>
    </w:tbl>
    <w:p>
      <w:pPr>
        <w:pStyle w:val="Heading4"/>
      </w:pPr>
      <w:r>
        <w:t>**10.2. Target Unit Economics (Per Broker, at Scale)**</w:t>
      </w:r>
    </w:p>
    <w:tbl>
      <w:tblPr>
        <w:tblStyle w:val="TableGrid"/>
        <w:tblW w:type="auto" w:w="0"/>
        <w:tblLook w:firstColumn="1" w:firstRow="1" w:lastColumn="0" w:lastRow="0" w:noHBand="0" w:noVBand="1" w:val="04A0"/>
      </w:tblPr>
      <w:tblGrid>
        <w:gridCol w:w="4320"/>
        <w:gridCol w:w="4320"/>
      </w:tblGrid>
      <w:tr>
        <w:tc>
          <w:tcPr>
            <w:tcW w:type="dxa" w:w="4320"/>
            <w:shd w:fill="D9EAF7"/>
          </w:tcPr>
          <w:p>
            <w:r>
              <w:rPr>
                <w:b/>
              </w:rPr>
            </w:r>
            <w:r>
              <w:rPr>
                <w:b/>
              </w:rPr>
              <w:t>Metric</w:t>
            </w:r>
          </w:p>
        </w:tc>
        <w:tc>
          <w:tcPr>
            <w:tcW w:type="dxa" w:w="4320"/>
            <w:shd w:fill="D9EAF7"/>
          </w:tcPr>
          <w:p>
            <w:r>
              <w:rPr>
                <w:b/>
              </w:rPr>
            </w:r>
            <w:r>
              <w:rPr>
                <w:b/>
              </w:rPr>
              <w:t>Target</w:t>
            </w:r>
          </w:p>
        </w:tc>
      </w:tr>
      <w:tr>
        <w:tc>
          <w:tcPr>
            <w:tcW w:type="dxa" w:w="4320"/>
          </w:tcPr>
          <w:p>
            <w:r/>
            <w:r>
              <w:rPr>
                <w:b/>
              </w:rPr>
              <w:t>Monthly revenue per broker</w:t>
            </w:r>
          </w:p>
        </w:tc>
        <w:tc>
          <w:tcPr>
            <w:tcW w:type="dxa" w:w="4320"/>
          </w:tcPr>
          <w:p>
            <w:r/>
            <w:r>
              <w:t>Rs 75K–2L ($560–$1,500)</w:t>
            </w:r>
          </w:p>
        </w:tc>
      </w:tr>
      <w:tr>
        <w:tc>
          <w:tcPr>
            <w:tcW w:type="dxa" w:w="4320"/>
          </w:tcPr>
          <w:p>
            <w:r/>
            <w:r>
              <w:rPr>
                <w:b/>
              </w:rPr>
              <w:t>Customer acquisition cost</w:t>
            </w:r>
          </w:p>
        </w:tc>
        <w:tc>
          <w:tcPr>
            <w:tcW w:type="dxa" w:w="4320"/>
          </w:tcPr>
          <w:p>
            <w:r/>
            <w:r>
              <w:t>Rs 2–5L ($1,500–$3,750)</w:t>
            </w:r>
          </w:p>
        </w:tc>
      </w:tr>
      <w:tr>
        <w:tc>
          <w:tcPr>
            <w:tcW w:type="dxa" w:w="4320"/>
          </w:tcPr>
          <w:p>
            <w:r/>
            <w:r>
              <w:rPr>
                <w:b/>
              </w:rPr>
              <w:t>Payback period</w:t>
            </w:r>
          </w:p>
        </w:tc>
        <w:tc>
          <w:tcPr>
            <w:tcW w:type="dxa" w:w="4320"/>
          </w:tcPr>
          <w:p>
            <w:r/>
            <w:r>
              <w:t>3–6 months</w:t>
            </w:r>
          </w:p>
        </w:tc>
      </w:tr>
      <w:tr>
        <w:tc>
          <w:tcPr>
            <w:tcW w:type="dxa" w:w="4320"/>
          </w:tcPr>
          <w:p>
            <w:r/>
            <w:r>
              <w:rPr>
                <w:b/>
              </w:rPr>
              <w:t>Gross margin</w:t>
            </w:r>
          </w:p>
        </w:tc>
        <w:tc>
          <w:tcPr>
            <w:tcW w:type="dxa" w:w="4320"/>
          </w:tcPr>
          <w:p>
            <w:r/>
            <w:r>
              <w:t>75–85% (SaaS model)</w:t>
            </w:r>
          </w:p>
        </w:tc>
      </w:tr>
      <w:tr>
        <w:tc>
          <w:tcPr>
            <w:tcW w:type="dxa" w:w="4320"/>
          </w:tcPr>
          <w:p>
            <w:r/>
            <w:r>
              <w:rPr>
                <w:b/>
              </w:rPr>
              <w:t>Net revenue retention</w:t>
            </w:r>
          </w:p>
        </w:tc>
        <w:tc>
          <w:tcPr>
            <w:tcW w:type="dxa" w:w="4320"/>
          </w:tcPr>
          <w:p>
            <w:r/>
            <w:r>
              <w:t>&gt;120% (upsell packs + AI features)</w:t>
            </w:r>
          </w:p>
        </w:tc>
      </w:tr>
    </w:tbl>
    <w:p>
      <w:r>
        <w:t>---</w:t>
      </w:r>
    </w:p>
    <w:p>
      <w:pPr>
        <w:pStyle w:val="Heading3"/>
      </w:pPr>
      <w:r>
        <w:t>**11. Conclusion: The Siddhanta Mandate**</w:t>
      </w:r>
    </w:p>
    <w:p>
      <w:r>
        <w:t>The chaos of the current market is the clearest signal of opportunity. The dual-ISIN dispute is not just a technical argument; it is a cry for a new kind of infrastructure—one that is transparent, intelligent, and trustworthy by design.</w:t>
      </w:r>
    </w:p>
    <w:p>
      <w:r>
        <w:rPr>
          <w:b/>
        </w:rPr>
        <w:t>Project Siddhanta</w:t>
      </w:r>
      <w:r>
        <w:t xml:space="preserve"> is not just building software for Nepal. It is offering a path out of the current regulatory and operational maze. By embedding the rules into the architecture, automating compliance, and providing an immutable source of truth, we can help Nepal leapfrog the growing pains of other markets and build a capital markets ecosystem that is truly fit for the 21st century.</w:t>
      </w:r>
    </w:p>
    <w:p>
      <w:r>
        <w:rPr>
          <w:b/>
        </w:rPr>
        <w:t>What makes this specification implementation-oriented:</w:t>
      </w:r>
    </w:p>
    <w:p>
      <w:pPr>
        <w:pStyle w:val="ListBullet"/>
      </w:pPr>
      <w:r>
        <w:rPr>
          <w:b/>
        </w:rPr>
        <w:t>Multi-tenancy</w:t>
      </w:r>
      <w:r>
        <w:t xml:space="preserve"> (§4.4): 90 brokers can share infrastructure with ironclad data isolation.</w:t>
      </w:r>
    </w:p>
    <w:p>
      <w:pPr>
        <w:pStyle w:val="ListBullet"/>
      </w:pPr>
      <w:r>
        <w:rPr>
          <w:b/>
        </w:rPr>
        <w:t>API-first pluggable architecture</w:t>
      </w:r>
      <w:r>
        <w:t xml:space="preserve"> (§4.5): every capability exposed as a versioned API; developer portal enables a plugin ecosystem.</w:t>
      </w:r>
    </w:p>
    <w:p>
      <w:pPr>
        <w:pStyle w:val="ListBullet"/>
      </w:pPr>
      <w:r>
        <w:rPr>
          <w:b/>
        </w:rPr>
        <w:t>Real-world operational readiness</w:t>
      </w:r>
      <w:r>
        <w:t xml:space="preserve"> (§4.6–4.9): notifications, batch processing, observability, and SRE practices address day-to-day operational reality.</w:t>
      </w:r>
    </w:p>
    <w:p>
      <w:pPr>
        <w:pStyle w:val="ListBullet"/>
      </w:pPr>
      <w:r>
        <w:rPr>
          <w:b/>
        </w:rPr>
        <w:t>Adoption strategy</w:t>
      </w:r>
      <w:r>
        <w:t xml:space="preserve"> (§4.10): migration path from Excel-era systems acknowledges the human side of platform adoption.</w:t>
      </w:r>
    </w:p>
    <w:p>
      <w:pPr>
        <w:pStyle w:val="ListBullet"/>
      </w:pPr>
      <w:r>
        <w:rPr>
          <w:b/>
        </w:rPr>
        <w:t>Automation maturity model</w:t>
      </w:r>
      <w:r>
        <w:t xml:space="preserve"> (§5.0): L1–L5 levels provide a clear, measurable path from manual operations to autonomous AI.</w:t>
      </w:r>
    </w:p>
    <w:p>
      <w:r>
        <w:rPr>
          <w:b/>
        </w:rPr>
        <w:t>The Siddhanta sequence:</w:t>
      </w:r>
    </w:p>
    <w:p>
      <w:pPr>
        <w:pStyle w:val="ListNumber"/>
      </w:pPr>
      <w:r>
        <w:t>Solve the promoter share crisis (prove value to regulators).</w:t>
      </w:r>
    </w:p>
    <w:p>
      <w:pPr>
        <w:pStyle w:val="ListNumber"/>
      </w:pPr>
      <w:r>
        <w:t>Modernize broker operations (prove value to intermediaries).</w:t>
      </w:r>
    </w:p>
    <w:p>
      <w:pPr>
        <w:pStyle w:val="ListNumber"/>
      </w:pPr>
      <w:r>
        <w:t>Digitize primary markets (prove value to issuers and investors).</w:t>
      </w:r>
    </w:p>
    <w:p>
      <w:pPr>
        <w:pStyle w:val="ListNumber"/>
      </w:pPr>
      <w:r>
        <w:t>Become the operating system for Nepal's capital markets.</w:t>
      </w:r>
    </w:p>
    <w:p>
      <w:pPr>
        <w:pStyle w:val="ListNumber"/>
      </w:pPr>
      <w:r>
        <w:t>Expand regionally as the proven AI-native platform for emerging South Asian markets.</w:t>
      </w:r>
    </w:p>
    <w:p>
      <w:r>
        <w:t>The first step is not a grand launch, but a targeted intervention to solve the promoter share crisis, proving that technology can do what flagging codes and policy debates cannot.</w:t>
      </w:r>
    </w:p>
    <w:p>
      <w:r>
        <w:t>---</w:t>
      </w:r>
    </w:p>
    <w:p>
      <w:pPr>
        <w:pStyle w:val="Heading3"/>
      </w:pPr>
      <w:r>
        <w:t>Appendix A: Source Validation Ledger (Primary-Source Coverage)</w:t>
      </w:r>
    </w:p>
    <w:p>
      <w:r>
        <w:t xml:space="preserve">This appendix is the operational checklist for making the document </w:t>
      </w:r>
      <w:r>
        <w:rPr>
          <w:b/>
        </w:rPr>
        <w:t>audit-ready</w:t>
      </w:r>
      <w:r>
        <w:t>. Every entry here must have a primary source attached before go-live.</w:t>
      </w:r>
    </w:p>
    <w:p>
      <w:pPr>
        <w:pStyle w:val="Heading4"/>
      </w:pPr>
      <w:r>
        <w:t>A.1 Market facts &amp; counts (ASR)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AF7"/>
          </w:tcPr>
          <w:p>
            <w:r>
              <w:rPr>
                <w:b/>
              </w:rPr>
            </w:r>
            <w:r>
              <w:rPr>
                <w:b/>
              </w:rPr>
              <w:t>Claim / Field</w:t>
            </w:r>
          </w:p>
        </w:tc>
        <w:tc>
          <w:tcPr>
            <w:tcW w:type="dxa" w:w="1440"/>
            <w:shd w:fill="D9EAF7"/>
          </w:tcPr>
          <w:p>
            <w:r>
              <w:rPr>
                <w:b/>
              </w:rPr>
            </w:r>
            <w:r>
              <w:rPr>
                <w:b/>
              </w:rPr>
              <w:t>Value in this doc</w:t>
            </w:r>
          </w:p>
        </w:tc>
        <w:tc>
          <w:tcPr>
            <w:tcW w:type="dxa" w:w="1440"/>
            <w:shd w:fill="D9EAF7"/>
          </w:tcPr>
          <w:p>
            <w:r>
              <w:rPr>
                <w:b/>
              </w:rPr>
            </w:r>
            <w:r>
              <w:rPr>
                <w:b/>
              </w:rPr>
              <w:t>Primary source (URL)</w:t>
            </w:r>
          </w:p>
        </w:tc>
        <w:tc>
          <w:tcPr>
            <w:tcW w:type="dxa" w:w="1440"/>
            <w:shd w:fill="D9EAF7"/>
          </w:tcPr>
          <w:p>
            <w:r>
              <w:rPr>
                <w:b/>
              </w:rPr>
            </w:r>
            <w:r>
              <w:rPr>
                <w:b/>
              </w:rPr>
              <w:t>Evidence date</w:t>
            </w:r>
          </w:p>
        </w:tc>
        <w:tc>
          <w:tcPr>
            <w:tcW w:type="dxa" w:w="1440"/>
            <w:shd w:fill="D9EAF7"/>
          </w:tcPr>
          <w:p>
            <w:r>
              <w:rPr>
                <w:b/>
              </w:rPr>
            </w:r>
            <w:r>
              <w:rPr>
                <w:b/>
              </w:rPr>
              <w:t>Status</w:t>
            </w:r>
          </w:p>
        </w:tc>
        <w:tc>
          <w:tcPr>
            <w:tcW w:type="dxa" w:w="1440"/>
            <w:shd w:fill="D9EAF7"/>
          </w:tcPr>
          <w:p>
            <w:r>
              <w:rPr>
                <w:b/>
              </w:rPr>
            </w:r>
            <w:r>
              <w:rPr>
                <w:b/>
              </w:rPr>
              <w:t>Notes</w:t>
            </w:r>
          </w:p>
        </w:tc>
      </w:tr>
      <w:tr>
        <w:tc>
          <w:tcPr>
            <w:tcW w:type="dxa" w:w="1440"/>
          </w:tcPr>
          <w:p>
            <w:r/>
            <w:r>
              <w:t>Demat accounts</w:t>
            </w:r>
          </w:p>
        </w:tc>
        <w:tc>
          <w:tcPr>
            <w:tcW w:type="dxa" w:w="1440"/>
          </w:tcPr>
          <w:p>
            <w:r/>
            <w:r>
              <w:t>7,511,020</w:t>
            </w:r>
          </w:p>
        </w:tc>
        <w:tc>
          <w:tcPr>
            <w:tcW w:type="dxa" w:w="1440"/>
          </w:tcPr>
          <w:p>
            <w:r/>
            <w:r>
              <w:t>https://cdsc.com.np/</w:t>
            </w:r>
          </w:p>
        </w:tc>
        <w:tc>
          <w:tcPr>
            <w:tcW w:type="dxa" w:w="1440"/>
          </w:tcPr>
          <w:p>
            <w:r/>
            <w:r>
              <w:t>2026-03-01</w:t>
            </w:r>
          </w:p>
        </w:tc>
        <w:tc>
          <w:tcPr>
            <w:tcW w:type="dxa" w:w="1440"/>
          </w:tcPr>
          <w:p>
            <w:r/>
            <w:r>
              <w:t>✅ Verified</w:t>
            </w:r>
          </w:p>
        </w:tc>
        <w:tc>
          <w:tcPr>
            <w:tcW w:type="dxa" w:w="1440"/>
          </w:tcPr>
          <w:p>
            <w:r/>
            <w:r>
              <w:t>CDSC homepage counter (ASR-NEP-CDSC-2026-03-01). Snapshot/hash recommended.</w:t>
            </w:r>
          </w:p>
        </w:tc>
      </w:tr>
      <w:tr>
        <w:tc>
          <w:tcPr>
            <w:tcW w:type="dxa" w:w="1440"/>
          </w:tcPr>
          <w:p>
            <w:r/>
            <w:r>
              <w:t>Registered Meroshare users</w:t>
            </w:r>
          </w:p>
        </w:tc>
        <w:tc>
          <w:tcPr>
            <w:tcW w:type="dxa" w:w="1440"/>
          </w:tcPr>
          <w:p>
            <w:r/>
            <w:r>
              <w:t>6,586,798</w:t>
            </w:r>
          </w:p>
        </w:tc>
        <w:tc>
          <w:tcPr>
            <w:tcW w:type="dxa" w:w="1440"/>
          </w:tcPr>
          <w:p>
            <w:r/>
            <w:r>
              <w:t>https://cdsc.com.np/</w:t>
            </w:r>
          </w:p>
        </w:tc>
        <w:tc>
          <w:tcPr>
            <w:tcW w:type="dxa" w:w="1440"/>
          </w:tcPr>
          <w:p>
            <w:r/>
            <w:r>
              <w:t>2026-03-01</w:t>
            </w:r>
          </w:p>
        </w:tc>
        <w:tc>
          <w:tcPr>
            <w:tcW w:type="dxa" w:w="1440"/>
          </w:tcPr>
          <w:p>
            <w:r/>
            <w:r>
              <w:t>✅ Verified</w:t>
            </w:r>
          </w:p>
        </w:tc>
        <w:tc>
          <w:tcPr>
            <w:tcW w:type="dxa" w:w="1440"/>
          </w:tcPr>
          <w:p>
            <w:r/>
            <w:r>
              <w:t>CDSC homepage counter (ASR-NEP-CDSC-2026-03-01).</w:t>
            </w:r>
          </w:p>
        </w:tc>
      </w:tr>
      <w:tr>
        <w:tc>
          <w:tcPr>
            <w:tcW w:type="dxa" w:w="1440"/>
          </w:tcPr>
          <w:p>
            <w:r/>
            <w:r>
              <w:t>Licensed Depository Participants (CDSC counters)</w:t>
            </w:r>
          </w:p>
        </w:tc>
        <w:tc>
          <w:tcPr>
            <w:tcW w:type="dxa" w:w="1440"/>
          </w:tcPr>
          <w:p>
            <w:r/>
            <w:r>
              <w:t>122</w:t>
            </w:r>
          </w:p>
        </w:tc>
        <w:tc>
          <w:tcPr>
            <w:tcW w:type="dxa" w:w="1440"/>
          </w:tcPr>
          <w:p>
            <w:r/>
            <w:r>
              <w:t>https://cdsc.com.np/</w:t>
            </w:r>
          </w:p>
        </w:tc>
        <w:tc>
          <w:tcPr>
            <w:tcW w:type="dxa" w:w="1440"/>
          </w:tcPr>
          <w:p>
            <w:r/>
            <w:r>
              <w:t>2026-03-01</w:t>
            </w:r>
          </w:p>
        </w:tc>
        <w:tc>
          <w:tcPr>
            <w:tcW w:type="dxa" w:w="1440"/>
          </w:tcPr>
          <w:p>
            <w:r/>
            <w:r>
              <w:t>✅ Verified</w:t>
            </w:r>
          </w:p>
        </w:tc>
        <w:tc>
          <w:tcPr>
            <w:tcW w:type="dxa" w:w="1440"/>
          </w:tcPr>
          <w:p>
            <w:r/>
            <w:r>
              <w:t>CDSC counters (ASR-NEP-CDSC-2026-03-01).</w:t>
            </w:r>
          </w:p>
        </w:tc>
      </w:tr>
      <w:tr>
        <w:tc>
          <w:tcPr>
            <w:tcW w:type="dxa" w:w="1440"/>
          </w:tcPr>
          <w:p>
            <w:r/>
            <w:r>
              <w:t>Registered C-ASBA banks</w:t>
            </w:r>
          </w:p>
        </w:tc>
        <w:tc>
          <w:tcPr>
            <w:tcW w:type="dxa" w:w="1440"/>
          </w:tcPr>
          <w:p>
            <w:r/>
            <w:r>
              <w:t>43</w:t>
            </w:r>
          </w:p>
        </w:tc>
        <w:tc>
          <w:tcPr>
            <w:tcW w:type="dxa" w:w="1440"/>
          </w:tcPr>
          <w:p>
            <w:r/>
            <w:r>
              <w:t>https://cdsc.com.np/</w:t>
            </w:r>
          </w:p>
        </w:tc>
        <w:tc>
          <w:tcPr>
            <w:tcW w:type="dxa" w:w="1440"/>
          </w:tcPr>
          <w:p>
            <w:r/>
            <w:r>
              <w:t>2026-03-01</w:t>
            </w:r>
          </w:p>
        </w:tc>
        <w:tc>
          <w:tcPr>
            <w:tcW w:type="dxa" w:w="1440"/>
          </w:tcPr>
          <w:p>
            <w:r/>
            <w:r>
              <w:t>✅ Verified</w:t>
            </w:r>
          </w:p>
        </w:tc>
        <w:tc>
          <w:tcPr>
            <w:tcW w:type="dxa" w:w="1440"/>
          </w:tcPr>
          <w:p>
            <w:r/>
            <w:r>
              <w:t>CDSC counters (ASR-NEP-CDSC-2026-03-01).</w:t>
            </w:r>
          </w:p>
        </w:tc>
      </w:tr>
      <w:tr>
        <w:tc>
          <w:tcPr>
            <w:tcW w:type="dxa" w:w="1440"/>
          </w:tcPr>
          <w:p>
            <w:r/>
            <w:r>
              <w:t>RTA entries</w:t>
            </w:r>
          </w:p>
        </w:tc>
        <w:tc>
          <w:tcPr>
            <w:tcW w:type="dxa" w:w="1440"/>
          </w:tcPr>
          <w:p>
            <w:r/>
            <w:r>
              <w:t>46</w:t>
            </w:r>
          </w:p>
        </w:tc>
        <w:tc>
          <w:tcPr>
            <w:tcW w:type="dxa" w:w="1440"/>
          </w:tcPr>
          <w:p>
            <w:r/>
            <w:r>
              <w:t>https://cdsc.com.np/</w:t>
            </w:r>
          </w:p>
        </w:tc>
        <w:tc>
          <w:tcPr>
            <w:tcW w:type="dxa" w:w="1440"/>
          </w:tcPr>
          <w:p>
            <w:r/>
            <w:r>
              <w:t>2026-03-01</w:t>
            </w:r>
          </w:p>
        </w:tc>
        <w:tc>
          <w:tcPr>
            <w:tcW w:type="dxa" w:w="1440"/>
          </w:tcPr>
          <w:p>
            <w:r/>
            <w:r>
              <w:t>✅ Verified</w:t>
            </w:r>
          </w:p>
        </w:tc>
        <w:tc>
          <w:tcPr>
            <w:tcW w:type="dxa" w:w="1440"/>
          </w:tcPr>
          <w:p>
            <w:r/>
            <w:r>
              <w:t>CDSC counters (ASR-NEP-CDSC-2026-03-01).</w:t>
            </w:r>
          </w:p>
        </w:tc>
      </w:tr>
      <w:tr>
        <w:tc>
          <w:tcPr>
            <w:tcW w:type="dxa" w:w="1440"/>
          </w:tcPr>
          <w:p>
            <w:r/>
            <w:r>
              <w:t>Stock brokers</w:t>
            </w:r>
          </w:p>
        </w:tc>
        <w:tc>
          <w:tcPr>
            <w:tcW w:type="dxa" w:w="1440"/>
          </w:tcPr>
          <w:p>
            <w:r/>
            <w:r>
              <w:t>90</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SEBON intermediaries listing (ASR-NEP-SEBON-2026-03-01).</w:t>
            </w:r>
          </w:p>
        </w:tc>
      </w:tr>
      <w:tr>
        <w:tc>
          <w:tcPr>
            <w:tcW w:type="dxa" w:w="1440"/>
          </w:tcPr>
          <w:p>
            <w:r/>
            <w:r>
              <w:t>Stock dealers</w:t>
            </w:r>
          </w:p>
        </w:tc>
        <w:tc>
          <w:tcPr>
            <w:tcW w:type="dxa" w:w="1440"/>
          </w:tcPr>
          <w:p>
            <w:r/>
            <w:r>
              <w:t>2</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SEBON intermediaries listing (ASR-NEP-SEBON-2026-03-01).</w:t>
            </w:r>
          </w:p>
        </w:tc>
      </w:tr>
      <w:tr>
        <w:tc>
          <w:tcPr>
            <w:tcW w:type="dxa" w:w="1440"/>
          </w:tcPr>
          <w:p>
            <w:r/>
            <w:r>
              <w:t>Merchant bankers</w:t>
            </w:r>
          </w:p>
        </w:tc>
        <w:tc>
          <w:tcPr>
            <w:tcW w:type="dxa" w:w="1440"/>
          </w:tcPr>
          <w:p>
            <w:r/>
            <w:r>
              <w:t>32</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SEBON intermediaries listing (ASR-NEP-SEBON-2026-03-01).</w:t>
            </w:r>
          </w:p>
        </w:tc>
      </w:tr>
      <w:tr>
        <w:tc>
          <w:tcPr>
            <w:tcW w:type="dxa" w:w="1440"/>
          </w:tcPr>
          <w:p>
            <w:r/>
            <w:r>
              <w:t>Fund Manager and Depository (category count)</w:t>
            </w:r>
          </w:p>
        </w:tc>
        <w:tc>
          <w:tcPr>
            <w:tcW w:type="dxa" w:w="1440"/>
          </w:tcPr>
          <w:p>
            <w:r/>
            <w:r>
              <w:t>17</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Category label only; do not restate as 17 standalone fund managers (ASR-NEP-SEBON-2026-03-01).</w:t>
            </w:r>
          </w:p>
        </w:tc>
      </w:tr>
      <w:tr>
        <w:tc>
          <w:tcPr>
            <w:tcW w:type="dxa" w:w="1440"/>
          </w:tcPr>
          <w:p>
            <w:r/>
            <w:r>
              <w:t>Credit rating agencies</w:t>
            </w:r>
          </w:p>
        </w:tc>
        <w:tc>
          <w:tcPr>
            <w:tcW w:type="dxa" w:w="1440"/>
          </w:tcPr>
          <w:p>
            <w:r/>
            <w:r>
              <w:t>3</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SEBON intermediaries listing (ASR-NEP-SEBON-2026-03-01).</w:t>
            </w:r>
          </w:p>
        </w:tc>
      </w:tr>
      <w:tr>
        <w:tc>
          <w:tcPr>
            <w:tcW w:type="dxa" w:w="1440"/>
          </w:tcPr>
          <w:p>
            <w:r/>
            <w:r>
              <w:t>Mutual funds</w:t>
            </w:r>
          </w:p>
        </w:tc>
        <w:tc>
          <w:tcPr>
            <w:tcW w:type="dxa" w:w="1440"/>
          </w:tcPr>
          <w:p>
            <w:r/>
            <w:r>
              <w:t>24</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SEBON intermediaries listing (ASR-NEP-SEBON-2026-03-01).</w:t>
            </w:r>
          </w:p>
        </w:tc>
      </w:tr>
      <w:tr>
        <w:tc>
          <w:tcPr>
            <w:tcW w:type="dxa" w:w="1440"/>
          </w:tcPr>
          <w:p>
            <w:r/>
            <w:r>
              <w:t>Specialized investment fund managers</w:t>
            </w:r>
          </w:p>
        </w:tc>
        <w:tc>
          <w:tcPr>
            <w:tcW w:type="dxa" w:w="1440"/>
          </w:tcPr>
          <w:p>
            <w:r/>
            <w:r>
              <w:t>19</w:t>
            </w:r>
          </w:p>
        </w:tc>
        <w:tc>
          <w:tcPr>
            <w:tcW w:type="dxa" w:w="1440"/>
          </w:tcPr>
          <w:p>
            <w:r/>
            <w:r>
              <w:t>https://www.sebon.gov.np/intermediaries</w:t>
            </w:r>
          </w:p>
        </w:tc>
        <w:tc>
          <w:tcPr>
            <w:tcW w:type="dxa" w:w="1440"/>
          </w:tcPr>
          <w:p>
            <w:r/>
            <w:r>
              <w:t>2026-03-01</w:t>
            </w:r>
          </w:p>
        </w:tc>
        <w:tc>
          <w:tcPr>
            <w:tcW w:type="dxa" w:w="1440"/>
          </w:tcPr>
          <w:p>
            <w:r/>
            <w:r>
              <w:t>✅ Verified</w:t>
            </w:r>
          </w:p>
        </w:tc>
        <w:tc>
          <w:tcPr>
            <w:tcW w:type="dxa" w:w="1440"/>
          </w:tcPr>
          <w:p>
            <w:r/>
            <w:r>
              <w:t>SEBON intermediaries listing (ASR-NEP-SEBON-2026-03-01).</w:t>
            </w:r>
          </w:p>
        </w:tc>
      </w:tr>
      <w:tr>
        <w:tc>
          <w:tcPr>
            <w:tcW w:type="dxa" w:w="1440"/>
          </w:tcPr>
          <w:p>
            <w:r/>
            <w:r>
              <w:t>Listed companies</w:t>
            </w:r>
          </w:p>
        </w:tc>
        <w:tc>
          <w:tcPr>
            <w:tcW w:type="dxa" w:w="1440"/>
          </w:tcPr>
          <w:p>
            <w:r/>
            <w:r>
              <w:t>270+</w:t>
            </w:r>
          </w:p>
        </w:tc>
        <w:tc>
          <w:tcPr>
            <w:tcW w:type="dxa" w:w="1440"/>
          </w:tcPr>
          <w:p>
            <w:r/>
            <w:r>
              <w:t>[VERIFY — add NEPSE official publication URL/PDF for listed-company count]</w:t>
            </w:r>
          </w:p>
        </w:tc>
        <w:tc>
          <w:tcPr>
            <w:tcW w:type="dxa" w:w="1440"/>
          </w:tcPr>
          <w:p>
            <w:r/>
            <w:r>
              <w:t>—</w:t>
            </w:r>
          </w:p>
        </w:tc>
        <w:tc>
          <w:tcPr>
            <w:tcW w:type="dxa" w:w="1440"/>
          </w:tcPr>
          <w:p>
            <w:r/>
            <w:r>
              <w:t>⛔ Missing</w:t>
            </w:r>
          </w:p>
        </w:tc>
        <w:tc>
          <w:tcPr>
            <w:tcW w:type="dxa" w:w="1440"/>
          </w:tcPr>
          <w:p>
            <w:r/>
            <w:r>
              <w:t>Current value is an illustrative benchmark (ASR-NEP-MKT-ILL-2025).</w:t>
            </w:r>
          </w:p>
        </w:tc>
      </w:tr>
      <w:tr>
        <w:tc>
          <w:tcPr>
            <w:tcW w:type="dxa" w:w="1440"/>
          </w:tcPr>
          <w:p>
            <w:r/>
            <w:r>
              <w:t>Market capitalization</w:t>
            </w:r>
          </w:p>
        </w:tc>
        <w:tc>
          <w:tcPr>
            <w:tcW w:type="dxa" w:w="1440"/>
          </w:tcPr>
          <w:p>
            <w:r/>
            <w:r>
              <w:t>~Rs 4,657B</w:t>
            </w:r>
          </w:p>
        </w:tc>
        <w:tc>
          <w:tcPr>
            <w:tcW w:type="dxa" w:w="1440"/>
          </w:tcPr>
          <w:p>
            <w:r/>
            <w:r>
              <w:t>[VERIFY — add NEPSE official monthly/annual stats URL/PDF]</w:t>
            </w:r>
          </w:p>
        </w:tc>
        <w:tc>
          <w:tcPr>
            <w:tcW w:type="dxa" w:w="1440"/>
          </w:tcPr>
          <w:p>
            <w:r/>
            <w:r>
              <w:t>—</w:t>
            </w:r>
          </w:p>
        </w:tc>
        <w:tc>
          <w:tcPr>
            <w:tcW w:type="dxa" w:w="1440"/>
          </w:tcPr>
          <w:p>
            <w:r/>
            <w:r>
              <w:t>⛔ Missing</w:t>
            </w:r>
          </w:p>
        </w:tc>
        <w:tc>
          <w:tcPr>
            <w:tcW w:type="dxa" w:w="1440"/>
          </w:tcPr>
          <w:p>
            <w:r/>
            <w:r>
              <w:t>Current value is an illustrative benchmark (ASR-NEP-MKT-ILL-2025).</w:t>
            </w:r>
          </w:p>
        </w:tc>
      </w:tr>
      <w:tr>
        <w:tc>
          <w:tcPr>
            <w:tcW w:type="dxa" w:w="1440"/>
          </w:tcPr>
          <w:p>
            <w:r/>
            <w:r>
              <w:t>Monthly turnover (Jan 2026)</w:t>
            </w:r>
          </w:p>
        </w:tc>
        <w:tc>
          <w:tcPr>
            <w:tcW w:type="dxa" w:w="1440"/>
          </w:tcPr>
          <w:p>
            <w:r/>
            <w:r>
              <w:t>346M shares</w:t>
            </w:r>
          </w:p>
        </w:tc>
        <w:tc>
          <w:tcPr>
            <w:tcW w:type="dxa" w:w="1440"/>
          </w:tcPr>
          <w:p>
            <w:r/>
            <w:r>
              <w:t>[VERIFY — add NEPSE official monthly stats URL/PDF]</w:t>
            </w:r>
          </w:p>
        </w:tc>
        <w:tc>
          <w:tcPr>
            <w:tcW w:type="dxa" w:w="1440"/>
          </w:tcPr>
          <w:p>
            <w:r/>
            <w:r>
              <w:t>—</w:t>
            </w:r>
          </w:p>
        </w:tc>
        <w:tc>
          <w:tcPr>
            <w:tcW w:type="dxa" w:w="1440"/>
          </w:tcPr>
          <w:p>
            <w:r/>
            <w:r>
              <w:t>⛔ Missing</w:t>
            </w:r>
          </w:p>
        </w:tc>
        <w:tc>
          <w:tcPr>
            <w:tcW w:type="dxa" w:w="1440"/>
          </w:tcPr>
          <w:p>
            <w:r/>
            <w:r>
              <w:t>Current value is an illustrative benchmark (ASR-NEP-TURNOVER-ILL-2026-01).</w:t>
            </w:r>
          </w:p>
        </w:tc>
      </w:tr>
      <w:tr>
        <w:tc>
          <w:tcPr>
            <w:tcW w:type="dxa" w:w="1440"/>
          </w:tcPr>
          <w:p>
            <w:r/>
            <w:r>
              <w:t>Daily peak turnover (Jan 26, 2026)</w:t>
            </w:r>
          </w:p>
        </w:tc>
        <w:tc>
          <w:tcPr>
            <w:tcW w:type="dxa" w:w="1440"/>
          </w:tcPr>
          <w:p>
            <w:r/>
            <w:r>
              <w:t>Rs 16.35B</w:t>
            </w:r>
          </w:p>
        </w:tc>
        <w:tc>
          <w:tcPr>
            <w:tcW w:type="dxa" w:w="1440"/>
          </w:tcPr>
          <w:p>
            <w:r/>
            <w:r>
              <w:t>[VERIFY — add NEPSE official daily report/notice]</w:t>
            </w:r>
          </w:p>
        </w:tc>
        <w:tc>
          <w:tcPr>
            <w:tcW w:type="dxa" w:w="1440"/>
          </w:tcPr>
          <w:p>
            <w:r/>
            <w:r>
              <w:t>—</w:t>
            </w:r>
          </w:p>
        </w:tc>
        <w:tc>
          <w:tcPr>
            <w:tcW w:type="dxa" w:w="1440"/>
          </w:tcPr>
          <w:p>
            <w:r/>
            <w:r>
              <w:t>⛔ Missing</w:t>
            </w:r>
          </w:p>
        </w:tc>
        <w:tc>
          <w:tcPr>
            <w:tcW w:type="dxa" w:w="1440"/>
          </w:tcPr>
          <w:p>
            <w:r/>
            <w:r>
              <w:t>Current value is an illustrative benchmark (ASR-NEP-TURNOVER-ILL-2026-01).</w:t>
            </w:r>
          </w:p>
        </w:tc>
      </w:tr>
    </w:tbl>
    <w:p>
      <w:pPr>
        <w:pStyle w:val="Heading4"/>
      </w:pPr>
      <w:r>
        <w:t>A.2 Regulatory / directive sources (LCA)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AF7"/>
          </w:tcPr>
          <w:p>
            <w:r>
              <w:rPr>
                <w:b/>
              </w:rPr>
            </w:r>
            <w:r>
              <w:rPr>
                <w:b/>
              </w:rPr>
              <w:t>Topic</w:t>
            </w:r>
          </w:p>
        </w:tc>
        <w:tc>
          <w:tcPr>
            <w:tcW w:type="dxa" w:w="1440"/>
            <w:shd w:fill="D9EAF7"/>
          </w:tcPr>
          <w:p>
            <w:r>
              <w:rPr>
                <w:b/>
              </w:rPr>
            </w:r>
            <w:r>
              <w:rPr>
                <w:b/>
              </w:rPr>
              <w:t>What is claimed in this doc</w:t>
            </w:r>
          </w:p>
        </w:tc>
        <w:tc>
          <w:tcPr>
            <w:tcW w:type="dxa" w:w="1440"/>
            <w:shd w:fill="D9EAF7"/>
          </w:tcPr>
          <w:p>
            <w:r>
              <w:rPr>
                <w:b/>
              </w:rPr>
            </w:r>
            <w:r>
              <w:rPr>
                <w:b/>
              </w:rPr>
              <w:t>Primary source (URL)</w:t>
            </w:r>
          </w:p>
        </w:tc>
        <w:tc>
          <w:tcPr>
            <w:tcW w:type="dxa" w:w="1440"/>
            <w:shd w:fill="D9EAF7"/>
          </w:tcPr>
          <w:p>
            <w:r>
              <w:rPr>
                <w:b/>
              </w:rPr>
            </w:r>
            <w:r>
              <w:rPr>
                <w:b/>
              </w:rPr>
              <w:t>Evidence date</w:t>
            </w:r>
          </w:p>
        </w:tc>
        <w:tc>
          <w:tcPr>
            <w:tcW w:type="dxa" w:w="1440"/>
            <w:shd w:fill="D9EAF7"/>
          </w:tcPr>
          <w:p>
            <w:r>
              <w:rPr>
                <w:b/>
              </w:rPr>
            </w:r>
            <w:r>
              <w:rPr>
                <w:b/>
              </w:rPr>
              <w:t>Status</w:t>
            </w:r>
          </w:p>
        </w:tc>
        <w:tc>
          <w:tcPr>
            <w:tcW w:type="dxa" w:w="1440"/>
            <w:shd w:fill="D9EAF7"/>
          </w:tcPr>
          <w:p>
            <w:r>
              <w:rPr>
                <w:b/>
              </w:rPr>
            </w:r>
            <w:r>
              <w:rPr>
                <w:b/>
              </w:rPr>
              <w:t>Notes</w:t>
            </w:r>
          </w:p>
        </w:tc>
      </w:tr>
      <w:tr>
        <w:tc>
          <w:tcPr>
            <w:tcW w:type="dxa" w:w="1440"/>
          </w:tcPr>
          <w:p>
            <w:r/>
            <w:r>
              <w:t>NRB AI Guidelines</w:t>
            </w:r>
          </w:p>
        </w:tc>
        <w:tc>
          <w:tcPr>
            <w:tcW w:type="dxa" w:w="1440"/>
          </w:tcPr>
          <w:p>
            <w:r/>
            <w:r>
              <w:t>Governance baseline + consent / opt-out, oversight, auditability</w:t>
            </w:r>
          </w:p>
        </w:tc>
        <w:tc>
          <w:tcPr>
            <w:tcW w:type="dxa" w:w="1440"/>
          </w:tcPr>
          <w:p>
            <w:r/>
            <w:r>
              <w:t>https://www.nrb.org.np/contents/uploads/2025/12/AI-Guidelines.pdf</w:t>
            </w:r>
          </w:p>
        </w:tc>
        <w:tc>
          <w:tcPr>
            <w:tcW w:type="dxa" w:w="1440"/>
          </w:tcPr>
          <w:p>
            <w:r/>
            <w:r>
              <w:t>2025-12</w:t>
            </w:r>
          </w:p>
        </w:tc>
        <w:tc>
          <w:tcPr>
            <w:tcW w:type="dxa" w:w="1440"/>
          </w:tcPr>
          <w:p>
            <w:r/>
            <w:r>
              <w:t>✅ Verified</w:t>
            </w:r>
          </w:p>
        </w:tc>
        <w:tc>
          <w:tcPr>
            <w:tcW w:type="dxa" w:w="1440"/>
          </w:tcPr>
          <w:p>
            <w:r/>
            <w:r>
              <w:t>Clause-backed via LCA-001, LCA-002.</w:t>
            </w:r>
          </w:p>
        </w:tc>
      </w:tr>
      <w:tr>
        <w:tc>
          <w:tcPr>
            <w:tcW w:type="dxa" w:w="1440"/>
          </w:tcPr>
          <w:p>
            <w:r/>
            <w:r>
              <w:t>NRB eKYC readiness</w:t>
            </w:r>
          </w:p>
        </w:tc>
        <w:tc>
          <w:tcPr>
            <w:tcW w:type="dxa" w:w="1440"/>
          </w:tcPr>
          <w:p>
            <w:r/>
            <w:r>
              <w:t>eKYC described as approval/readiness dependent</w:t>
            </w:r>
          </w:p>
        </w:tc>
        <w:tc>
          <w:tcPr>
            <w:tcW w:type="dxa" w:w="1440"/>
          </w:tcPr>
          <w:p>
            <w:r/>
            <w:r>
              <w:t>https://www.nrb.org.np/contents/uploads/2025/01/Payment-Oversight-Report-2023-24.pdf</w:t>
            </w:r>
          </w:p>
        </w:tc>
        <w:tc>
          <w:tcPr>
            <w:tcW w:type="dxa" w:w="1440"/>
          </w:tcPr>
          <w:p>
            <w:r/>
            <w:r>
              <w:t>2025-01</w:t>
            </w:r>
          </w:p>
        </w:tc>
        <w:tc>
          <w:tcPr>
            <w:tcW w:type="dxa" w:w="1440"/>
          </w:tcPr>
          <w:p>
            <w:r/>
            <w:r>
              <w:t>✅ Verified</w:t>
            </w:r>
          </w:p>
        </w:tc>
        <w:tc>
          <w:tcPr>
            <w:tcW w:type="dxa" w:w="1440"/>
          </w:tcPr>
          <w:p>
            <w:r/>
            <w:r>
              <w:t>Document-verified via LCA-003.</w:t>
            </w:r>
          </w:p>
        </w:tc>
      </w:tr>
      <w:tr>
        <w:tc>
          <w:tcPr>
            <w:tcW w:type="dxa" w:w="1440"/>
          </w:tcPr>
          <w:p>
            <w:r/>
            <w:r>
              <w:t>NRB Cyber Resilience Guidelines</w:t>
            </w:r>
          </w:p>
        </w:tc>
        <w:tc>
          <w:tcPr>
            <w:tcW w:type="dxa" w:w="1440"/>
          </w:tcPr>
          <w:p>
            <w:r/>
            <w:r>
              <w:t>Cyber resilience expectations; do not assume fixed CERT deadline</w:t>
            </w:r>
          </w:p>
        </w:tc>
        <w:tc>
          <w:tcPr>
            <w:tcW w:type="dxa" w:w="1440"/>
          </w:tcPr>
          <w:p>
            <w:r/>
            <w:r>
              <w:t>https://www.nrb.org.np/contents/uploads/2023/08/Cyber-Resilience-Guidelines-2023.pdf</w:t>
            </w:r>
          </w:p>
        </w:tc>
        <w:tc>
          <w:tcPr>
            <w:tcW w:type="dxa" w:w="1440"/>
          </w:tcPr>
          <w:p>
            <w:r/>
            <w:r>
              <w:t>2023-08</w:t>
            </w:r>
          </w:p>
        </w:tc>
        <w:tc>
          <w:tcPr>
            <w:tcW w:type="dxa" w:w="1440"/>
          </w:tcPr>
          <w:p>
            <w:r/>
            <w:r>
              <w:t>✅ Verified</w:t>
            </w:r>
          </w:p>
        </w:tc>
        <w:tc>
          <w:tcPr>
            <w:tcW w:type="dxa" w:w="1440"/>
          </w:tcPr>
          <w:p>
            <w:r/>
            <w:r>
              <w:t>Document-verified via LCA-004.</w:t>
            </w:r>
          </w:p>
        </w:tc>
      </w:tr>
      <w:tr>
        <w:tc>
          <w:tcPr>
            <w:tcW w:type="dxa" w:w="1440"/>
          </w:tcPr>
          <w:p>
            <w:r/>
            <w:r>
              <w:t>SEBON Margin Trading Guideline 2082</w:t>
            </w:r>
          </w:p>
        </w:tc>
        <w:tc>
          <w:tcPr>
            <w:tcW w:type="dxa" w:w="1440"/>
          </w:tcPr>
          <w:p>
            <w:r/>
            <w:r>
              <w:t>Eligibility + 30% initial / 20% maintenance + margin call &amp; sale rights</w:t>
            </w:r>
          </w:p>
        </w:tc>
        <w:tc>
          <w:tcPr>
            <w:tcW w:type="dxa" w:w="1440"/>
          </w:tcPr>
          <w:p>
            <w:r/>
            <w:r>
              <w:t>https://www.sebon.gov.np/uploads/shares/yb8vXWjXg3rmDIiW2nwQ5fpxrQx2dkueLT4M2zTL.pdf</w:t>
            </w:r>
          </w:p>
        </w:tc>
        <w:tc>
          <w:tcPr>
            <w:tcW w:type="dxa" w:w="1440"/>
          </w:tcPr>
          <w:p>
            <w:r/>
            <w:r>
              <w:t>—</w:t>
            </w:r>
          </w:p>
        </w:tc>
        <w:tc>
          <w:tcPr>
            <w:tcW w:type="dxa" w:w="1440"/>
          </w:tcPr>
          <w:p>
            <w:r/>
            <w:r>
              <w:t>✅ Verified</w:t>
            </w:r>
          </w:p>
        </w:tc>
        <w:tc>
          <w:tcPr>
            <w:tcW w:type="dxa" w:w="1440"/>
          </w:tcPr>
          <w:p>
            <w:r/>
            <w:r>
              <w:t>Clause-backed via LCA-011.</w:t>
            </w:r>
          </w:p>
        </w:tc>
      </w:tr>
      <w:tr>
        <w:tc>
          <w:tcPr>
            <w:tcW w:type="dxa" w:w="1440"/>
          </w:tcPr>
          <w:p>
            <w:r/>
            <w:r>
              <w:t>Contract note timing</w:t>
            </w:r>
          </w:p>
        </w:tc>
        <w:tc>
          <w:tcPr>
            <w:tcW w:type="dxa" w:w="1440"/>
          </w:tcPr>
          <w:p>
            <w:r/>
            <w:r>
              <w:t>Provide contract note the day following the transaction</w:t>
            </w:r>
          </w:p>
        </w:tc>
        <w:tc>
          <w:tcPr>
            <w:tcW w:type="dxa" w:w="1440"/>
          </w:tcPr>
          <w:p>
            <w:r/>
            <w:r>
              <w:t>https://www.sebon.gov.np/acts</w:t>
            </w:r>
          </w:p>
        </w:tc>
        <w:tc>
          <w:tcPr>
            <w:tcW w:type="dxa" w:w="1440"/>
          </w:tcPr>
          <w:p>
            <w:r/>
            <w:r>
              <w:t>—</w:t>
            </w:r>
          </w:p>
        </w:tc>
        <w:tc>
          <w:tcPr>
            <w:tcW w:type="dxa" w:w="1440"/>
          </w:tcPr>
          <w:p>
            <w:r/>
            <w:r>
              <w:t>✅ Verified</w:t>
            </w:r>
          </w:p>
        </w:tc>
        <w:tc>
          <w:tcPr>
            <w:tcW w:type="dxa" w:w="1440"/>
          </w:tcPr>
          <w:p>
            <w:r/>
            <w:r>
              <w:t>Clause-backed via LCA-021 (Securities Act §77(2)).</w:t>
            </w:r>
          </w:p>
        </w:tc>
      </w:tr>
      <w:tr>
        <w:tc>
          <w:tcPr>
            <w:tcW w:type="dxa" w:w="1440"/>
          </w:tcPr>
          <w:p>
            <w:r/>
            <w:r>
              <w:t>Brokerage slabs + Board levy + transaction fee</w:t>
            </w:r>
          </w:p>
        </w:tc>
        <w:tc>
          <w:tcPr>
            <w:tcW w:type="dxa" w:w="1440"/>
          </w:tcPr>
          <w:p>
            <w:r/>
            <w:r>
              <w:t>Schedule 14/15 items for share trades</w:t>
            </w:r>
          </w:p>
        </w:tc>
        <w:tc>
          <w:tcPr>
            <w:tcW w:type="dxa" w:w="1440"/>
          </w:tcPr>
          <w:p>
            <w:r/>
            <w:r>
              <w:t>https://www.sebon.gov.np/uploads/2022/09/13/UxvD7NtfU7rxZnXxU4po9z8cXUVdhg67gIkMwRO9.pdf</w:t>
            </w:r>
          </w:p>
        </w:tc>
        <w:tc>
          <w:tcPr>
            <w:tcW w:type="dxa" w:w="1440"/>
          </w:tcPr>
          <w:p>
            <w:r/>
            <w:r>
              <w:t>2022-09-13</w:t>
            </w:r>
          </w:p>
        </w:tc>
        <w:tc>
          <w:tcPr>
            <w:tcW w:type="dxa" w:w="1440"/>
          </w:tcPr>
          <w:p>
            <w:r/>
            <w:r>
              <w:t>✅ Verified</w:t>
            </w:r>
          </w:p>
        </w:tc>
        <w:tc>
          <w:tcPr>
            <w:tcW w:type="dxa" w:w="1440"/>
          </w:tcPr>
          <w:p>
            <w:r/>
            <w:r>
              <w:t>Clause-backed via LCA-023. Keep configurable for future amendments.</w:t>
            </w:r>
          </w:p>
        </w:tc>
      </w:tr>
      <w:tr>
        <w:tc>
          <w:tcPr>
            <w:tcW w:type="dxa" w:w="1440"/>
          </w:tcPr>
          <w:p>
            <w:r/>
            <w:r>
              <w:t>[VERIFY] NEPSE “Capital Market in AI Era” interaction (Jan 29, 2026)</w:t>
            </w:r>
          </w:p>
        </w:tc>
        <w:tc>
          <w:tcPr>
            <w:tcW w:type="dxa" w:w="1440"/>
          </w:tcPr>
          <w:p>
            <w:r/>
            <w:r>
              <w:t>Policy-signal claim referencing NEPSE leadership</w:t>
            </w:r>
          </w:p>
        </w:tc>
        <w:tc>
          <w:tcPr>
            <w:tcW w:type="dxa" w:w="1440"/>
          </w:tcPr>
          <w:p>
            <w:r/>
            <w:r>
              <w:t>[VERIFY — add NEPSE official notice/post or authoritative publication]</w:t>
            </w:r>
          </w:p>
        </w:tc>
        <w:tc>
          <w:tcPr>
            <w:tcW w:type="dxa" w:w="1440"/>
          </w:tcPr>
          <w:p>
            <w:r/>
            <w:r>
              <w:t>—</w:t>
            </w:r>
          </w:p>
        </w:tc>
        <w:tc>
          <w:tcPr>
            <w:tcW w:type="dxa" w:w="1440"/>
          </w:tcPr>
          <w:p>
            <w:r/>
            <w:r>
              <w:t>⛔ Missing</w:t>
            </w:r>
          </w:p>
        </w:tc>
        <w:tc>
          <w:tcPr>
            <w:tcW w:type="dxa" w:w="1440"/>
          </w:tcPr>
          <w:p>
            <w:r/>
            <w:r>
              <w:t>Currently tagged [VERIFY] in the main text.</w:t>
            </w:r>
          </w:p>
        </w:tc>
      </w:tr>
    </w:tbl>
    <w:p>
      <w:pPr>
        <w:pStyle w:val="Heading4"/>
      </w:pPr>
      <w:r>
        <w:t>A.3 Operational parameters (assumptions to confirm)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rPr>
                <w:b/>
              </w:rPr>
            </w:r>
            <w:r>
              <w:rPr>
                <w:b/>
              </w:rPr>
              <w:t>Parameter</w:t>
            </w:r>
          </w:p>
        </w:tc>
        <w:tc>
          <w:tcPr>
            <w:tcW w:type="dxa" w:w="1728"/>
            <w:shd w:fill="D9EAF7"/>
          </w:tcPr>
          <w:p>
            <w:r>
              <w:rPr>
                <w:b/>
              </w:rPr>
            </w:r>
            <w:r>
              <w:rPr>
                <w:b/>
              </w:rPr>
              <w:t>Current text in this doc</w:t>
            </w:r>
          </w:p>
        </w:tc>
        <w:tc>
          <w:tcPr>
            <w:tcW w:type="dxa" w:w="1728"/>
            <w:shd w:fill="D9EAF7"/>
          </w:tcPr>
          <w:p>
            <w:r>
              <w:rPr>
                <w:b/>
              </w:rPr>
            </w:r>
            <w:r>
              <w:rPr>
                <w:b/>
              </w:rPr>
              <w:t>Required primary source</w:t>
            </w:r>
          </w:p>
        </w:tc>
        <w:tc>
          <w:tcPr>
            <w:tcW w:type="dxa" w:w="1728"/>
            <w:shd w:fill="D9EAF7"/>
          </w:tcPr>
          <w:p>
            <w:r>
              <w:rPr>
                <w:b/>
              </w:rPr>
            </w:r>
            <w:r>
              <w:rPr>
                <w:b/>
              </w:rPr>
              <w:t>Status</w:t>
            </w:r>
          </w:p>
        </w:tc>
        <w:tc>
          <w:tcPr>
            <w:tcW w:type="dxa" w:w="1728"/>
            <w:shd w:fill="D9EAF7"/>
          </w:tcPr>
          <w:p>
            <w:r>
              <w:rPr>
                <w:b/>
              </w:rPr>
            </w:r>
            <w:r>
              <w:rPr>
                <w:b/>
              </w:rPr>
              <w:t>Notes</w:t>
            </w:r>
          </w:p>
        </w:tc>
      </w:tr>
      <w:tr>
        <w:tc>
          <w:tcPr>
            <w:tcW w:type="dxa" w:w="1728"/>
          </w:tcPr>
          <w:p>
            <w:r/>
            <w:r>
              <w:t>Trading hours / sessions</w:t>
            </w:r>
          </w:p>
        </w:tc>
        <w:tc>
          <w:tcPr>
            <w:tcW w:type="dxa" w:w="1728"/>
          </w:tcPr>
          <w:p>
            <w:r/>
            <w:r>
              <w:t>Representative windows; also references 10:30–15:00 in ops notes</w:t>
            </w:r>
          </w:p>
        </w:tc>
        <w:tc>
          <w:tcPr>
            <w:tcW w:type="dxa" w:w="1728"/>
          </w:tcPr>
          <w:p>
            <w:r/>
            <w:r>
              <w:t>NEPSE operating notice/circular for current year</w:t>
            </w:r>
          </w:p>
        </w:tc>
        <w:tc>
          <w:tcPr>
            <w:tcW w:type="dxa" w:w="1728"/>
          </w:tcPr>
          <w:p>
            <w:r/>
            <w:r>
              <w:t>⛔ Missing</w:t>
            </w:r>
          </w:p>
        </w:tc>
        <w:tc>
          <w:tcPr>
            <w:tcW w:type="dxa" w:w="1728"/>
          </w:tcPr>
          <w:p>
            <w:r/>
            <w:r>
              <w:t>Keep parameterized; do not hardcode.</w:t>
            </w:r>
          </w:p>
        </w:tc>
      </w:tr>
      <w:tr>
        <w:tc>
          <w:tcPr>
            <w:tcW w:type="dxa" w:w="1728"/>
          </w:tcPr>
          <w:p>
            <w:r/>
            <w:r>
              <w:t>Circuit breaker rules</w:t>
            </w:r>
          </w:p>
        </w:tc>
        <w:tc>
          <w:tcPr>
            <w:tcW w:type="dxa" w:w="1728"/>
          </w:tcPr>
          <w:p>
            <w:r/>
            <w:r>
              <w:t>±10% band; ±5% halt trigger</w:t>
            </w:r>
          </w:p>
        </w:tc>
        <w:tc>
          <w:tcPr>
            <w:tcW w:type="dxa" w:w="1728"/>
          </w:tcPr>
          <w:p>
            <w:r/>
            <w:r>
              <w:t>NEPSE circular (latest)</w:t>
            </w:r>
          </w:p>
        </w:tc>
        <w:tc>
          <w:tcPr>
            <w:tcW w:type="dxa" w:w="1728"/>
          </w:tcPr>
          <w:p>
            <w:r/>
            <w:r>
              <w:t>⛔ Missing</w:t>
            </w:r>
          </w:p>
        </w:tc>
        <w:tc>
          <w:tcPr>
            <w:tcW w:type="dxa" w:w="1728"/>
          </w:tcPr>
          <w:p>
            <w:r/>
            <w:r>
              <w:t>Confirm exact bands + halt policy.</w:t>
            </w:r>
          </w:p>
        </w:tc>
      </w:tr>
      <w:tr>
        <w:tc>
          <w:tcPr>
            <w:tcW w:type="dxa" w:w="1728"/>
          </w:tcPr>
          <w:p>
            <w:r/>
            <w:r>
              <w:t>Settlement cycle</w:t>
            </w:r>
          </w:p>
        </w:tc>
        <w:tc>
          <w:tcPr>
            <w:tcW w:type="dxa" w:w="1728"/>
          </w:tcPr>
          <w:p>
            <w:r/>
            <w:r>
              <w:t>“Current convention: T+2”</w:t>
            </w:r>
          </w:p>
        </w:tc>
        <w:tc>
          <w:tcPr>
            <w:tcW w:type="dxa" w:w="1728"/>
          </w:tcPr>
          <w:p>
            <w:r/>
            <w:r>
              <w:t>NEPSE/CDSC settlement rule doc</w:t>
            </w:r>
          </w:p>
        </w:tc>
        <w:tc>
          <w:tcPr>
            <w:tcW w:type="dxa" w:w="1728"/>
          </w:tcPr>
          <w:p>
            <w:r/>
            <w:r>
              <w:t>⛔ Missing</w:t>
            </w:r>
          </w:p>
        </w:tc>
        <w:tc>
          <w:tcPr>
            <w:tcW w:type="dxa" w:w="1728"/>
          </w:tcPr>
          <w:p>
            <w:r/>
            <w:r>
              <w:t>Confirm separately per instrument type.</w:t>
            </w:r>
          </w:p>
        </w:tc>
      </w:tr>
    </w:tbl>
    <w:p>
      <w:pPr>
        <w:pStyle w:val="Heading4"/>
      </w:pPr>
      <w:r>
        <w:t>A.4 Tax legal anchors (must be primary)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rPr>
                <w:b/>
              </w:rPr>
            </w:r>
            <w:r>
              <w:rPr>
                <w:b/>
              </w:rPr>
              <w:t>Item</w:t>
            </w:r>
          </w:p>
        </w:tc>
        <w:tc>
          <w:tcPr>
            <w:tcW w:type="dxa" w:w="1728"/>
            <w:shd w:fill="D9EAF7"/>
          </w:tcPr>
          <w:p>
            <w:r>
              <w:rPr>
                <w:b/>
              </w:rPr>
            </w:r>
            <w:r>
              <w:rPr>
                <w:b/>
              </w:rPr>
              <w:t>Rate shown in §3.6</w:t>
            </w:r>
          </w:p>
        </w:tc>
        <w:tc>
          <w:tcPr>
            <w:tcW w:type="dxa" w:w="1728"/>
            <w:shd w:fill="D9EAF7"/>
          </w:tcPr>
          <w:p>
            <w:r>
              <w:rPr>
                <w:b/>
              </w:rPr>
            </w:r>
            <w:r>
              <w:rPr>
                <w:b/>
              </w:rPr>
              <w:t>Primary legal anchor required</w:t>
            </w:r>
          </w:p>
        </w:tc>
        <w:tc>
          <w:tcPr>
            <w:tcW w:type="dxa" w:w="1728"/>
            <w:shd w:fill="D9EAF7"/>
          </w:tcPr>
          <w:p>
            <w:r>
              <w:rPr>
                <w:b/>
              </w:rPr>
            </w:r>
            <w:r>
              <w:rPr>
                <w:b/>
              </w:rPr>
              <w:t>Status</w:t>
            </w:r>
          </w:p>
        </w:tc>
        <w:tc>
          <w:tcPr>
            <w:tcW w:type="dxa" w:w="1728"/>
            <w:shd w:fill="D9EAF7"/>
          </w:tcPr>
          <w:p>
            <w:r>
              <w:rPr>
                <w:b/>
              </w:rPr>
            </w:r>
            <w:r>
              <w:rPr>
                <w:b/>
              </w:rPr>
              <w:t>Notes</w:t>
            </w:r>
          </w:p>
        </w:tc>
      </w:tr>
      <w:tr>
        <w:tc>
          <w:tcPr>
            <w:tcW w:type="dxa" w:w="1728"/>
          </w:tcPr>
          <w:p>
            <w:r/>
            <w:r>
              <w:t>Listed securities capital gains</w:t>
            </w:r>
          </w:p>
        </w:tc>
        <w:tc>
          <w:tcPr>
            <w:tcW w:type="dxa" w:w="1728"/>
          </w:tcPr>
          <w:p>
            <w:r/>
            <w:r>
              <w:t>[VERIFY] 5% / 7.5%</w:t>
            </w:r>
          </w:p>
        </w:tc>
        <w:tc>
          <w:tcPr>
            <w:tcW w:type="dxa" w:w="1728"/>
          </w:tcPr>
          <w:p>
            <w:r/>
            <w:r>
              <w:t>Income Tax Act / IRD circular (exact schedule + mechanism)</w:t>
            </w:r>
          </w:p>
        </w:tc>
        <w:tc>
          <w:tcPr>
            <w:tcW w:type="dxa" w:w="1728"/>
          </w:tcPr>
          <w:p>
            <w:r/>
            <w:r>
              <w:t>⛔ Missing</w:t>
            </w:r>
          </w:p>
        </w:tc>
        <w:tc>
          <w:tcPr>
            <w:tcW w:type="dxa" w:w="1728"/>
          </w:tcPr>
          <w:p>
            <w:r/>
            <w:r>
              <w:t>Replace secondary references with legal text and clause mapping.</w:t>
            </w:r>
          </w:p>
        </w:tc>
      </w:tr>
      <w:tr>
        <w:tc>
          <w:tcPr>
            <w:tcW w:type="dxa" w:w="1728"/>
          </w:tcPr>
          <w:p>
            <w:r/>
            <w:r>
              <w:t>Unlisted/promoter transfer CGT</w:t>
            </w:r>
          </w:p>
        </w:tc>
        <w:tc>
          <w:tcPr>
            <w:tcW w:type="dxa" w:w="1728"/>
          </w:tcPr>
          <w:p>
            <w:r/>
            <w:r>
              <w:t>[VERIFY] 10%</w:t>
            </w:r>
          </w:p>
        </w:tc>
        <w:tc>
          <w:tcPr>
            <w:tcW w:type="dxa" w:w="1728"/>
          </w:tcPr>
          <w:p>
            <w:r/>
            <w:r>
              <w:t>Income Tax Act schedule</w:t>
            </w:r>
          </w:p>
        </w:tc>
        <w:tc>
          <w:tcPr>
            <w:tcW w:type="dxa" w:w="1728"/>
          </w:tcPr>
          <w:p>
            <w:r/>
            <w:r>
              <w:t>⛔ Missing</w:t>
            </w:r>
          </w:p>
        </w:tc>
        <w:tc>
          <w:tcPr>
            <w:tcW w:type="dxa" w:w="1728"/>
          </w:tcPr>
          <w:p>
            <w:r/>
            <w:r>
              <w:t>Confirm entity-specific variations if any.</w:t>
            </w:r>
          </w:p>
        </w:tc>
      </w:tr>
      <w:tr>
        <w:tc>
          <w:tcPr>
            <w:tcW w:type="dxa" w:w="1728"/>
          </w:tcPr>
          <w:p>
            <w:r/>
            <w:r>
              <w:t>Dividend withholding (TDS)</w:t>
            </w:r>
          </w:p>
        </w:tc>
        <w:tc>
          <w:tcPr>
            <w:tcW w:type="dxa" w:w="1728"/>
          </w:tcPr>
          <w:p>
            <w:r/>
            <w:r>
              <w:t>[VERIFY] 5%</w:t>
            </w:r>
          </w:p>
        </w:tc>
        <w:tc>
          <w:tcPr>
            <w:tcW w:type="dxa" w:w="1728"/>
          </w:tcPr>
          <w:p>
            <w:r/>
            <w:r>
              <w:t>Income Tax Act schedule</w:t>
            </w:r>
          </w:p>
        </w:tc>
        <w:tc>
          <w:tcPr>
            <w:tcW w:type="dxa" w:w="1728"/>
          </w:tcPr>
          <w:p>
            <w:r/>
            <w:r>
              <w:t>⛔ Missing</w:t>
            </w:r>
          </w:p>
        </w:tc>
        <w:tc>
          <w:tcPr>
            <w:tcW w:type="dxa" w:w="1728"/>
          </w:tcPr>
          <w:p>
            <w:r/>
            <w:r>
              <w:t>Confirm resident/non-resident handling.</w:t>
            </w:r>
          </w:p>
        </w:tc>
      </w:tr>
      <w:tr>
        <w:tc>
          <w:tcPr>
            <w:tcW w:type="dxa" w:w="1728"/>
          </w:tcPr>
          <w:p>
            <w:r/>
            <w:r>
              <w:t>Debenture interest TDS</w:t>
            </w:r>
          </w:p>
        </w:tc>
        <w:tc>
          <w:tcPr>
            <w:tcW w:type="dxa" w:w="1728"/>
          </w:tcPr>
          <w:p>
            <w:r/>
            <w:r>
              <w:t>[VERIFY] 5–15%</w:t>
            </w:r>
          </w:p>
        </w:tc>
        <w:tc>
          <w:tcPr>
            <w:tcW w:type="dxa" w:w="1728"/>
          </w:tcPr>
          <w:p>
            <w:r/>
            <w:r>
              <w:t>Income Tax Act schedule + instrument rules</w:t>
            </w:r>
          </w:p>
        </w:tc>
        <w:tc>
          <w:tcPr>
            <w:tcW w:type="dxa" w:w="1728"/>
          </w:tcPr>
          <w:p>
            <w:r/>
            <w:r>
              <w:t>⛔ Missing</w:t>
            </w:r>
          </w:p>
        </w:tc>
        <w:tc>
          <w:tcPr>
            <w:tcW w:type="dxa" w:w="1728"/>
          </w:tcPr>
          <w:p>
            <w:r/>
            <w:r>
              <w:t>Must be instrument-type specific.</w:t>
            </w:r>
          </w:p>
        </w:tc>
      </w:tr>
    </w:tbl>
    <w:p>
      <w:r>
        <w:br w:type="page"/>
      </w:r>
    </w:p>
    <w:p>
      <w:pPr>
        <w:pStyle w:val="Heading1"/>
      </w:pPr>
      <w:r>
        <w:t>Documentation Glossary and Policy Appendix</w:t>
      </w:r>
    </w:p>
    <w:p>
      <w:pPr>
        <w:jc w:val="left"/>
      </w:pPr>
      <w:r>
        <w:rPr>
          <w:i/>
          <w:sz w:val="18"/>
        </w:rPr>
        <w:t>Source: Documentation_Glossary_and_Policy_Appendix.md -&gt; project-files/Documentation_Glossary_and_Policy_Appendix.md</w:t>
      </w:r>
    </w:p>
    <w:p>
      <w:pPr>
        <w:pStyle w:val="Heading2"/>
      </w:pPr>
      <w:r>
        <w:t>Documentation Glossary and Policy Appendix</w:t>
      </w:r>
    </w:p>
    <w:p>
      <w:r>
        <w:t>Version: 1.0</w:t>
      </w:r>
    </w:p>
    <w:p>
      <w:r>
        <w:t>Status: Shared terminology and policy baseline for project documentation</w:t>
      </w:r>
    </w:p>
    <w:p>
      <w:r>
        <w:t>Date: March 1, 2026</w:t>
      </w:r>
    </w:p>
    <w:p>
      <w:r>
        <w:t>---</w:t>
      </w:r>
    </w:p>
    <w:p>
      <w:pPr>
        <w:pStyle w:val="Heading3"/>
      </w:pPr>
      <w:r>
        <w:t>Purpose</w:t>
      </w:r>
    </w:p>
    <w:p>
      <w:r>
        <w:t>This appendix defines the standard terminology and policy rules that all active Project Siddhanta documents should use. It exists to prevent drift across strategy, specification, research, and analysis artifacts.</w:t>
      </w:r>
    </w:p>
    <w:p>
      <w:r>
        <w:t>Active planning documents should reference this appendix rather than inventing local terminology for AI oversight, integration readiness, or data residency.</w:t>
      </w:r>
    </w:p>
    <w:p>
      <w:r>
        <w:t xml:space="preserve">Time-sensitive external facts should be sourced from </w:t>
      </w:r>
      <w:r>
        <w:t>Authoritative_Source_Register.md (Authoritative_Source_Register.md)</w:t>
      </w:r>
      <w:r>
        <w:t xml:space="preserve"> or an equivalent primary source with an explicit as-of date.</w:t>
      </w:r>
    </w:p>
    <w:p>
      <w:r>
        <w:t xml:space="preserve">Reference style for time-sensitive external facts: use </w:t>
      </w:r>
      <w:r>
        <w:rPr>
          <w:rFonts w:ascii="Courier New" w:hAnsi="Courier New"/>
          <w:sz w:val="20"/>
        </w:rPr>
        <w:t>ASR-*</w:t>
      </w:r>
      <w:r>
        <w:t xml:space="preserve"> identifiers from the source register.</w:t>
      </w:r>
    </w:p>
    <w:p>
      <w:r>
        <w:t xml:space="preserve">Legal-claim traceability: </w:t>
      </w:r>
      <w:r>
        <w:t>Legal_Claim_Citation_Appendix.md (Legal_Claim_Citation_Appendix.md)</w:t>
      </w:r>
    </w:p>
    <w:p>
      <w:r>
        <w:t xml:space="preserve">Recurring refresh procedure: </w:t>
      </w:r>
      <w:r>
        <w:t>ASR_Monthly_Refresh_Checklist.md (ASR_Monthly_Refresh_Checklist.md)</w:t>
      </w:r>
    </w:p>
    <w:p>
      <w:r>
        <w:t xml:space="preserve">Compact review artifact: </w:t>
      </w:r>
      <w:r>
        <w:t>Claim_Traceability_Matrix.md (Claim_Traceability_Matrix.md)</w:t>
      </w:r>
    </w:p>
    <w:p>
      <w:r>
        <w:t xml:space="preserve">Customer-safe external summary: </w:t>
      </w:r>
      <w:r>
        <w:t>Customer_Facing_Claims_Pack.md (Customer_Facing_Claims_Pack.md)</w:t>
      </w:r>
    </w:p>
    <w:p>
      <w:r>
        <w:t>---</w:t>
      </w:r>
    </w:p>
    <w:p>
      <w:pPr>
        <w:pStyle w:val="Heading3"/>
      </w:pPr>
      <w:r>
        <w:t>Standard Terms</w:t>
      </w:r>
    </w:p>
    <w:p>
      <w:pPr>
        <w:pStyle w:val="Heading4"/>
      </w:pPr>
      <w:r>
        <w:t>AI Oversight Taxonomy</w:t>
      </w:r>
    </w:p>
    <w:p>
      <w:pPr>
        <w:pStyle w:val="ListBullet"/>
      </w:pPr>
      <w:r>
        <w:rPr>
          <w:rFonts w:ascii="Courier New" w:hAnsi="Courier New"/>
          <w:sz w:val="20"/>
        </w:rPr>
        <w:t>deterministic_controls_only</w:t>
      </w:r>
    </w:p>
    <w:p>
      <w:pPr>
        <w:pStyle w:val="ListBullet"/>
      </w:pPr>
      <w:r>
        <w:t>Fixed rules execute the decision. AI may observe, score, or prioritize, but cannot decide the action.</w:t>
      </w:r>
    </w:p>
    <w:p>
      <w:pPr>
        <w:pStyle w:val="ListBullet"/>
      </w:pPr>
      <w:r>
        <w:rPr>
          <w:rFonts w:ascii="Courier New" w:hAnsi="Courier New"/>
          <w:sz w:val="20"/>
        </w:rPr>
        <w:t>human_review_required</w:t>
      </w:r>
    </w:p>
    <w:p>
      <w:pPr>
        <w:pStyle w:val="ListBullet"/>
      </w:pPr>
      <w:r>
        <w:t>AI may prepare draft outputs or recommendations, but no effect occurs until a human explicitly reviews and approves.</w:t>
      </w:r>
    </w:p>
    <w:p>
      <w:pPr>
        <w:pStyle w:val="ListBullet"/>
      </w:pPr>
      <w:r>
        <w:rPr>
          <w:rFonts w:ascii="Courier New" w:hAnsi="Courier New"/>
          <w:sz w:val="20"/>
        </w:rPr>
        <w:t>human_in_the_loop</w:t>
      </w:r>
    </w:p>
    <w:p>
      <w:pPr>
        <w:pStyle w:val="ListBullet"/>
      </w:pPr>
      <w:r>
        <w:t>AI participates in the decision path, but a human approval step is required before final effect.</w:t>
      </w:r>
    </w:p>
    <w:p>
      <w:pPr>
        <w:pStyle w:val="ListBullet"/>
      </w:pPr>
      <w:r>
        <w:rPr>
          <w:rFonts w:ascii="Courier New" w:hAnsi="Courier New"/>
          <w:sz w:val="20"/>
        </w:rPr>
        <w:t>human_on_the_loop</w:t>
      </w:r>
    </w:p>
    <w:p>
      <w:pPr>
        <w:pStyle w:val="ListBullet"/>
      </w:pPr>
      <w:r>
        <w:t>AI may execute within pre-approved guardrails while a human monitors exceptions, audit trails, and override controls.</w:t>
      </w:r>
    </w:p>
    <w:p>
      <w:pPr>
        <w:pStyle w:val="Heading4"/>
      </w:pPr>
      <w:r>
        <w:t>Automation Scope</w:t>
      </w:r>
    </w:p>
    <w:p>
      <w:pPr>
        <w:pStyle w:val="ListBullet"/>
      </w:pPr>
      <w:r>
        <w:rPr>
          <w:rFonts w:ascii="Courier New" w:hAnsi="Courier New"/>
          <w:sz w:val="20"/>
        </w:rPr>
        <w:t>bounded autonomous</w:t>
      </w:r>
    </w:p>
    <w:p>
      <w:pPr>
        <w:pStyle w:val="ListBullet"/>
      </w:pPr>
      <w:r>
        <w:t>Automation allowed only for tightly bounded, low-impact, well-understood workflows with explicit scope limits, fallback behavior, and auditable controls.</w:t>
      </w:r>
    </w:p>
    <w:p>
      <w:pPr>
        <w:pStyle w:val="ListBullet"/>
      </w:pPr>
      <w:r>
        <w:rPr>
          <w:rFonts w:ascii="Courier New" w:hAnsi="Courier New"/>
          <w:sz w:val="20"/>
        </w:rPr>
        <w:t>standard-case straight-through automation</w:t>
      </w:r>
    </w:p>
    <w:p>
      <w:pPr>
        <w:pStyle w:val="ListBullet"/>
      </w:pPr>
      <w:r>
        <w:t>Automation targets that apply only to routine, structured, low-variance cases. Exceptions, edge cases, and material events remain reviewable.</w:t>
      </w:r>
    </w:p>
    <w:p>
      <w:pPr>
        <w:pStyle w:val="Heading4"/>
      </w:pPr>
      <w:r>
        <w:t>Integration Readiness</w:t>
      </w:r>
    </w:p>
    <w:p>
      <w:pPr>
        <w:pStyle w:val="ListBullet"/>
      </w:pPr>
      <w:r>
        <w:rPr>
          <w:rFonts w:ascii="Courier New" w:hAnsi="Courier New"/>
          <w:sz w:val="20"/>
        </w:rPr>
        <w:t>approval-dependent eKYC</w:t>
      </w:r>
    </w:p>
    <w:p>
      <w:pPr>
        <w:pStyle w:val="ListBullet"/>
      </w:pPr>
      <w:r>
        <w:t>National ID / eKYC integration is a strategic target, but production use depends on regulator approval, contractual access, legal permissibility, and interface readiness.</w:t>
      </w:r>
    </w:p>
    <w:p>
      <w:pPr>
        <w:pStyle w:val="ListBullet"/>
      </w:pPr>
      <w:r>
        <w:rPr>
          <w:rFonts w:ascii="Courier New" w:hAnsi="Courier New"/>
          <w:sz w:val="20"/>
        </w:rPr>
        <w:t>integration adapter</w:t>
      </w:r>
    </w:p>
    <w:p>
      <w:pPr>
        <w:pStyle w:val="ListBullet"/>
      </w:pPr>
      <w:r>
        <w:t>External connectivity should be described as an adapter pattern, not assumed uniform API access. Adapters may use API, file exchange, SFTP, batch, or assisted workflows.</w:t>
      </w:r>
    </w:p>
    <w:p>
      <w:pPr>
        <w:pStyle w:val="Heading4"/>
      </w:pPr>
      <w:r>
        <w:t>Data Residency</w:t>
      </w:r>
    </w:p>
    <w:p>
      <w:pPr>
        <w:pStyle w:val="ListBullet"/>
      </w:pPr>
      <w:r>
        <w:rPr>
          <w:rFonts w:ascii="Courier New" w:hAnsi="Courier New"/>
          <w:sz w:val="20"/>
        </w:rPr>
        <w:t>in-country default data residency</w:t>
      </w:r>
    </w:p>
    <w:p>
      <w:pPr>
        <w:pStyle w:val="ListBullet"/>
      </w:pPr>
      <w:r>
        <w:t>Regulated data should remain in-country by default. Cross-border processing, failover, or tooling is allowed only where explicitly permitted by the applicable regulator or legal framework.</w:t>
      </w:r>
    </w:p>
    <w:p>
      <w:pPr>
        <w:pStyle w:val="Heading4"/>
      </w:pPr>
      <w:r>
        <w:t>Evidence and Forecasting Language</w:t>
      </w:r>
    </w:p>
    <w:p>
      <w:pPr>
        <w:pStyle w:val="ListBullet"/>
      </w:pPr>
      <w:r>
        <w:rPr>
          <w:rFonts w:ascii="Courier New" w:hAnsi="Courier New"/>
          <w:sz w:val="20"/>
        </w:rPr>
        <w:t>verified metric</w:t>
      </w:r>
    </w:p>
    <w:p>
      <w:pPr>
        <w:pStyle w:val="ListBullet"/>
      </w:pPr>
      <w:r>
        <w:t>A date-sensitive fact backed by a cited source and a clear as-of date.</w:t>
      </w:r>
    </w:p>
    <w:p>
      <w:pPr>
        <w:pStyle w:val="ListBullet"/>
      </w:pPr>
      <w:r>
        <w:rPr>
          <w:rFonts w:ascii="Courier New" w:hAnsi="Courier New"/>
          <w:sz w:val="20"/>
        </w:rPr>
        <w:t>illustrative estimate</w:t>
      </w:r>
    </w:p>
    <w:p>
      <w:pPr>
        <w:pStyle w:val="ListBullet"/>
      </w:pPr>
      <w:r>
        <w:t>A planning estimate or modelled range used for strategy, not a committed forecast or guaranteed commercial outcome.</w:t>
      </w:r>
    </w:p>
    <w:p>
      <w:pPr>
        <w:pStyle w:val="ListBullet"/>
      </w:pPr>
      <w:r>
        <w:rPr>
          <w:rFonts w:ascii="Courier New" w:hAnsi="Courier New"/>
          <w:sz w:val="20"/>
        </w:rPr>
        <w:t>ASR reference ID</w:t>
      </w:r>
    </w:p>
    <w:p>
      <w:pPr>
        <w:pStyle w:val="ListBullet"/>
      </w:pPr>
      <w:r>
        <w:t xml:space="preserve">A stable citation key that points to an entry in </w:t>
      </w:r>
      <w:r>
        <w:rPr>
          <w:rFonts w:ascii="Courier New" w:hAnsi="Courier New"/>
          <w:sz w:val="20"/>
        </w:rPr>
        <w:t>Authoritative_Source_Register.md</w:t>
      </w:r>
      <w:r>
        <w:t xml:space="preserve"> and should be used instead of ad hoc inline source prose for time-sensitive external facts.</w:t>
      </w:r>
    </w:p>
    <w:p>
      <w:r>
        <w:t>---</w:t>
      </w:r>
    </w:p>
    <w:p>
      <w:pPr>
        <w:pStyle w:val="Heading3"/>
      </w:pPr>
      <w:r>
        <w:t>Policy Rules</w:t>
      </w:r>
    </w:p>
    <w:p>
      <w:pPr>
        <w:pStyle w:val="ListNumber"/>
      </w:pPr>
      <w:r>
        <w:t xml:space="preserve">High-impact regulated actions must not be described as </w:t>
      </w:r>
      <w:r>
        <w:rPr>
          <w:rFonts w:ascii="Courier New" w:hAnsi="Courier New"/>
          <w:sz w:val="20"/>
        </w:rPr>
        <w:t>full autonomy</w:t>
      </w:r>
      <w:r>
        <w:t xml:space="preserve"> or </w:t>
      </w:r>
      <w:r>
        <w:rPr>
          <w:rFonts w:ascii="Courier New" w:hAnsi="Courier New"/>
          <w:sz w:val="20"/>
        </w:rPr>
        <w:t>human_out_of_the_loop</w:t>
      </w:r>
      <w:r>
        <w:t>.</w:t>
      </w:r>
    </w:p>
    <w:p>
      <w:pPr>
        <w:pStyle w:val="ListNumber"/>
      </w:pPr>
      <w:r>
        <w:t>National ID / eKYC references must use approval-dependent language unless production availability is independently confirmed.</w:t>
      </w:r>
    </w:p>
    <w:p>
      <w:pPr>
        <w:pStyle w:val="ListNumber"/>
      </w:pPr>
      <w:r>
        <w:t>Data residency language must default to in-country storage for regulated data unless an explicit exception is stated.</w:t>
      </w:r>
    </w:p>
    <w:p>
      <w:pPr>
        <w:pStyle w:val="ListNumber"/>
      </w:pPr>
      <w:r>
        <w:t>Performance claims must be bounded by scope, conditions, and operating context.</w:t>
      </w:r>
    </w:p>
    <w:p>
      <w:pPr>
        <w:pStyle w:val="ListNumber"/>
      </w:pPr>
      <w:r>
        <w:t>Metrics in active planning documents should include explicit dates when they are time-sensitive.</w:t>
      </w:r>
    </w:p>
    <w:p>
      <w:pPr>
        <w:pStyle w:val="ListNumber"/>
      </w:pPr>
      <w:r>
        <w:t>Archived or superseded documents are non-authoritative and should be labeled accordingly.</w:t>
      </w:r>
    </w:p>
    <w:p>
      <w:pPr>
        <w:pStyle w:val="ListNumber"/>
      </w:pPr>
      <w:r>
        <w:t xml:space="preserve">Time-sensitive, externally sourced facts should cite </w:t>
      </w:r>
      <w:r>
        <w:rPr>
          <w:rFonts w:ascii="Courier New" w:hAnsi="Courier New"/>
          <w:sz w:val="20"/>
        </w:rPr>
        <w:t>Authoritative_Source_Register.md</w:t>
      </w:r>
      <w:r>
        <w:t xml:space="preserve"> or the relevant primary-source URL.</w:t>
      </w:r>
    </w:p>
    <w:p>
      <w:pPr>
        <w:pStyle w:val="ListNumber"/>
      </w:pPr>
      <w:r>
        <w:t xml:space="preserve">When a time-sensitive fact is reused across documents, prefer the same </w:t>
      </w:r>
      <w:r>
        <w:rPr>
          <w:rFonts w:ascii="Courier New" w:hAnsi="Courier New"/>
          <w:sz w:val="20"/>
        </w:rPr>
        <w:t>ASR-*</w:t>
      </w:r>
      <w:r>
        <w:t xml:space="preserve"> identifier everywhere.</w:t>
      </w:r>
    </w:p>
    <w:p>
      <w:r>
        <w:t>---</w:t>
      </w:r>
    </w:p>
    <w:p>
      <w:pPr>
        <w:pStyle w:val="Heading3"/>
      </w:pPr>
      <w:r>
        <w:t>Active Source Precedence</w:t>
      </w:r>
    </w:p>
    <w:p>
      <w:r>
        <w:t>For conflicts between active documents, use this order:</w:t>
      </w:r>
    </w:p>
    <w:p>
      <w:pPr>
        <w:pStyle w:val="ListNumber"/>
      </w:pPr>
      <w:r>
        <w:rPr>
          <w:rFonts w:ascii="Courier New" w:hAnsi="Courier New"/>
          <w:sz w:val="20"/>
        </w:rPr>
        <w:t>Siddhanta_Platform_Specification.md</w:t>
      </w:r>
    </w:p>
    <w:p>
      <w:pPr>
        <w:pStyle w:val="ListNumber"/>
      </w:pPr>
      <w:r>
        <w:rPr>
          <w:rFonts w:ascii="Courier New" w:hAnsi="Courier New"/>
          <w:sz w:val="20"/>
        </w:rPr>
        <w:t>siddhanta.md</w:t>
      </w:r>
    </w:p>
    <w:p>
      <w:pPr>
        <w:pStyle w:val="ListNumber"/>
      </w:pPr>
      <w:r>
        <w:rPr>
          <w:rFonts w:ascii="Courier New" w:hAnsi="Courier New"/>
          <w:sz w:val="20"/>
        </w:rPr>
        <w:t>revised_comprehensive_analysis.md</w:t>
      </w:r>
    </w:p>
    <w:p>
      <w:pPr>
        <w:pStyle w:val="ListNumber"/>
      </w:pPr>
      <w:r>
        <w:rPr>
          <w:rFonts w:ascii="Courier New" w:hAnsi="Courier New"/>
          <w:sz w:val="20"/>
        </w:rPr>
        <w:t>deep-research-report (2).md</w:t>
      </w:r>
    </w:p>
    <w:p>
      <w:pPr>
        <w:pStyle w:val="ListNumber"/>
      </w:pPr>
      <w:r>
        <w:rPr>
          <w:rFonts w:ascii="Courier New" w:hAnsi="Courier New"/>
          <w:sz w:val="20"/>
        </w:rPr>
        <w:t>All_In_One_Capital_Markets_Platform_Specification.md</w:t>
      </w:r>
    </w:p>
    <w:p>
      <w:r>
        <w:t>Archived materials and generated intermediate reports are reference-only.</w:t>
      </w:r>
    </w:p>
    <w:p>
      <w:r>
        <w:t>For time-sensitive external facts, the source register overrides stale embedded counts in older drafts.</w:t>
      </w:r>
    </w:p>
    <w:p>
      <w:r>
        <w:br w:type="page"/>
      </w:r>
    </w:p>
    <w:p>
      <w:pPr>
        <w:pStyle w:val="Heading1"/>
      </w:pPr>
      <w:r>
        <w:t>Authoritative Source Register</w:t>
      </w:r>
    </w:p>
    <w:p>
      <w:pPr>
        <w:jc w:val="left"/>
      </w:pPr>
      <w:r>
        <w:rPr>
          <w:i/>
          <w:sz w:val="18"/>
        </w:rPr>
        <w:t>Source: Authoritative_Source_Register.md -&gt; docs/Authoritative_Source_Register.md</w:t>
      </w:r>
    </w:p>
    <w:p>
      <w:pPr>
        <w:pStyle w:val="Heading2"/>
      </w:pPr>
      <w:r>
        <w:t>Authoritative Source Register</w:t>
      </w:r>
    </w:p>
    <w:p>
      <w:r>
        <w:t>Version: 1.0</w:t>
      </w:r>
    </w:p>
    <w:p>
      <w:r>
        <w:t>Status: Primary-source register for time-sensitive external facts used in active project documents</w:t>
      </w:r>
    </w:p>
    <w:p>
      <w:r>
        <w:t>Last verified: March 1, 2026</w:t>
      </w:r>
    </w:p>
    <w:p>
      <w:r>
        <w:t>---</w:t>
      </w:r>
    </w:p>
    <w:p>
      <w:pPr>
        <w:pStyle w:val="Heading3"/>
      </w:pPr>
      <w:r>
        <w:t>Purpose</w:t>
      </w:r>
    </w:p>
    <w:p>
      <w:r>
        <w:t>This register is the canonical reference point for date-sensitive market counts, regulatory-status statements, and external-source caveats used across the active Project Siddhanta documentation set.</w:t>
      </w:r>
    </w:p>
    <w:p>
      <w:r>
        <w:t>Use this file before reusing embedded counts from any strategy, specification, or research document. If a number here changes, the active documents should be refreshed to match or downgraded to an illustrative estimate.</w:t>
      </w:r>
    </w:p>
    <w:p>
      <w:pPr>
        <w:pStyle w:val="Heading3"/>
      </w:pPr>
      <w:r>
        <w:t>Reference Style</w:t>
      </w:r>
    </w:p>
    <w:p>
      <w:r>
        <w:t xml:space="preserve">Use </w:t>
      </w:r>
      <w:r>
        <w:rPr>
          <w:rFonts w:ascii="Courier New" w:hAnsi="Courier New"/>
          <w:sz w:val="20"/>
        </w:rPr>
        <w:t>ASR-*</w:t>
      </w:r>
      <w:r>
        <w:t xml:space="preserve"> identifiers when citing this register from active project documents.</w:t>
      </w:r>
    </w:p>
    <w:p>
      <w:r>
        <w:t xml:space="preserve">Legal traceability companion: </w:t>
      </w:r>
      <w:r>
        <w:t>Legal_Claim_Citation_Appendix.md (Legal_Claim_Citation_Appendix.md)</w:t>
      </w:r>
    </w:p>
    <w:p>
      <w:r>
        <w:t xml:space="preserve">Refresh procedure: </w:t>
      </w:r>
      <w:r>
        <w:t>ASR_Monthly_Refresh_Checklist.md (ASR_Monthly_Refresh_Checklist.md)</w:t>
      </w:r>
    </w:p>
    <w:p>
      <w:r>
        <w:t xml:space="preserve">Compact traceability matrix: </w:t>
      </w:r>
      <w:r>
        <w:t>Claim_Traceability_Matrix.md (Claim_Traceability_Matrix.md)</w:t>
      </w:r>
    </w:p>
    <w:p>
      <w:r>
        <w:t xml:space="preserve">Customer-safe external summary: </w:t>
      </w:r>
      <w:r>
        <w:t>Customer_Facing_Claims_Pack.md (Customer_Facing_Claims_Pack.md)</w:t>
      </w:r>
    </w:p>
    <w:p>
      <w:r>
        <w:t>Formatting rule:</w:t>
      </w:r>
    </w:p>
    <w:p>
      <w:pPr>
        <w:pStyle w:val="ListBullet"/>
      </w:pPr>
      <w:r>
        <w:t xml:space="preserve">Prefer </w:t>
      </w:r>
      <w:r>
        <w:rPr>
          <w:rFonts w:ascii="Courier New" w:hAnsi="Courier New"/>
          <w:sz w:val="20"/>
        </w:rPr>
        <w:t>Ref: ASR-...</w:t>
      </w:r>
      <w:r>
        <w:t xml:space="preserve"> in prose.</w:t>
      </w:r>
    </w:p>
    <w:p>
      <w:pPr>
        <w:pStyle w:val="ListBullet"/>
      </w:pPr>
      <w:r>
        <w:t xml:space="preserve">Prefer a dedicated </w:t>
      </w:r>
      <w:r>
        <w:rPr>
          <w:rFonts w:ascii="Courier New" w:hAnsi="Courier New"/>
          <w:sz w:val="20"/>
        </w:rPr>
        <w:t>Reference ID</w:t>
      </w:r>
      <w:r>
        <w:t xml:space="preserve"> column in tables that carry time-sensitive facts.</w:t>
      </w:r>
    </w:p>
    <w:p>
      <w:pPr>
        <w:pStyle w:val="ListBullet"/>
      </w:pPr>
      <w:r>
        <w:t xml:space="preserve">Multiple references may be combined with </w:t>
      </w:r>
      <w:r>
        <w:rPr>
          <w:rFonts w:ascii="Courier New" w:hAnsi="Courier New"/>
          <w:sz w:val="20"/>
        </w:rPr>
        <w:t>/</w:t>
      </w:r>
      <w:r>
        <w:t xml:space="preserve"> when a row depends on more than one source.</w:t>
      </w:r>
    </w:p>
    <w:p>
      <w:r>
        <w:t>---</w:t>
      </w:r>
    </w:p>
    <w:p>
      <w:pPr>
        <w:pStyle w:val="Heading3"/>
      </w:pPr>
      <w:r>
        <w:t>Verified Operational Metrics</w:t>
      </w:r>
    </w:p>
    <w:p>
      <w:pPr>
        <w:pStyle w:val="Heading4"/>
      </w:pPr>
      <w:r>
        <w:t>CDSC (Central Depository System and Clearing Limited)</w:t>
      </w:r>
    </w:p>
    <w:p>
      <w:r>
        <w:t xml:space="preserve">Reference ID: </w:t>
      </w:r>
      <w:r>
        <w:rPr>
          <w:rFonts w:ascii="Courier New" w:hAnsi="Courier New"/>
          <w:sz w:val="20"/>
        </w:rPr>
        <w:t>ASR-NEP-CDSC-2026-03-01</w:t>
      </w:r>
    </w:p>
    <w:p>
      <w:r>
        <w:t xml:space="preserve">Primary source: </w:t>
      </w:r>
      <w:r>
        <w:t>CDSC homepage (https://cdsc.com.np/)</w:t>
      </w:r>
    </w:p>
    <w:p>
      <w:r>
        <w:t>Verified on March 1, 2026:</w:t>
      </w:r>
    </w:p>
    <w:p>
      <w:pPr>
        <w:pStyle w:val="ListBullet"/>
      </w:pPr>
      <w:r>
        <w:t xml:space="preserve">BO Demat Accounts: </w:t>
      </w:r>
      <w:r>
        <w:rPr>
          <w:rFonts w:ascii="Courier New" w:hAnsi="Courier New"/>
          <w:sz w:val="20"/>
        </w:rPr>
        <w:t>7,511,020</w:t>
      </w:r>
    </w:p>
    <w:p>
      <w:pPr>
        <w:pStyle w:val="ListBullet"/>
      </w:pPr>
      <w:r>
        <w:t xml:space="preserve">Registered MeroShare Users: </w:t>
      </w:r>
      <w:r>
        <w:rPr>
          <w:rFonts w:ascii="Courier New" w:hAnsi="Courier New"/>
          <w:sz w:val="20"/>
        </w:rPr>
        <w:t>6,586,798</w:t>
      </w:r>
    </w:p>
    <w:p>
      <w:pPr>
        <w:pStyle w:val="ListBullet"/>
      </w:pPr>
      <w:r>
        <w:t xml:space="preserve">Licensed Depository Participants: </w:t>
      </w:r>
      <w:r>
        <w:rPr>
          <w:rFonts w:ascii="Courier New" w:hAnsi="Courier New"/>
          <w:sz w:val="20"/>
        </w:rPr>
        <w:t>122</w:t>
      </w:r>
    </w:p>
    <w:p>
      <w:pPr>
        <w:pStyle w:val="ListBullet"/>
      </w:pPr>
      <w:r>
        <w:t xml:space="preserve">Registered C-ASBA Banks: </w:t>
      </w:r>
      <w:r>
        <w:rPr>
          <w:rFonts w:ascii="Courier New" w:hAnsi="Courier New"/>
          <w:sz w:val="20"/>
        </w:rPr>
        <w:t>43</w:t>
      </w:r>
    </w:p>
    <w:p>
      <w:pPr>
        <w:pStyle w:val="ListBullet"/>
      </w:pPr>
      <w:r>
        <w:t xml:space="preserve">RTA List entries: </w:t>
      </w:r>
      <w:r>
        <w:rPr>
          <w:rFonts w:ascii="Courier New" w:hAnsi="Courier New"/>
          <w:sz w:val="20"/>
        </w:rPr>
        <w:t>46</w:t>
      </w:r>
    </w:p>
    <w:p>
      <w:r>
        <w:t>Usage rule:</w:t>
      </w:r>
    </w:p>
    <w:p>
      <w:pPr>
        <w:pStyle w:val="ListBullet"/>
      </w:pPr>
      <w:r>
        <w:t>Treat these as the current live counts for Nepal depository-adoption references unless a newer CDSC homepage check supersedes them.</w:t>
      </w:r>
    </w:p>
    <w:p>
      <w:pPr>
        <w:pStyle w:val="Heading4"/>
      </w:pPr>
      <w:r>
        <w:t>SEBON (Securities Board of Nepal)</w:t>
      </w:r>
    </w:p>
    <w:p>
      <w:r>
        <w:t xml:space="preserve">Reference ID: </w:t>
      </w:r>
      <w:r>
        <w:rPr>
          <w:rFonts w:ascii="Courier New" w:hAnsi="Courier New"/>
          <w:sz w:val="20"/>
        </w:rPr>
        <w:t>ASR-NEP-SEBON-2026-03-01</w:t>
      </w:r>
    </w:p>
    <w:p>
      <w:r>
        <w:t xml:space="preserve">Primary source: </w:t>
      </w:r>
      <w:r>
        <w:t>SEBON intermediaries page (https://www.sebon.gov.np/intermediaries)</w:t>
      </w:r>
    </w:p>
    <w:p>
      <w:r>
        <w:t>Verified on March 1, 2026:</w:t>
      </w:r>
    </w:p>
    <w:p>
      <w:pPr>
        <w:pStyle w:val="ListBullet"/>
      </w:pPr>
      <w:r>
        <w:t xml:space="preserve">Stock Brokers: </w:t>
      </w:r>
      <w:r>
        <w:rPr>
          <w:rFonts w:ascii="Courier New" w:hAnsi="Courier New"/>
          <w:sz w:val="20"/>
        </w:rPr>
        <w:t>90</w:t>
      </w:r>
    </w:p>
    <w:p>
      <w:pPr>
        <w:pStyle w:val="ListBullet"/>
      </w:pPr>
      <w:r>
        <w:t xml:space="preserve">Stock Dealers: </w:t>
      </w:r>
      <w:r>
        <w:rPr>
          <w:rFonts w:ascii="Courier New" w:hAnsi="Courier New"/>
          <w:sz w:val="20"/>
        </w:rPr>
        <w:t>2</w:t>
      </w:r>
    </w:p>
    <w:p>
      <w:pPr>
        <w:pStyle w:val="ListBullet"/>
      </w:pPr>
      <w:r>
        <w:t xml:space="preserve">Merchant Bankers: </w:t>
      </w:r>
      <w:r>
        <w:rPr>
          <w:rFonts w:ascii="Courier New" w:hAnsi="Courier New"/>
          <w:sz w:val="20"/>
        </w:rPr>
        <w:t>32</w:t>
      </w:r>
    </w:p>
    <w:p>
      <w:pPr>
        <w:pStyle w:val="ListBullet"/>
      </w:pPr>
      <w:r>
        <w:t xml:space="preserve">Fund Manager and Depository: </w:t>
      </w:r>
      <w:r>
        <w:rPr>
          <w:rFonts w:ascii="Courier New" w:hAnsi="Courier New"/>
          <w:sz w:val="20"/>
        </w:rPr>
        <w:t>17</w:t>
      </w:r>
    </w:p>
    <w:p>
      <w:pPr>
        <w:pStyle w:val="ListBullet"/>
      </w:pPr>
      <w:r>
        <w:t xml:space="preserve">Depository Participants: </w:t>
      </w:r>
      <w:r>
        <w:rPr>
          <w:rFonts w:ascii="Courier New" w:hAnsi="Courier New"/>
          <w:sz w:val="20"/>
        </w:rPr>
        <w:t>122</w:t>
      </w:r>
    </w:p>
    <w:p>
      <w:pPr>
        <w:pStyle w:val="ListBullet"/>
      </w:pPr>
      <w:r>
        <w:t xml:space="preserve">Credit Rating Agencies: </w:t>
      </w:r>
      <w:r>
        <w:rPr>
          <w:rFonts w:ascii="Courier New" w:hAnsi="Courier New"/>
          <w:sz w:val="20"/>
        </w:rPr>
        <w:t>3</w:t>
      </w:r>
    </w:p>
    <w:p>
      <w:pPr>
        <w:pStyle w:val="ListBullet"/>
      </w:pPr>
      <w:r>
        <w:t xml:space="preserve">ASBA institutions: </w:t>
      </w:r>
      <w:r>
        <w:rPr>
          <w:rFonts w:ascii="Courier New" w:hAnsi="Courier New"/>
          <w:sz w:val="20"/>
        </w:rPr>
        <w:t>43</w:t>
      </w:r>
    </w:p>
    <w:p>
      <w:pPr>
        <w:pStyle w:val="ListBullet"/>
      </w:pPr>
      <w:r>
        <w:t xml:space="preserve">Mutual Funds: </w:t>
      </w:r>
      <w:r>
        <w:rPr>
          <w:rFonts w:ascii="Courier New" w:hAnsi="Courier New"/>
          <w:sz w:val="20"/>
        </w:rPr>
        <w:t>24</w:t>
      </w:r>
    </w:p>
    <w:p>
      <w:pPr>
        <w:pStyle w:val="ListBullet"/>
      </w:pPr>
      <w:r>
        <w:t xml:space="preserve">Specialized Investment Fund Managers: </w:t>
      </w:r>
      <w:r>
        <w:rPr>
          <w:rFonts w:ascii="Courier New" w:hAnsi="Courier New"/>
          <w:sz w:val="20"/>
        </w:rPr>
        <w:t>19</w:t>
      </w:r>
    </w:p>
    <w:p>
      <w:r>
        <w:t>Usage rule:</w:t>
      </w:r>
    </w:p>
    <w:p>
      <w:pPr>
        <w:pStyle w:val="ListBullet"/>
      </w:pPr>
      <w:r>
        <w:t xml:space="preserve">The </w:t>
      </w:r>
      <w:r>
        <w:rPr>
          <w:rFonts w:ascii="Courier New" w:hAnsi="Courier New"/>
          <w:sz w:val="20"/>
        </w:rPr>
        <w:t>17</w:t>
      </w:r>
      <w:r>
        <w:t xml:space="preserve"> figure is the SEBON category label </w:t>
      </w:r>
      <w:r>
        <w:rPr>
          <w:rFonts w:ascii="Courier New" w:hAnsi="Courier New"/>
          <w:sz w:val="20"/>
        </w:rPr>
        <w:t>Fund Manager and Depository</w:t>
      </w:r>
      <w:r>
        <w:t xml:space="preserve">. Do not restate it as </w:t>
      </w:r>
      <w:r>
        <w:rPr>
          <w:rFonts w:ascii="Courier New" w:hAnsi="Courier New"/>
          <w:sz w:val="20"/>
        </w:rPr>
        <w:t>17 standalone fund managers</w:t>
      </w:r>
      <w:r>
        <w:t xml:space="preserve"> unless separately verified.</w:t>
      </w:r>
    </w:p>
    <w:p>
      <w:r>
        <w:t>---</w:t>
      </w:r>
    </w:p>
    <w:p>
      <w:pPr>
        <w:pStyle w:val="Heading3"/>
      </w:pPr>
      <w:r>
        <w:t>Verified Regulatory Baselines</w:t>
      </w:r>
    </w:p>
    <w:p>
      <w:pPr>
        <w:pStyle w:val="Heading4"/>
      </w:pPr>
      <w:r>
        <w:t>NRB AI Governance</w:t>
      </w:r>
    </w:p>
    <w:p>
      <w:r>
        <w:t xml:space="preserve">Reference ID: </w:t>
      </w:r>
      <w:r>
        <w:rPr>
          <w:rFonts w:ascii="Courier New" w:hAnsi="Courier New"/>
          <w:sz w:val="20"/>
        </w:rPr>
        <w:t>ASR-NEP-NRB-AI-2025-12</w:t>
      </w:r>
    </w:p>
    <w:p>
      <w:r>
        <w:t xml:space="preserve">Primary source: </w:t>
      </w:r>
      <w:r>
        <w:t>NRB AI Guidelines PDF (https://www.nrb.org.np/contents/uploads/2025/12/AI-Guidelines.pdf)</w:t>
      </w:r>
    </w:p>
    <w:p>
      <w:r>
        <w:t>Verified baseline:</w:t>
      </w:r>
    </w:p>
    <w:p>
      <w:pPr>
        <w:pStyle w:val="ListBullet"/>
      </w:pPr>
      <w:r>
        <w:t>The document is dated December 2025.</w:t>
      </w:r>
    </w:p>
    <w:p>
      <w:pPr>
        <w:pStyle w:val="ListBullet"/>
      </w:pPr>
      <w:r>
        <w:t>AI-enabled customer-facing access requires explicit consent.</w:t>
      </w:r>
    </w:p>
    <w:p>
      <w:r>
        <w:t>Usage rule:</w:t>
      </w:r>
    </w:p>
    <w:p>
      <w:pPr>
        <w:pStyle w:val="ListBullet"/>
      </w:pPr>
      <w:r>
        <w:t xml:space="preserve">Do not describe this as </w:t>
      </w:r>
      <w:r>
        <w:rPr>
          <w:rFonts w:ascii="Courier New" w:hAnsi="Courier New"/>
          <w:sz w:val="20"/>
        </w:rPr>
        <w:t>AI Guidelines 2024</w:t>
      </w:r>
      <w:r>
        <w:t>.</w:t>
      </w:r>
    </w:p>
    <w:p>
      <w:pPr>
        <w:pStyle w:val="ListBullet"/>
      </w:pPr>
      <w:r>
        <w:t>Do not infer consent-expiry periods unless the product policy explicitly defines them.</w:t>
      </w:r>
    </w:p>
    <w:p>
      <w:pPr>
        <w:pStyle w:val="Heading4"/>
      </w:pPr>
      <w:r>
        <w:t>NRB eKYC / National ID Readiness</w:t>
      </w:r>
    </w:p>
    <w:p>
      <w:r>
        <w:t xml:space="preserve">Reference ID: </w:t>
      </w:r>
      <w:r>
        <w:rPr>
          <w:rFonts w:ascii="Courier New" w:hAnsi="Courier New"/>
          <w:sz w:val="20"/>
        </w:rPr>
        <w:t>ASR-NEP-NRB-EKYC-2025-01</w:t>
      </w:r>
    </w:p>
    <w:p>
      <w:r>
        <w:t xml:space="preserve">Primary source: </w:t>
      </w:r>
      <w:r>
        <w:t>NRB Payment Systems Oversight Report FY 2023/24 (https://www.nrb.org.np/contents/uploads/2025/01/Payment-Oversight-Report-2023-24.pdf)</w:t>
      </w:r>
    </w:p>
    <w:p>
      <w:r>
        <w:t>Verified baseline:</w:t>
      </w:r>
    </w:p>
    <w:p>
      <w:pPr>
        <w:pStyle w:val="ListBullet"/>
      </w:pPr>
      <w:r>
        <w:t>NRB states it is coordinating with the Department of National ID and Civil Registration to implement eKYC in Nepal.</w:t>
      </w:r>
    </w:p>
    <w:p>
      <w:r>
        <w:t>Usage rule:</w:t>
      </w:r>
    </w:p>
    <w:p>
      <w:pPr>
        <w:pStyle w:val="ListBullet"/>
      </w:pPr>
      <w:r>
        <w:t>National ID / centralized eKYC should be described as approval-dependent and readiness-dependent, not assumed live for production integration.</w:t>
      </w:r>
    </w:p>
    <w:p>
      <w:pPr>
        <w:pStyle w:val="Heading4"/>
      </w:pPr>
      <w:r>
        <w:t>NRB Cyber Resilience</w:t>
      </w:r>
    </w:p>
    <w:p>
      <w:r>
        <w:t xml:space="preserve">Reference ID: </w:t>
      </w:r>
      <w:r>
        <w:rPr>
          <w:rFonts w:ascii="Courier New" w:hAnsi="Courier New"/>
          <w:sz w:val="20"/>
        </w:rPr>
        <w:t>ASR-NEP-NRB-CYBER-2023-08</w:t>
      </w:r>
    </w:p>
    <w:p>
      <w:r>
        <w:t xml:space="preserve">Primary source: </w:t>
      </w:r>
      <w:r>
        <w:t>NRB Cyber Resilience Guidelines 2023 (https://www.nrb.org.np/contents/uploads/2023/08/Cyber-Resilience-Guidelines-2023.pdf)</w:t>
      </w:r>
    </w:p>
    <w:p>
      <w:r>
        <w:t>Verified baseline:</w:t>
      </w:r>
    </w:p>
    <w:p>
      <w:pPr>
        <w:pStyle w:val="ListBullet"/>
      </w:pPr>
      <w:r>
        <w:t>This is the current directly verified NRB cyber-governance source used in the docs.</w:t>
      </w:r>
    </w:p>
    <w:p>
      <w:r>
        <w:t>Usage rule:</w:t>
      </w:r>
    </w:p>
    <w:p>
      <w:pPr>
        <w:pStyle w:val="ListBullet"/>
      </w:pPr>
      <w:r>
        <w:t xml:space="preserve">Do not state that this source creates a fixed </w:t>
      </w:r>
      <w:r>
        <w:rPr>
          <w:rFonts w:ascii="Courier New" w:hAnsi="Courier New"/>
          <w:sz w:val="20"/>
        </w:rPr>
        <w:t>24-hour</w:t>
      </w:r>
      <w:r>
        <w:t xml:space="preserve"> breach-notification obligation to </w:t>
      </w:r>
      <w:r>
        <w:rPr>
          <w:rFonts w:ascii="Courier New" w:hAnsi="Courier New"/>
          <w:sz w:val="20"/>
        </w:rPr>
        <w:t>FinCERT-Nepal</w:t>
      </w:r>
      <w:r>
        <w:t xml:space="preserve"> unless a separate active circular is cited.</w:t>
      </w:r>
    </w:p>
    <w:p>
      <w:pPr>
        <w:pStyle w:val="ListBullet"/>
      </w:pPr>
      <w:r>
        <w:t xml:space="preserve">Do not treat a financial-sector </w:t>
      </w:r>
      <w:r>
        <w:rPr>
          <w:rFonts w:ascii="Courier New" w:hAnsi="Courier New"/>
          <w:sz w:val="20"/>
        </w:rPr>
        <w:t>FinCERT</w:t>
      </w:r>
      <w:r>
        <w:t xml:space="preserve"> workflow as an active institution or mandatory channel unless formally published.</w:t>
      </w:r>
    </w:p>
    <w:p>
      <w:r>
        <w:t>---</w:t>
      </w:r>
    </w:p>
    <w:p>
      <w:pPr>
        <w:pStyle w:val="Heading3"/>
      </w:pPr>
      <w:r>
        <w:t>Design Assumptions That Require Revalidation</w:t>
      </w:r>
    </w:p>
    <w:p>
      <w:pPr>
        <w:pStyle w:val="Heading4"/>
      </w:pPr>
      <w:r>
        <w:t>NEPSE Trading Windows</w:t>
      </w:r>
    </w:p>
    <w:p>
      <w:r>
        <w:t xml:space="preserve">Reference ID: </w:t>
      </w:r>
      <w:r>
        <w:rPr>
          <w:rFonts w:ascii="Courier New" w:hAnsi="Courier New"/>
          <w:sz w:val="20"/>
        </w:rPr>
        <w:t>ASR-NEP-NEPSE-OPS-ASSUMPTION</w:t>
      </w:r>
    </w:p>
    <w:p>
      <w:r>
        <w:t xml:space="preserve">Primary source for future validation: </w:t>
      </w:r>
      <w:r>
        <w:t>NEPSE official website (https://www.nepalstock.com/)</w:t>
      </w:r>
    </w:p>
    <w:p>
      <w:r>
        <w:t>Current documentation rule:</w:t>
      </w:r>
    </w:p>
    <w:p>
      <w:pPr>
        <w:pStyle w:val="ListBullet"/>
      </w:pPr>
      <w:r>
        <w:t>Treat exact trading-session windows as design assumptions that must be revalidated against the latest NEPSE circulars and operating notices before production rollout.</w:t>
      </w:r>
    </w:p>
    <w:p>
      <w:pPr>
        <w:pStyle w:val="ListBullet"/>
      </w:pPr>
      <w:r>
        <w:t>Do not present an exact session timetable in active documents as a permanent regulatory fact unless linked to a current official notice.</w:t>
      </w:r>
    </w:p>
    <w:p>
      <w:pPr>
        <w:pStyle w:val="Heading4"/>
      </w:pPr>
      <w:r>
        <w:t>NEPSE Listing-Process Mechanics</w:t>
      </w:r>
    </w:p>
    <w:p>
      <w:r>
        <w:t xml:space="preserve">Reference ID: </w:t>
      </w:r>
      <w:r>
        <w:rPr>
          <w:rFonts w:ascii="Courier New" w:hAnsi="Courier New"/>
          <w:sz w:val="20"/>
        </w:rPr>
        <w:t>ASR-NEP-NEPSE-LISTING-OPS-ASSUMPTION</w:t>
      </w:r>
    </w:p>
    <w:p>
      <w:r>
        <w:t xml:space="preserve">Primary source for future validation: </w:t>
      </w:r>
      <w:r>
        <w:t>NEPSE official website (https://www.nepalstock.com/)</w:t>
      </w:r>
    </w:p>
    <w:p>
      <w:r>
        <w:t>Current documentation rule:</w:t>
      </w:r>
    </w:p>
    <w:p>
      <w:pPr>
        <w:pStyle w:val="ListBullet"/>
      </w:pPr>
      <w:r>
        <w:t xml:space="preserve">Use </w:t>
      </w:r>
      <w:r>
        <w:rPr>
          <w:rFonts w:ascii="Courier New" w:hAnsi="Courier New"/>
          <w:sz w:val="20"/>
        </w:rPr>
        <w:t>LCA-027</w:t>
      </w:r>
      <w:r>
        <w:t xml:space="preserve"> and </w:t>
      </w:r>
      <w:r>
        <w:rPr>
          <w:rFonts w:ascii="Courier New" w:hAnsi="Courier New"/>
          <w:sz w:val="20"/>
        </w:rPr>
        <w:t>LCA-028</w:t>
      </w:r>
      <w:r>
        <w:t xml:space="preserve"> for clause-backed listed-issuer disclosure and suspension duties.</w:t>
      </w:r>
    </w:p>
    <w:p>
      <w:pPr>
        <w:pStyle w:val="ListBullet"/>
      </w:pPr>
      <w:r>
        <w:t>Treat exact NEPSE submission mechanics, channel workflow, and any exchange-specific listing-operation circulars as live-process assumptions that must be revalidated against the latest NEPSE notices before production rollout.</w:t>
      </w:r>
    </w:p>
    <w:p>
      <w:pPr>
        <w:pStyle w:val="ListBullet"/>
      </w:pPr>
      <w:r>
        <w:t xml:space="preserve">Do not present a generic </w:t>
      </w:r>
      <w:r>
        <w:rPr>
          <w:rFonts w:ascii="Courier New" w:hAnsi="Courier New"/>
          <w:sz w:val="20"/>
        </w:rPr>
        <w:t>NEPSE Listing Rules</w:t>
      </w:r>
      <w:r>
        <w:t xml:space="preserve"> label as a clause-backed authority in active documents unless a current official NEPSE rule or circular extract is pinned.</w:t>
      </w:r>
    </w:p>
    <w:p>
      <w:pPr>
        <w:pStyle w:val="Heading4"/>
      </w:pPr>
      <w:r>
        <w:t>Market Capitalization and Turnover Benchmarks</w:t>
      </w:r>
    </w:p>
    <w:p>
      <w:r>
        <w:t xml:space="preserve">Reference ID: </w:t>
      </w:r>
      <w:r>
        <w:rPr>
          <w:rFonts w:ascii="Courier New" w:hAnsi="Courier New"/>
          <w:sz w:val="20"/>
        </w:rPr>
        <w:t>ASR-NEP-MKT-ILL-2025</w:t>
      </w:r>
      <w:r>
        <w:t xml:space="preserve"> / </w:t>
      </w:r>
      <w:r>
        <w:rPr>
          <w:rFonts w:ascii="Courier New" w:hAnsi="Courier New"/>
          <w:sz w:val="20"/>
        </w:rPr>
        <w:t>ASR-NEP-TURNOVER-ILL-2026-01</w:t>
      </w:r>
    </w:p>
    <w:p>
      <w:r>
        <w:t>Current documentation rule:</w:t>
      </w:r>
    </w:p>
    <w:p>
      <w:pPr>
        <w:pStyle w:val="ListBullet"/>
      </w:pPr>
      <w:r>
        <w:t>Mid-2025 market-cap figures, working listed-company ranges, and January 2026 turnover references may be retained as illustrative estimates or secondary-source benchmarks.</w:t>
      </w:r>
    </w:p>
    <w:p>
      <w:pPr>
        <w:pStyle w:val="ListBullet"/>
      </w:pPr>
      <w:r>
        <w:t>These should not be treated as current live operating metrics unless replaced with a current primary-source publication.</w:t>
      </w:r>
    </w:p>
    <w:p>
      <w:pPr>
        <w:pStyle w:val="Heading4"/>
      </w:pPr>
      <w:r>
        <w:t>Nepal Fiscal-Year Baseline</w:t>
      </w:r>
    </w:p>
    <w:p>
      <w:r>
        <w:t xml:space="preserve">Reference ID: </w:t>
      </w:r>
      <w:r>
        <w:rPr>
          <w:rFonts w:ascii="Courier New" w:hAnsi="Courier New"/>
          <w:sz w:val="20"/>
        </w:rPr>
        <w:t>ASR-NEP-FY-STATUTORY</w:t>
      </w:r>
    </w:p>
    <w:p>
      <w:r>
        <w:t>Statutory baseline:</w:t>
      </w:r>
    </w:p>
    <w:p>
      <w:pPr>
        <w:pStyle w:val="ListBullet"/>
      </w:pPr>
      <w:r>
        <w:t>Nepal's fiscal year is generally referenced in the documentation as Shrawan to Ashadh under the Bikram Sambat calendar.</w:t>
      </w:r>
    </w:p>
    <w:p>
      <w:r>
        <w:t>Usage rule:</w:t>
      </w:r>
    </w:p>
    <w:p>
      <w:pPr>
        <w:pStyle w:val="ListBullet"/>
      </w:pPr>
      <w:r>
        <w:t>This is a structural legal-calendar reference, not a live market metric.</w:t>
      </w:r>
    </w:p>
    <w:p>
      <w:r>
        <w:t>---</w:t>
      </w:r>
    </w:p>
    <w:p>
      <w:pPr>
        <w:pStyle w:val="Heading3"/>
      </w:pPr>
      <w:r>
        <w:t>Regional Benchmark References (Comparative / Mixed-Date)</w:t>
      </w:r>
    </w:p>
    <w:p>
      <w:r>
        <w:t xml:space="preserve">These references support comparative rows in </w:t>
      </w:r>
      <w:r>
        <w:rPr>
          <w:rFonts w:ascii="Courier New" w:hAnsi="Courier New"/>
          <w:sz w:val="20"/>
        </w:rPr>
        <w:t>deep-research-report (2).md</w:t>
      </w:r>
      <w:r>
        <w:t>. They are benchmark inputs, not Nepal go-live operating baselines.</w:t>
      </w:r>
    </w:p>
    <w:p>
      <w:pPr>
        <w:pStyle w:val="Heading4"/>
      </w:pPr>
      <w:r>
        <w:t>India Current Statistics (SEBI)</w:t>
      </w:r>
    </w:p>
    <w:p>
      <w:r>
        <w:t xml:space="preserve">Reference ID: </w:t>
      </w:r>
      <w:r>
        <w:rPr>
          <w:rFonts w:ascii="Courier New" w:hAnsi="Courier New"/>
          <w:sz w:val="20"/>
        </w:rPr>
        <w:t>ASR-IND-SEBI-2025-09</w:t>
      </w:r>
    </w:p>
    <w:p>
      <w:r>
        <w:t xml:space="preserve">Primary source: </w:t>
      </w:r>
      <w:r>
        <w:t>SEBI Bulletin, Current Statistics table (October 2025 issue carrying September 2025 data) (October 2025 issue carrying September 2025 data)](https://www.sebi.gov.in/sebi_data/attachdocs/oct-2025/1761810646113.pdf)</w:t>
      </w:r>
    </w:p>
    <w:p>
      <w:r>
        <w:t>Verified benchmark values:</w:t>
      </w:r>
    </w:p>
    <w:p>
      <w:pPr>
        <w:pStyle w:val="ListBullet"/>
      </w:pPr>
      <w:r>
        <w:t xml:space="preserve">Demat accounts: </w:t>
      </w:r>
      <w:r>
        <w:rPr>
          <w:rFonts w:ascii="Courier New" w:hAnsi="Courier New"/>
          <w:sz w:val="20"/>
        </w:rPr>
        <w:t>20,70,59,626</w:t>
      </w:r>
      <w:r>
        <w:t xml:space="preserve"> (~207.1M)</w:t>
      </w:r>
    </w:p>
    <w:p>
      <w:pPr>
        <w:pStyle w:val="ListBullet"/>
      </w:pPr>
      <w:r>
        <w:t xml:space="preserve">All India market capitalisation: </w:t>
      </w:r>
      <w:r>
        <w:rPr>
          <w:rFonts w:ascii="Courier New" w:hAnsi="Courier New"/>
          <w:sz w:val="20"/>
        </w:rPr>
        <w:t>452 lakh crore</w:t>
      </w:r>
    </w:p>
    <w:p>
      <w:pPr>
        <w:pStyle w:val="ListBullet"/>
      </w:pPr>
      <w:r>
        <w:t xml:space="preserve">Mutual fund average assets under management: </w:t>
      </w:r>
      <w:r>
        <w:rPr>
          <w:rFonts w:ascii="Courier New" w:hAnsi="Courier New"/>
          <w:sz w:val="20"/>
        </w:rPr>
        <w:t>75,61,309 crore</w:t>
      </w:r>
    </w:p>
    <w:p>
      <w:pPr>
        <w:pStyle w:val="ListBullet"/>
      </w:pPr>
      <w:r>
        <w:t xml:space="preserve">Merchant bankers: </w:t>
      </w:r>
      <w:r>
        <w:rPr>
          <w:rFonts w:ascii="Courier New" w:hAnsi="Courier New"/>
          <w:sz w:val="20"/>
        </w:rPr>
        <w:t>235</w:t>
      </w:r>
    </w:p>
    <w:p>
      <w:pPr>
        <w:pStyle w:val="ListBullet"/>
      </w:pPr>
      <w:r>
        <w:t xml:space="preserve">Depository participants: </w:t>
      </w:r>
      <w:r>
        <w:rPr>
          <w:rFonts w:ascii="Courier New" w:hAnsi="Courier New"/>
          <w:sz w:val="20"/>
        </w:rPr>
        <w:t>NSDL 299</w:t>
      </w:r>
      <w:r>
        <w:t xml:space="preserve">, </w:t>
      </w:r>
      <w:r>
        <w:rPr>
          <w:rFonts w:ascii="Courier New" w:hAnsi="Courier New"/>
          <w:sz w:val="20"/>
        </w:rPr>
        <w:t>CDSL 582</w:t>
      </w:r>
    </w:p>
    <w:p>
      <w:r>
        <w:t>Usage rule:</w:t>
      </w:r>
    </w:p>
    <w:p>
      <w:pPr>
        <w:pStyle w:val="ListBullet"/>
      </w:pPr>
      <w:r>
        <w:t>Use this for the India comparative table rows unless replaced by a newer official SEBI current-statistics release.</w:t>
      </w:r>
    </w:p>
    <w:p>
      <w:pPr>
        <w:pStyle w:val="Heading4"/>
      </w:pPr>
      <w:r>
        <w:t>India / Bangladesh / Sri Lanka Market-Cap Benchmarks (WFE)</w:t>
      </w:r>
    </w:p>
    <w:p>
      <w:r>
        <w:t xml:space="preserve">Reference ID: </w:t>
      </w:r>
      <w:r>
        <w:rPr>
          <w:rFonts w:ascii="Courier New" w:hAnsi="Courier New"/>
          <w:sz w:val="20"/>
        </w:rPr>
        <w:t>ASR-IND-WFE-2025-07</w:t>
      </w:r>
      <w:r>
        <w:t xml:space="preserve"> / </w:t>
      </w:r>
      <w:r>
        <w:rPr>
          <w:rFonts w:ascii="Courier New" w:hAnsi="Courier New"/>
          <w:sz w:val="20"/>
        </w:rPr>
        <w:t>ASR-BGD-WFE-2025-07</w:t>
      </w:r>
      <w:r>
        <w:t xml:space="preserve"> / </w:t>
      </w:r>
      <w:r>
        <w:rPr>
          <w:rFonts w:ascii="Courier New" w:hAnsi="Courier New"/>
          <w:sz w:val="20"/>
        </w:rPr>
        <w:t>ASR-LKA-WFE-2025-07</w:t>
      </w:r>
    </w:p>
    <w:p>
      <w:r>
        <w:t xml:space="preserve">Primary source: </w:t>
      </w:r>
      <w:r>
        <w:t>WFE market statistics page (September 2025 issue; July 2025 exchange rows) (September 2025 issue; July 2025 exchange rows)](https://focus.world-exchanges.org/issue/september-2025/market-statistics)</w:t>
      </w:r>
    </w:p>
    <w:p>
      <w:r>
        <w:t>Verified benchmark values:</w:t>
      </w:r>
    </w:p>
    <w:p>
      <w:pPr>
        <w:pStyle w:val="ListBullet"/>
      </w:pPr>
      <w:r>
        <w:t xml:space="preserve">National Stock Exchange of India domestic market capitalisation: </w:t>
      </w:r>
      <w:r>
        <w:rPr>
          <w:rFonts w:ascii="Courier New" w:hAnsi="Courier New"/>
          <w:sz w:val="20"/>
        </w:rPr>
        <w:t>USD 4,831,709.86 million</w:t>
      </w:r>
    </w:p>
    <w:p>
      <w:pPr>
        <w:pStyle w:val="ListBullet"/>
      </w:pPr>
      <w:r>
        <w:t xml:space="preserve">Dhaka Stock Exchange domestic market capitalisation: </w:t>
      </w:r>
      <w:r>
        <w:rPr>
          <w:rFonts w:ascii="Courier New" w:hAnsi="Courier New"/>
          <w:sz w:val="20"/>
        </w:rPr>
        <w:t>USD 29,738.19 million</w:t>
      </w:r>
    </w:p>
    <w:p>
      <w:pPr>
        <w:pStyle w:val="ListBullet"/>
      </w:pPr>
      <w:r>
        <w:t xml:space="preserve">Colombo Stock Exchange domestic market capitalisation: </w:t>
      </w:r>
      <w:r>
        <w:rPr>
          <w:rFonts w:ascii="Courier New" w:hAnsi="Courier New"/>
          <w:sz w:val="20"/>
        </w:rPr>
        <w:t>USD 22,095.48 million</w:t>
      </w:r>
    </w:p>
    <w:p>
      <w:r>
        <w:t>Usage rule:</w:t>
      </w:r>
    </w:p>
    <w:p>
      <w:pPr>
        <w:pStyle w:val="ListBullet"/>
      </w:pPr>
      <w:r>
        <w:t>Use these only for cross-country comparative charts or benchmark framing, not as current transaction-operating metrics.</w:t>
      </w:r>
    </w:p>
    <w:p>
      <w:pPr>
        <w:pStyle w:val="Heading4"/>
      </w:pPr>
      <w:r>
        <w:t>Bangladesh Depository Indicators (CDBL)</w:t>
      </w:r>
    </w:p>
    <w:p>
      <w:r>
        <w:t xml:space="preserve">Reference ID: </w:t>
      </w:r>
      <w:r>
        <w:rPr>
          <w:rFonts w:ascii="Courier New" w:hAnsi="Courier New"/>
          <w:sz w:val="20"/>
        </w:rPr>
        <w:t>ASR-BGD-CDBL-2026-02-26</w:t>
      </w:r>
    </w:p>
    <w:p>
      <w:r>
        <w:t xml:space="preserve">Primary source: </w:t>
      </w:r>
      <w:r>
        <w:t>CDBL homepage (https://www.cdbl.com.bd/)</w:t>
      </w:r>
    </w:p>
    <w:p>
      <w:r>
        <w:t>Verified on February 26, 2026:</w:t>
      </w:r>
    </w:p>
    <w:p>
      <w:pPr>
        <w:pStyle w:val="ListBullet"/>
      </w:pPr>
      <w:r>
        <w:t xml:space="preserve">BO accounts (operable in CDS): </w:t>
      </w:r>
      <w:r>
        <w:rPr>
          <w:rFonts w:ascii="Courier New" w:hAnsi="Courier New"/>
          <w:sz w:val="20"/>
        </w:rPr>
        <w:t>1,650,111</w:t>
      </w:r>
    </w:p>
    <w:p>
      <w:pPr>
        <w:pStyle w:val="ListBullet"/>
      </w:pPr>
      <w:r>
        <w:t xml:space="preserve">Depository participants: </w:t>
      </w:r>
      <w:r>
        <w:rPr>
          <w:rFonts w:ascii="Courier New" w:hAnsi="Courier New"/>
          <w:sz w:val="20"/>
        </w:rPr>
        <w:t>559</w:t>
      </w:r>
    </w:p>
    <w:p>
      <w:pPr>
        <w:pStyle w:val="ListBullet"/>
      </w:pPr>
      <w:r>
        <w:t>ISO 27001 certification is stated on the homepage</w:t>
      </w:r>
    </w:p>
    <w:p>
      <w:r>
        <w:t>Usage rule:</w:t>
      </w:r>
    </w:p>
    <w:p>
      <w:pPr>
        <w:pStyle w:val="ListBullet"/>
      </w:pPr>
      <w:r>
        <w:t>This is the preferred Bangladesh depository benchmark for the regional report.</w:t>
      </w:r>
    </w:p>
    <w:p>
      <w:pPr>
        <w:pStyle w:val="Heading4"/>
      </w:pPr>
      <w:r>
        <w:t>Bangladesh Broker-Base Benchmark (Exchange Publication)</w:t>
      </w:r>
    </w:p>
    <w:p>
      <w:r>
        <w:t xml:space="preserve">Reference ID: </w:t>
      </w:r>
      <w:r>
        <w:rPr>
          <w:rFonts w:ascii="Courier New" w:hAnsi="Courier New"/>
          <w:sz w:val="20"/>
        </w:rPr>
        <w:t>ASR-BGD-CSE-2025-Q1</w:t>
      </w:r>
    </w:p>
    <w:p>
      <w:r>
        <w:t xml:space="preserve">Secondary exchange-market publication: </w:t>
      </w:r>
      <w:r>
        <w:t>CSE Portfolio, January-March 2025 (https://www.cse.com.bd/upload/CSE_Porfolio/2410341851.pdf)</w:t>
      </w:r>
    </w:p>
    <w:p>
      <w:r>
        <w:t>Verified benchmark values:</w:t>
      </w:r>
    </w:p>
    <w:p>
      <w:pPr>
        <w:pStyle w:val="ListBullet"/>
      </w:pPr>
      <w:r>
        <w:t xml:space="preserve">Dhaka Stock Exchange TREC holders: </w:t>
      </w:r>
      <w:r>
        <w:rPr>
          <w:rFonts w:ascii="Courier New" w:hAnsi="Courier New"/>
          <w:sz w:val="20"/>
        </w:rPr>
        <w:t>250</w:t>
      </w:r>
    </w:p>
    <w:p>
      <w:pPr>
        <w:pStyle w:val="ListBullet"/>
      </w:pPr>
      <w:r>
        <w:t xml:space="preserve">Active TREC holders: </w:t>
      </w:r>
      <w:r>
        <w:rPr>
          <w:rFonts w:ascii="Courier New" w:hAnsi="Courier New"/>
          <w:sz w:val="20"/>
        </w:rPr>
        <w:t>234</w:t>
      </w:r>
    </w:p>
    <w:p>
      <w:r>
        <w:t>Usage rule:</w:t>
      </w:r>
    </w:p>
    <w:p>
      <w:pPr>
        <w:pStyle w:val="ListBullet"/>
      </w:pPr>
      <w:r>
        <w:t>Treat this as a comparative benchmark, not a live membership count. Replace it with a newer official exchange source when available.</w:t>
      </w:r>
    </w:p>
    <w:p>
      <w:pPr>
        <w:pStyle w:val="Heading4"/>
      </w:pPr>
      <w:r>
        <w:t>Sri Lanka Digital Onboarding (SEC Sri Lanka)</w:t>
      </w:r>
    </w:p>
    <w:p>
      <w:r>
        <w:t xml:space="preserve">Reference ID: </w:t>
      </w:r>
      <w:r>
        <w:rPr>
          <w:rFonts w:ascii="Courier New" w:hAnsi="Courier New"/>
          <w:sz w:val="20"/>
        </w:rPr>
        <w:t>ASR-LKA-SEC-2026</w:t>
      </w:r>
    </w:p>
    <w:p>
      <w:r>
        <w:t xml:space="preserve">Primary source: </w:t>
      </w:r>
      <w:r>
        <w:t>SEC Sri Lanka digitalization overview (https://sec.gov.lk/digitalization-and-the-securities-market/)</w:t>
      </w:r>
    </w:p>
    <w:p>
      <w:r>
        <w:t>Verified baseline:</w:t>
      </w:r>
    </w:p>
    <w:p>
      <w:pPr>
        <w:pStyle w:val="ListBullet"/>
      </w:pPr>
      <w:r>
        <w:t>SEC Sri Lanka describes digital onboarding with eKYC, biometric authentication, NIC verification, and an onboarding target of less than five minutes.</w:t>
      </w:r>
    </w:p>
    <w:p>
      <w:r>
        <w:t>Usage rule:</w:t>
      </w:r>
    </w:p>
    <w:p>
      <w:pPr>
        <w:pStyle w:val="ListBullet"/>
      </w:pPr>
      <w:r>
        <w:t>Keep this as a market-direction indicator; revalidate exact operational timings against current CSE/CDS workflows before treating it as an SLA.</w:t>
      </w:r>
    </w:p>
    <w:p>
      <w:pPr>
        <w:pStyle w:val="Heading4"/>
      </w:pPr>
      <w:r>
        <w:t>Sri Lanka CDS App Workflow (CSE)</w:t>
      </w:r>
    </w:p>
    <w:p>
      <w:r>
        <w:t xml:space="preserve">Reference ID: </w:t>
      </w:r>
      <w:r>
        <w:rPr>
          <w:rFonts w:ascii="Courier New" w:hAnsi="Courier New"/>
          <w:sz w:val="20"/>
        </w:rPr>
        <w:t>ASR-LKA-CSE-APP-2026</w:t>
      </w:r>
    </w:p>
    <w:p>
      <w:r>
        <w:t xml:space="preserve">Primary source: </w:t>
      </w:r>
      <w:r>
        <w:t>CSE mobile app / CDS e-Connect page (https://www.cse.lk/mobile-app)</w:t>
      </w:r>
    </w:p>
    <w:p>
      <w:r>
        <w:t>Verified baseline:</w:t>
      </w:r>
    </w:p>
    <w:p>
      <w:pPr>
        <w:pStyle w:val="ListBullet"/>
      </w:pPr>
      <w:r>
        <w:t>The page states that investors can create a new CDS account and receive details within 24 hours via the app.</w:t>
      </w:r>
    </w:p>
    <w:p>
      <w:r>
        <w:t>Usage rule:</w:t>
      </w:r>
    </w:p>
    <w:p>
      <w:pPr>
        <w:pStyle w:val="ListBullet"/>
      </w:pPr>
      <w:r>
        <w:t>Use this as the current operational descriptor for Sri Lanka’s digital-account-opening workflow.</w:t>
      </w:r>
    </w:p>
    <w:p>
      <w:pPr>
        <w:pStyle w:val="Heading4"/>
      </w:pPr>
      <w:r>
        <w:t>Myanmar Market-Cap Benchmark (YSX)</w:t>
      </w:r>
    </w:p>
    <w:p>
      <w:r>
        <w:t xml:space="preserve">Reference ID: </w:t>
      </w:r>
      <w:r>
        <w:rPr>
          <w:rFonts w:ascii="Courier New" w:hAnsi="Courier New"/>
          <w:sz w:val="20"/>
        </w:rPr>
        <w:t>ASR-MMR-YSX-2026-02-11</w:t>
      </w:r>
    </w:p>
    <w:p>
      <w:r>
        <w:t xml:space="preserve">Primary source: </w:t>
      </w:r>
      <w:r>
        <w:t>YSX daily market statistics PDF (February 11, 2026) (February 11, 2026)](https://ysx-mm.com/wp-content/uploads/2026/02/20260211-1.pdf)</w:t>
      </w:r>
    </w:p>
    <w:p>
      <w:r>
        <w:t>Verified benchmark value:</w:t>
      </w:r>
    </w:p>
    <w:p>
      <w:pPr>
        <w:pStyle w:val="ListBullet"/>
      </w:pPr>
      <w:r>
        <w:t xml:space="preserve">Total market capitalisation: </w:t>
      </w:r>
      <w:r>
        <w:rPr>
          <w:rFonts w:ascii="Courier New" w:hAnsi="Courier New"/>
          <w:sz w:val="20"/>
        </w:rPr>
        <w:t>794,378 million MMK</w:t>
      </w:r>
    </w:p>
    <w:p>
      <w:r>
        <w:t>Usage rule:</w:t>
      </w:r>
    </w:p>
    <w:p>
      <w:pPr>
        <w:pStyle w:val="ListBullet"/>
      </w:pPr>
      <w:r>
        <w:t>Use the local-currency market-cap figure unless an explicitly dated FX conversion is required for a comparative chart.</w:t>
      </w:r>
    </w:p>
    <w:p>
      <w:r>
        <w:t>---</w:t>
      </w:r>
    </w:p>
    <w:p>
      <w:pPr>
        <w:pStyle w:val="Heading3"/>
      </w:pPr>
      <w:r>
        <w:t>Source Priority</w:t>
      </w:r>
    </w:p>
    <w:p>
      <w:r>
        <w:t>For time-sensitive external facts, use this priority order:</w:t>
      </w:r>
    </w:p>
    <w:p>
      <w:pPr>
        <w:pStyle w:val="ListNumber"/>
      </w:pPr>
      <w:r>
        <w:t>Official regulator / market-infrastructure website or PDF</w:t>
      </w:r>
    </w:p>
    <w:p>
      <w:pPr>
        <w:pStyle w:val="ListNumber"/>
      </w:pPr>
      <w:r>
        <w:t>This source register (if already refreshed from the official source)</w:t>
      </w:r>
    </w:p>
    <w:p>
      <w:pPr>
        <w:pStyle w:val="ListNumber"/>
      </w:pPr>
      <w:r>
        <w:t>Embedded references in active project documents</w:t>
      </w:r>
    </w:p>
    <w:p>
      <w:pPr>
        <w:pStyle w:val="ListNumber"/>
      </w:pPr>
      <w:r>
        <w:t>Secondary press or market-data references, clearly labeled as illustrative or provisional</w:t>
      </w:r>
    </w:p>
    <w:p>
      <w:r>
        <w:br w:type="page"/>
      </w:r>
    </w:p>
    <w:p>
      <w:pPr>
        <w:pStyle w:val="Heading1"/>
      </w:pPr>
      <w:r>
        <w:t>Legal Claim Citation Appendix</w:t>
      </w:r>
    </w:p>
    <w:p>
      <w:pPr>
        <w:jc w:val="left"/>
      </w:pPr>
      <w:r>
        <w:rPr>
          <w:i/>
          <w:sz w:val="18"/>
        </w:rPr>
        <w:t>Source: Legal_Claim_Citation_Appendix.md -&gt; docs/Legal_Claim_Citation_Appendix.md</w:t>
      </w:r>
    </w:p>
    <w:p>
      <w:pPr>
        <w:pStyle w:val="Heading2"/>
      </w:pPr>
      <w:r>
        <w:t>Legal Claim Citation Appendix</w:t>
      </w:r>
    </w:p>
    <w:p>
      <w:r>
        <w:t>Version: 1.0</w:t>
      </w:r>
    </w:p>
    <w:p>
      <w:r>
        <w:t>Status: Legal-claim traceability appendix for active Project Siddhanta documents</w:t>
      </w:r>
    </w:p>
    <w:p>
      <w:r>
        <w:t>Last revised: March 1, 2026</w:t>
      </w:r>
    </w:p>
    <w:p>
      <w:r>
        <w:t>---</w:t>
      </w:r>
    </w:p>
    <w:p>
      <w:pPr>
        <w:pStyle w:val="Heading3"/>
      </w:pPr>
      <w:r>
        <w:t>Purpose</w:t>
      </w:r>
    </w:p>
    <w:p>
      <w:r>
        <w:t>This appendix maps legal or quasi-legal claims in the active Project Siddhanta documents to the best currently identified authority source.</w:t>
      </w:r>
    </w:p>
    <w:p>
      <w:r>
        <w:t>It is not a legal opinion. It is a traceability layer intended to:</w:t>
      </w:r>
    </w:p>
    <w:p>
      <w:pPr>
        <w:pStyle w:val="ListBullet"/>
      </w:pPr>
      <w:r>
        <w:t>separate clause-verified claims from document-level references,</w:t>
      </w:r>
    </w:p>
    <w:p>
      <w:pPr>
        <w:pStyle w:val="ListBullet"/>
      </w:pPr>
      <w:r>
        <w:t>identify where wording is supported only as a project policy baseline,</w:t>
      </w:r>
    </w:p>
    <w:p>
      <w:pPr>
        <w:pStyle w:val="ListBullet"/>
      </w:pPr>
      <w:r>
        <w:t>flag statements that still need exact clause extraction before being treated as hard legal requirements.</w:t>
      </w:r>
    </w:p>
    <w:p>
      <w:r>
        <w:t>---</w:t>
      </w:r>
    </w:p>
    <w:p>
      <w:pPr>
        <w:pStyle w:val="Heading3"/>
      </w:pPr>
      <w:r>
        <w:t>Evidence Status</w:t>
      </w:r>
    </w:p>
    <w:p>
      <w:pPr>
        <w:pStyle w:val="ListBullet"/>
      </w:pPr>
      <w:r>
        <w:rPr>
          <w:rFonts w:ascii="Courier New" w:hAnsi="Courier New"/>
          <w:sz w:val="20"/>
        </w:rPr>
        <w:t>clause-verified</w:t>
      </w:r>
    </w:p>
    <w:p>
      <w:pPr>
        <w:pStyle w:val="ListBullet"/>
      </w:pPr>
      <w:r>
        <w:t>The claim is tied to a named clause, regulation number, or section in a primary source.</w:t>
      </w:r>
    </w:p>
    <w:p>
      <w:pPr>
        <w:pStyle w:val="ListBullet"/>
      </w:pPr>
      <w:r>
        <w:rPr>
          <w:rFonts w:ascii="Courier New" w:hAnsi="Courier New"/>
          <w:sz w:val="20"/>
        </w:rPr>
        <w:t>document-verified</w:t>
      </w:r>
    </w:p>
    <w:p>
      <w:pPr>
        <w:pStyle w:val="ListBullet"/>
      </w:pPr>
      <w:r>
        <w:t>The source document is verified, but the exact legal clause or numbered obligation is not yet pinned in this appendix.</w:t>
      </w:r>
    </w:p>
    <w:p>
      <w:pPr>
        <w:pStyle w:val="ListBullet"/>
      </w:pPr>
      <w:r>
        <w:rPr>
          <w:rFonts w:ascii="Courier New" w:hAnsi="Courier New"/>
          <w:sz w:val="20"/>
        </w:rPr>
        <w:t>project-policy</w:t>
      </w:r>
    </w:p>
    <w:p>
      <w:pPr>
        <w:pStyle w:val="ListBullet"/>
      </w:pPr>
      <w:r>
        <w:t>The statement is a deliberate product or documentation policy, not yet traced to a binding legal clause in this appendix.</w:t>
      </w:r>
    </w:p>
    <w:p>
      <w:pPr>
        <w:pStyle w:val="ListBullet"/>
      </w:pPr>
      <w:r>
        <w:rPr>
          <w:rFonts w:ascii="Courier New" w:hAnsi="Courier New"/>
          <w:sz w:val="20"/>
        </w:rPr>
        <w:t>pending-clause-extraction</w:t>
      </w:r>
    </w:p>
    <w:p>
      <w:pPr>
        <w:pStyle w:val="ListBullet"/>
      </w:pPr>
      <w:r>
        <w:t>The relevant authority document is known, but the exact clause still needs to be extracted before the claim should be treated as a hard legal requirement.</w:t>
      </w:r>
    </w:p>
    <w:p>
      <w:r>
        <w:t>---</w:t>
      </w:r>
    </w:p>
    <w:p>
      <w:pPr>
        <w:pStyle w:val="Heading3"/>
      </w:pPr>
      <w:r>
        <w:t>Claim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D9EAF7"/>
          </w:tcPr>
          <w:p>
            <w:r>
              <w:rPr>
                <w:b/>
              </w:rPr>
            </w:r>
            <w:r>
              <w:rPr>
                <w:b/>
              </w:rPr>
              <w:t>Claim ID</w:t>
            </w:r>
          </w:p>
        </w:tc>
        <w:tc>
          <w:tcPr>
            <w:tcW w:type="dxa" w:w="1234"/>
            <w:shd w:fill="D9EAF7"/>
          </w:tcPr>
          <w:p>
            <w:r>
              <w:rPr>
                <w:b/>
              </w:rPr>
            </w:r>
            <w:r>
              <w:rPr>
                <w:b/>
              </w:rPr>
              <w:t>Active doc location(s)</w:t>
            </w:r>
          </w:p>
        </w:tc>
        <w:tc>
          <w:tcPr>
            <w:tcW w:type="dxa" w:w="1234"/>
            <w:shd w:fill="D9EAF7"/>
          </w:tcPr>
          <w:p>
            <w:r>
              <w:rPr>
                <w:b/>
              </w:rPr>
            </w:r>
            <w:r>
              <w:rPr>
                <w:b/>
              </w:rPr>
              <w:t>Claim summary</w:t>
            </w:r>
          </w:p>
        </w:tc>
        <w:tc>
          <w:tcPr>
            <w:tcW w:type="dxa" w:w="1234"/>
            <w:shd w:fill="D9EAF7"/>
          </w:tcPr>
          <w:p>
            <w:r>
              <w:rPr>
                <w:b/>
              </w:rPr>
            </w:r>
            <w:r>
              <w:rPr>
                <w:b/>
              </w:rPr>
              <w:t>Authority source</w:t>
            </w:r>
          </w:p>
        </w:tc>
        <w:tc>
          <w:tcPr>
            <w:tcW w:type="dxa" w:w="1234"/>
            <w:shd w:fill="D9EAF7"/>
          </w:tcPr>
          <w:p>
            <w:r>
              <w:rPr>
                <w:b/>
              </w:rPr>
            </w:r>
            <w:r>
              <w:rPr>
                <w:b/>
              </w:rPr>
              <w:t>Clause / evidence anchor</w:t>
            </w:r>
          </w:p>
        </w:tc>
        <w:tc>
          <w:tcPr>
            <w:tcW w:type="dxa" w:w="1234"/>
            <w:shd w:fill="D9EAF7"/>
          </w:tcPr>
          <w:p>
            <w:r>
              <w:rPr>
                <w:b/>
              </w:rPr>
            </w:r>
            <w:r>
              <w:rPr>
                <w:b/>
              </w:rPr>
              <w:t>Status</w:t>
            </w:r>
          </w:p>
        </w:tc>
        <w:tc>
          <w:tcPr>
            <w:tcW w:type="dxa" w:w="1234"/>
            <w:shd w:fill="D9EAF7"/>
          </w:tcPr>
          <w:p>
            <w:r>
              <w:rPr>
                <w:b/>
              </w:rPr>
            </w:r>
            <w:r>
              <w:rPr>
                <w:b/>
              </w:rPr>
              <w:t>Notes / action</w:t>
            </w:r>
          </w:p>
        </w:tc>
      </w:tr>
      <w:tr>
        <w:tc>
          <w:tcPr>
            <w:tcW w:type="dxa" w:w="1234"/>
          </w:tcPr>
          <w:p>
            <w:r/>
            <w:r>
              <w:rPr>
                <w:rFonts w:ascii="Courier New" w:hAnsi="Courier New"/>
                <w:sz w:val="20"/>
              </w:rPr>
              <w:t>LCA-001</w:t>
            </w:r>
          </w:p>
        </w:tc>
        <w:tc>
          <w:tcPr>
            <w:tcW w:type="dxa" w:w="1234"/>
          </w:tcPr>
          <w:p>
            <w:r/>
            <w:r>
              <w:rPr>
                <w:rFonts w:ascii="Courier New" w:hAnsi="Courier New"/>
                <w:sz w:val="20"/>
              </w:rPr>
              <w:t>siddhanta.md §2.3</w:t>
            </w:r>
            <w:r>
              <w:t xml:space="preserve">; </w:t>
            </w:r>
            <w:r>
              <w:rPr>
                <w:rFonts w:ascii="Courier New" w:hAnsi="Courier New"/>
                <w:sz w:val="20"/>
              </w:rPr>
              <w:t>Siddhanta_Platform_Specification.md §10.2</w:t>
            </w:r>
          </w:p>
        </w:tc>
        <w:tc>
          <w:tcPr>
            <w:tcW w:type="dxa" w:w="1234"/>
          </w:tcPr>
          <w:p>
            <w:r/>
            <w:r>
              <w:t>AI-enabled use of customer data requires explicit customer consent and opt-out handling</w:t>
            </w:r>
          </w:p>
        </w:tc>
        <w:tc>
          <w:tcPr>
            <w:tcW w:type="dxa" w:w="1234"/>
          </w:tcPr>
          <w:p>
            <w:r/>
            <w:r>
              <w:t>NRB AI Guidelines PDF (https://www.nrb.org.np/contents/uploads/2025/12/AI-Guidelines.pdf)</w:t>
            </w:r>
          </w:p>
        </w:tc>
        <w:tc>
          <w:tcPr>
            <w:tcW w:type="dxa" w:w="1234"/>
          </w:tcPr>
          <w:p>
            <w:r/>
            <w:r>
              <w:t xml:space="preserve">Section </w:t>
            </w:r>
            <w:r>
              <w:rPr>
                <w:rFonts w:ascii="Courier New" w:hAnsi="Courier New"/>
                <w:sz w:val="20"/>
              </w:rPr>
              <w:t>8.3 Consent and Opt-Out</w:t>
            </w:r>
            <w:r>
              <w:t xml:space="preserve">, lines 196-198 in the verified PDF view; source register </w:t>
            </w:r>
            <w:r>
              <w:rPr>
                <w:rFonts w:ascii="Courier New" w:hAnsi="Courier New"/>
                <w:sz w:val="20"/>
              </w:rPr>
              <w:t>ASR-NEP-NRB-AI-2025-12</w:t>
            </w:r>
          </w:p>
        </w:tc>
        <w:tc>
          <w:tcPr>
            <w:tcW w:type="dxa" w:w="1234"/>
          </w:tcPr>
          <w:p>
            <w:r/>
            <w:r>
              <w:rPr>
                <w:rFonts w:ascii="Courier New" w:hAnsi="Courier New"/>
                <w:sz w:val="20"/>
              </w:rPr>
              <w:t>clause-verified</w:t>
            </w:r>
          </w:p>
        </w:tc>
        <w:tc>
          <w:tcPr>
            <w:tcW w:type="dxa" w:w="1234"/>
          </w:tcPr>
          <w:p>
            <w:r/>
            <w:r>
              <w:t>Safe to phrase as explicit consent / opt-out requirement. Do not invent consent-renewal cycles unless product policy says so.</w:t>
            </w:r>
          </w:p>
        </w:tc>
      </w:tr>
      <w:tr>
        <w:tc>
          <w:tcPr>
            <w:tcW w:type="dxa" w:w="1234"/>
          </w:tcPr>
          <w:p>
            <w:r/>
            <w:r>
              <w:rPr>
                <w:rFonts w:ascii="Courier New" w:hAnsi="Courier New"/>
                <w:sz w:val="20"/>
              </w:rPr>
              <w:t>LCA-002</w:t>
            </w:r>
          </w:p>
        </w:tc>
        <w:tc>
          <w:tcPr>
            <w:tcW w:type="dxa" w:w="1234"/>
          </w:tcPr>
          <w:p>
            <w:r/>
            <w:r>
              <w:rPr>
                <w:rFonts w:ascii="Courier New" w:hAnsi="Courier New"/>
                <w:sz w:val="20"/>
              </w:rPr>
              <w:t>siddhanta.md §2.3</w:t>
            </w:r>
            <w:r>
              <w:t xml:space="preserve">; </w:t>
            </w:r>
            <w:r>
              <w:rPr>
                <w:rFonts w:ascii="Courier New" w:hAnsi="Courier New"/>
                <w:sz w:val="20"/>
              </w:rPr>
              <w:t>Siddhanta_Platform_Specification.md §10.2</w:t>
            </w:r>
          </w:p>
        </w:tc>
        <w:tc>
          <w:tcPr>
            <w:tcW w:type="dxa" w:w="1234"/>
          </w:tcPr>
          <w:p>
            <w:r/>
            <w:r>
              <w:t>AI governance requires board-approved oversight, risk classification, audit trails, and incident reporting</w:t>
            </w:r>
          </w:p>
        </w:tc>
        <w:tc>
          <w:tcPr>
            <w:tcW w:type="dxa" w:w="1234"/>
          </w:tcPr>
          <w:p>
            <w:r/>
            <w:r>
              <w:t>NRB AI Guidelines PDF (https://www.nrb.org.np/contents/uploads/2025/12/AI-Guidelines.pdf)</w:t>
            </w:r>
          </w:p>
        </w:tc>
        <w:tc>
          <w:tcPr>
            <w:tcW w:type="dxa" w:w="1234"/>
          </w:tcPr>
          <w:p>
            <w:r/>
            <w:r>
              <w:t xml:space="preserve">Sections </w:t>
            </w:r>
            <w:r>
              <w:rPr>
                <w:rFonts w:ascii="Courier New" w:hAnsi="Courier New"/>
                <w:sz w:val="20"/>
              </w:rPr>
              <w:t>5.2.2</w:t>
            </w:r>
            <w:r>
              <w:t xml:space="preserve">, </w:t>
            </w:r>
            <w:r>
              <w:rPr>
                <w:rFonts w:ascii="Courier New" w:hAnsi="Courier New"/>
                <w:sz w:val="20"/>
              </w:rPr>
              <w:t>6.1.1</w:t>
            </w:r>
            <w:r>
              <w:t xml:space="preserve">, </w:t>
            </w:r>
            <w:r>
              <w:rPr>
                <w:rFonts w:ascii="Courier New" w:hAnsi="Courier New"/>
                <w:sz w:val="20"/>
              </w:rPr>
              <w:t>7.2</w:t>
            </w:r>
            <w:r>
              <w:t xml:space="preserve">, </w:t>
            </w:r>
            <w:r>
              <w:rPr>
                <w:rFonts w:ascii="Courier New" w:hAnsi="Courier New"/>
                <w:sz w:val="20"/>
              </w:rPr>
              <w:t>7.3</w:t>
            </w:r>
            <w:r>
              <w:t xml:space="preserve">, </w:t>
            </w:r>
            <w:r>
              <w:rPr>
                <w:rFonts w:ascii="Courier New" w:hAnsi="Courier New"/>
                <w:sz w:val="20"/>
              </w:rPr>
              <w:t>10.2</w:t>
            </w:r>
            <w:r>
              <w:t xml:space="preserve">, </w:t>
            </w:r>
            <w:r>
              <w:rPr>
                <w:rFonts w:ascii="Courier New" w:hAnsi="Courier New"/>
                <w:sz w:val="20"/>
              </w:rPr>
              <w:t>10.3</w:t>
            </w:r>
            <w:r>
              <w:t xml:space="preserve">; source register </w:t>
            </w:r>
            <w:r>
              <w:rPr>
                <w:rFonts w:ascii="Courier New" w:hAnsi="Courier New"/>
                <w:sz w:val="20"/>
              </w:rPr>
              <w:t>ASR-NEP-NRB-AI-2025-12</w:t>
            </w:r>
          </w:p>
        </w:tc>
        <w:tc>
          <w:tcPr>
            <w:tcW w:type="dxa" w:w="1234"/>
          </w:tcPr>
          <w:p>
            <w:r/>
            <w:r>
              <w:rPr>
                <w:rFonts w:ascii="Courier New" w:hAnsi="Courier New"/>
                <w:sz w:val="20"/>
              </w:rPr>
              <w:t>clause-verified</w:t>
            </w:r>
          </w:p>
        </w:tc>
        <w:tc>
          <w:tcPr>
            <w:tcW w:type="dxa" w:w="1234"/>
          </w:tcPr>
          <w:p>
            <w:r/>
            <w:r>
              <w:t>Supports bounded-automation, human-oversight, documentation, and reporting language.</w:t>
            </w:r>
          </w:p>
        </w:tc>
      </w:tr>
      <w:tr>
        <w:tc>
          <w:tcPr>
            <w:tcW w:type="dxa" w:w="1234"/>
          </w:tcPr>
          <w:p>
            <w:r/>
            <w:r>
              <w:rPr>
                <w:rFonts w:ascii="Courier New" w:hAnsi="Courier New"/>
                <w:sz w:val="20"/>
              </w:rPr>
              <w:t>LCA-003</w:t>
            </w:r>
          </w:p>
        </w:tc>
        <w:tc>
          <w:tcPr>
            <w:tcW w:type="dxa" w:w="1234"/>
          </w:tcPr>
          <w:p>
            <w:r/>
            <w:r>
              <w:rPr>
                <w:rFonts w:ascii="Courier New" w:hAnsi="Courier New"/>
                <w:sz w:val="20"/>
              </w:rPr>
              <w:t>siddhanta.md §2.3</w:t>
            </w:r>
            <w:r>
              <w:t xml:space="preserve">; </w:t>
            </w:r>
            <w:r>
              <w:rPr>
                <w:rFonts w:ascii="Courier New" w:hAnsi="Courier New"/>
                <w:sz w:val="20"/>
              </w:rPr>
              <w:t>Documentation_Glossary_and_Policy_Appendix.md</w:t>
            </w:r>
          </w:p>
        </w:tc>
        <w:tc>
          <w:tcPr>
            <w:tcW w:type="dxa" w:w="1234"/>
          </w:tcPr>
          <w:p>
            <w:r/>
            <w:r>
              <w:t>National ID / centralized eKYC should be described as approval-dependent, not assumed production-live</w:t>
            </w:r>
          </w:p>
        </w:tc>
        <w:tc>
          <w:tcPr>
            <w:tcW w:type="dxa" w:w="1234"/>
          </w:tcPr>
          <w:p>
            <w:r/>
            <w:r>
              <w:t>NRB Payment Systems Oversight Report FY 2023/24 (https://www.nrb.org.np/contents/uploads/2025/01/Payment-Oversight-Report-2023-24.pdf)</w:t>
            </w:r>
          </w:p>
        </w:tc>
        <w:tc>
          <w:tcPr>
            <w:tcW w:type="dxa" w:w="1234"/>
          </w:tcPr>
          <w:p>
            <w:r/>
            <w:r>
              <w:t xml:space="preserve">Report statement that NRB is coordinating with the Department of National ID and Civil Registration to implement eKYC; source register </w:t>
            </w:r>
            <w:r>
              <w:rPr>
                <w:rFonts w:ascii="Courier New" w:hAnsi="Courier New"/>
                <w:sz w:val="20"/>
              </w:rPr>
              <w:t>ASR-NEP-NRB-EKYC-2025-01</w:t>
            </w:r>
          </w:p>
        </w:tc>
        <w:tc>
          <w:tcPr>
            <w:tcW w:type="dxa" w:w="1234"/>
          </w:tcPr>
          <w:p>
            <w:r/>
            <w:r>
              <w:rPr>
                <w:rFonts w:ascii="Courier New" w:hAnsi="Courier New"/>
                <w:sz w:val="20"/>
              </w:rPr>
              <w:t>document-verified</w:t>
            </w:r>
          </w:p>
        </w:tc>
        <w:tc>
          <w:tcPr>
            <w:tcW w:type="dxa" w:w="1234"/>
          </w:tcPr>
          <w:p>
            <w:r/>
            <w:r>
              <w:t>This is a verified readiness-status statement, not a legal clause. Keep wording conditional.</w:t>
            </w:r>
          </w:p>
        </w:tc>
      </w:tr>
      <w:tr>
        <w:tc>
          <w:tcPr>
            <w:tcW w:type="dxa" w:w="1234"/>
          </w:tcPr>
          <w:p>
            <w:r/>
            <w:r>
              <w:rPr>
                <w:rFonts w:ascii="Courier New" w:hAnsi="Courier New"/>
                <w:sz w:val="20"/>
              </w:rPr>
              <w:t>LCA-004</w:t>
            </w:r>
          </w:p>
        </w:tc>
        <w:tc>
          <w:tcPr>
            <w:tcW w:type="dxa" w:w="1234"/>
          </w:tcPr>
          <w:p>
            <w:r/>
            <w:r>
              <w:rPr>
                <w:rFonts w:ascii="Courier New" w:hAnsi="Courier New"/>
                <w:sz w:val="20"/>
              </w:rPr>
              <w:t>siddhanta.md §2.3</w:t>
            </w:r>
            <w:r>
              <w:t xml:space="preserve">; </w:t>
            </w:r>
            <w:r>
              <w:rPr>
                <w:rFonts w:ascii="Courier New" w:hAnsi="Courier New"/>
                <w:sz w:val="20"/>
              </w:rPr>
              <w:t>Siddhanta_Platform_Specification.md §9</w:t>
            </w:r>
            <w:r>
              <w:t xml:space="preserve">; </w:t>
            </w:r>
            <w:r>
              <w:rPr>
                <w:rFonts w:ascii="Courier New" w:hAnsi="Courier New"/>
                <w:sz w:val="20"/>
              </w:rPr>
              <w:t>Documentation_Glossary_and_Policy_Appendix.md</w:t>
            </w:r>
          </w:p>
        </w:tc>
        <w:tc>
          <w:tcPr>
            <w:tcW w:type="dxa" w:w="1234"/>
          </w:tcPr>
          <w:p>
            <w:r/>
            <w:r>
              <w:t>Cyber controls, resilience, and incident handling must align to NRB cyber expectations, but docs must not assume a fixed FinCERT deadline</w:t>
            </w:r>
          </w:p>
        </w:tc>
        <w:tc>
          <w:tcPr>
            <w:tcW w:type="dxa" w:w="1234"/>
          </w:tcPr>
          <w:p>
            <w:r/>
            <w:r>
              <w:t>NRB Cyber Resilience Guidelines 2023 (https://www.nrb.org.np/contents/uploads/2023/08/Cyber-Resilience-Guidelines-2023.pdf)</w:t>
            </w:r>
          </w:p>
        </w:tc>
        <w:tc>
          <w:tcPr>
            <w:tcW w:type="dxa" w:w="1234"/>
          </w:tcPr>
          <w:p>
            <w:r/>
            <w:r>
              <w:t xml:space="preserve">Applicability and expectation language in the guideline; no verified clause in this pass creating a fixed </w:t>
            </w:r>
            <w:r>
              <w:rPr>
                <w:rFonts w:ascii="Courier New" w:hAnsi="Courier New"/>
                <w:sz w:val="20"/>
              </w:rPr>
              <w:t>24-hour</w:t>
            </w:r>
            <w:r>
              <w:t xml:space="preserve"> sector-CERT deadline; source register </w:t>
            </w:r>
            <w:r>
              <w:rPr>
                <w:rFonts w:ascii="Courier New" w:hAnsi="Courier New"/>
                <w:sz w:val="20"/>
              </w:rPr>
              <w:t>ASR-NEP-NRB-CYBER-2023-08</w:t>
            </w:r>
          </w:p>
        </w:tc>
        <w:tc>
          <w:tcPr>
            <w:tcW w:type="dxa" w:w="1234"/>
          </w:tcPr>
          <w:p>
            <w:r/>
            <w:r>
              <w:rPr>
                <w:rFonts w:ascii="Courier New" w:hAnsi="Courier New"/>
                <w:sz w:val="20"/>
              </w:rPr>
              <w:t>document-verified</w:t>
            </w:r>
          </w:p>
        </w:tc>
        <w:tc>
          <w:tcPr>
            <w:tcW w:type="dxa" w:w="1234"/>
          </w:tcPr>
          <w:p>
            <w:r/>
            <w:r>
              <w:t>Continue using generalized “regulator-defined breach workflow” language unless a circular with exact timing is pinned.</w:t>
            </w:r>
          </w:p>
        </w:tc>
      </w:tr>
      <w:tr>
        <w:tc>
          <w:tcPr>
            <w:tcW w:type="dxa" w:w="1234"/>
          </w:tcPr>
          <w:p>
            <w:r/>
            <w:r>
              <w:rPr>
                <w:rFonts w:ascii="Courier New" w:hAnsi="Courier New"/>
                <w:sz w:val="20"/>
              </w:rPr>
              <w:t>LCA-005</w:t>
            </w:r>
          </w:p>
        </w:tc>
        <w:tc>
          <w:tcPr>
            <w:tcW w:type="dxa" w:w="1234"/>
          </w:tcPr>
          <w:p>
            <w:r/>
            <w:r>
              <w:rPr>
                <w:rFonts w:ascii="Courier New" w:hAnsi="Courier New"/>
                <w:sz w:val="20"/>
              </w:rPr>
              <w:t>siddhanta.md §5.2</w:t>
            </w:r>
            <w:r>
              <w:t xml:space="preserve">; </w:t>
            </w:r>
            <w:r>
              <w:rPr>
                <w:rFonts w:ascii="Courier New" w:hAnsi="Courier New"/>
                <w:sz w:val="20"/>
              </w:rPr>
              <w:t>revised_comprehensive_analysis.md</w:t>
            </w:r>
            <w:r>
              <w:t>; product-suite expansion logic</w:t>
            </w:r>
          </w:p>
        </w:tc>
        <w:tc>
          <w:tcPr>
            <w:tcW w:type="dxa" w:w="1234"/>
          </w:tcPr>
          <w:p>
            <w:r/>
            <w:r>
              <w:t>Merchant bankers are legally allowed to perform issue management, underwriting, share registration, and portfolio management</w:t>
            </w:r>
          </w:p>
        </w:tc>
        <w:tc>
          <w:tcPr>
            <w:tcW w:type="dxa" w:w="1234"/>
          </w:tcPr>
          <w:p>
            <w:r/>
            <w:r>
              <w:t>Securities Businessperson (Merchant Banker) Regulations, 2008 (Merchant Banker) Regulations, 2008](https://www.sebon.gov.np/uploads/uploads/fxSbSu2xUILb2u3skrb6tF9YmkL8SDIpynMpFxzS.pdf)</w:t>
            </w:r>
          </w:p>
        </w:tc>
        <w:tc>
          <w:tcPr>
            <w:tcW w:type="dxa" w:w="1234"/>
          </w:tcPr>
          <w:p>
            <w:r/>
            <w:r>
              <w:t xml:space="preserve">Regulation </w:t>
            </w:r>
            <w:r>
              <w:rPr>
                <w:rFonts w:ascii="Courier New" w:hAnsi="Courier New"/>
                <w:sz w:val="20"/>
              </w:rPr>
              <w:t>16(1)(a)-(d)</w:t>
            </w:r>
            <w:r>
              <w:t xml:space="preserve">; share-registration language in </w:t>
            </w:r>
            <w:r>
              <w:rPr>
                <w:rFonts w:ascii="Courier New" w:hAnsi="Courier New"/>
                <w:sz w:val="20"/>
              </w:rPr>
              <w:t>16(1)(c)</w:t>
            </w:r>
            <w:r>
              <w:t xml:space="preserve">; definitions in Regulation </w:t>
            </w:r>
            <w:r>
              <w:rPr>
                <w:rFonts w:ascii="Courier New" w:hAnsi="Courier New"/>
                <w:sz w:val="20"/>
              </w:rPr>
              <w:t>2(d)-(i)</w:t>
            </w:r>
            <w:r>
              <w:t xml:space="preserve">; responsibilities in Regulations </w:t>
            </w:r>
            <w:r>
              <w:rPr>
                <w:rFonts w:ascii="Courier New" w:hAnsi="Courier New"/>
                <w:sz w:val="20"/>
              </w:rPr>
              <w:t>19</w:t>
            </w:r>
            <w:r>
              <w:t xml:space="preserve"> and </w:t>
            </w:r>
            <w:r>
              <w:rPr>
                <w:rFonts w:ascii="Courier New" w:hAnsi="Courier New"/>
                <w:sz w:val="20"/>
              </w:rPr>
              <w:t>20</w:t>
            </w:r>
          </w:p>
        </w:tc>
        <w:tc>
          <w:tcPr>
            <w:tcW w:type="dxa" w:w="1234"/>
          </w:tcPr>
          <w:p>
            <w:r/>
            <w:r>
              <w:rPr>
                <w:rFonts w:ascii="Courier New" w:hAnsi="Courier New"/>
                <w:sz w:val="20"/>
              </w:rPr>
              <w:t>clause-verified</w:t>
            </w:r>
          </w:p>
        </w:tc>
        <w:tc>
          <w:tcPr>
            <w:tcW w:type="dxa" w:w="1234"/>
          </w:tcPr>
          <w:p>
            <w:r/>
            <w:r>
              <w:t>This supports explicit RTA / registrar workflows and avoids treating share registration as speculative.</w:t>
            </w:r>
          </w:p>
        </w:tc>
      </w:tr>
      <w:tr>
        <w:tc>
          <w:tcPr>
            <w:tcW w:type="dxa" w:w="1234"/>
          </w:tcPr>
          <w:p>
            <w:r/>
            <w:r>
              <w:rPr>
                <w:rFonts w:ascii="Courier New" w:hAnsi="Courier New"/>
                <w:sz w:val="20"/>
              </w:rPr>
              <w:t>LCA-006</w:t>
            </w:r>
          </w:p>
        </w:tc>
        <w:tc>
          <w:tcPr>
            <w:tcW w:type="dxa" w:w="1234"/>
          </w:tcPr>
          <w:p>
            <w:r/>
            <w:r>
              <w:rPr>
                <w:rFonts w:ascii="Courier New" w:hAnsi="Courier New"/>
                <w:sz w:val="20"/>
              </w:rPr>
              <w:t>siddhanta.md §5.2</w:t>
            </w:r>
            <w:r>
              <w:t xml:space="preserve">; </w:t>
            </w:r>
            <w:r>
              <w:rPr>
                <w:rFonts w:ascii="Courier New" w:hAnsi="Courier New"/>
                <w:sz w:val="20"/>
              </w:rPr>
              <w:t>revised_comprehensive_analysis.md</w:t>
            </w:r>
          </w:p>
        </w:tc>
        <w:tc>
          <w:tcPr>
            <w:tcW w:type="dxa" w:w="1234"/>
          </w:tcPr>
          <w:p>
            <w:r/>
            <w:r>
              <w:t>Share registrar is a recognized merchant-banking function and has defined record-maintenance and transfer duties</w:t>
            </w:r>
          </w:p>
        </w:tc>
        <w:tc>
          <w:tcPr>
            <w:tcW w:type="dxa" w:w="1234"/>
          </w:tcPr>
          <w:p>
            <w:r/>
            <w:r>
              <w:t>Securities Businessperson (Merchant Banker) Regulations, 2008 (Merchant Banker) Regulations, 2008](https://www.sebon.gov.np/uploads/uploads/fxSbSu2xUILb2u3skrb6tF9YmkL8SDIpynMpFxzS.pdf)</w:t>
            </w:r>
          </w:p>
        </w:tc>
        <w:tc>
          <w:tcPr>
            <w:tcW w:type="dxa" w:w="1234"/>
          </w:tcPr>
          <w:p>
            <w:r/>
            <w:r>
              <w:t xml:space="preserve">Regulation </w:t>
            </w:r>
            <w:r>
              <w:rPr>
                <w:rFonts w:ascii="Courier New" w:hAnsi="Courier New"/>
                <w:sz w:val="20"/>
              </w:rPr>
              <w:t>20</w:t>
            </w:r>
            <w:r>
              <w:t xml:space="preserve"> (Responsibility of Share Registrar)</w:t>
            </w:r>
          </w:p>
        </w:tc>
        <w:tc>
          <w:tcPr>
            <w:tcW w:type="dxa" w:w="1234"/>
          </w:tcPr>
          <w:p>
            <w:r/>
            <w:r>
              <w:rPr>
                <w:rFonts w:ascii="Courier New" w:hAnsi="Courier New"/>
                <w:sz w:val="20"/>
              </w:rPr>
              <w:t>clause-verified</w:t>
            </w:r>
          </w:p>
        </w:tc>
        <w:tc>
          <w:tcPr>
            <w:tcW w:type="dxa" w:w="1234"/>
          </w:tcPr>
          <w:p>
            <w:r/>
            <w:r>
              <w:t>Supports the dedicated registrar / RTA suite as a real current-market need.</w:t>
            </w:r>
          </w:p>
        </w:tc>
      </w:tr>
      <w:tr>
        <w:tc>
          <w:tcPr>
            <w:tcW w:type="dxa" w:w="1234"/>
          </w:tcPr>
          <w:p>
            <w:r/>
            <w:r>
              <w:rPr>
                <w:rFonts w:ascii="Courier New" w:hAnsi="Courier New"/>
                <w:sz w:val="20"/>
              </w:rPr>
              <w:t>LCA-007</w:t>
            </w:r>
          </w:p>
        </w:tc>
        <w:tc>
          <w:tcPr>
            <w:tcW w:type="dxa" w:w="1234"/>
          </w:tcPr>
          <w:p>
            <w:r/>
            <w:r>
              <w:rPr>
                <w:rFonts w:ascii="Courier New" w:hAnsi="Courier New"/>
                <w:sz w:val="20"/>
              </w:rPr>
              <w:t>siddhanta.md §5.3</w:t>
            </w:r>
            <w:r>
              <w:t xml:space="preserve">; </w:t>
            </w:r>
            <w:r>
              <w:rPr>
                <w:rFonts w:ascii="Courier New" w:hAnsi="Courier New"/>
                <w:sz w:val="20"/>
              </w:rPr>
              <w:t>revised_comprehensive_analysis.md</w:t>
            </w:r>
          </w:p>
        </w:tc>
        <w:tc>
          <w:tcPr>
            <w:tcW w:type="dxa" w:w="1234"/>
          </w:tcPr>
          <w:p>
            <w:r/>
            <w:r>
              <w:t>Fund managers must be board-approved/appointed within the mutual-fund structure and can be a separately licensed body corporate</w:t>
            </w:r>
          </w:p>
        </w:tc>
        <w:tc>
          <w:tcPr>
            <w:tcW w:type="dxa" w:w="1234"/>
          </w:tcPr>
          <w:p>
            <w:r/>
            <w:r>
              <w:t>Mutual Fund Regulations, 2067 (2010 A.D.) (2010 A.D.)](https://www.sebon.gov.np/uploads/uploads/5k3Gq6Rin0wM9MD3BuhiYk2SqSP5sIDVLiCCxect.pdf)</w:t>
            </w:r>
          </w:p>
        </w:tc>
        <w:tc>
          <w:tcPr>
            <w:tcW w:type="dxa" w:w="1234"/>
          </w:tcPr>
          <w:p>
            <w:r/>
            <w:r>
              <w:t xml:space="preserve">Definition </w:t>
            </w:r>
            <w:r>
              <w:rPr>
                <w:rFonts w:ascii="Courier New" w:hAnsi="Courier New"/>
                <w:sz w:val="20"/>
              </w:rPr>
              <w:t>2(k)</w:t>
            </w:r>
            <w:r>
              <w:t xml:space="preserve">; appointment and licensing structure in Regulation </w:t>
            </w:r>
            <w:r>
              <w:rPr>
                <w:rFonts w:ascii="Courier New" w:hAnsi="Courier New"/>
                <w:sz w:val="20"/>
              </w:rPr>
              <w:t>8(1)-(2)</w:t>
            </w:r>
          </w:p>
        </w:tc>
        <w:tc>
          <w:tcPr>
            <w:tcW w:type="dxa" w:w="1234"/>
          </w:tcPr>
          <w:p>
            <w:r/>
            <w:r>
              <w:rPr>
                <w:rFonts w:ascii="Courier New" w:hAnsi="Courier New"/>
                <w:sz w:val="20"/>
              </w:rPr>
              <w:t>clause-verified</w:t>
            </w:r>
          </w:p>
        </w:tc>
        <w:tc>
          <w:tcPr>
            <w:tcW w:type="dxa" w:w="1234"/>
          </w:tcPr>
          <w:p>
            <w:r/>
            <w:r>
              <w:t>Supports treating fund-manager workflows as a first-class regulated operator pack.</w:t>
            </w:r>
          </w:p>
        </w:tc>
      </w:tr>
      <w:tr>
        <w:tc>
          <w:tcPr>
            <w:tcW w:type="dxa" w:w="1234"/>
          </w:tcPr>
          <w:p>
            <w:r/>
            <w:r>
              <w:rPr>
                <w:rFonts w:ascii="Courier New" w:hAnsi="Courier New"/>
                <w:sz w:val="20"/>
              </w:rPr>
              <w:t>LCA-008</w:t>
            </w:r>
          </w:p>
        </w:tc>
        <w:tc>
          <w:tcPr>
            <w:tcW w:type="dxa" w:w="1234"/>
          </w:tcPr>
          <w:p>
            <w:r/>
            <w:r>
              <w:rPr>
                <w:rFonts w:ascii="Courier New" w:hAnsi="Courier New"/>
                <w:sz w:val="20"/>
              </w:rPr>
              <w:t>siddhanta.md §5.3</w:t>
            </w:r>
            <w:r>
              <w:t xml:space="preserve">; </w:t>
            </w:r>
            <w:r>
              <w:rPr>
                <w:rFonts w:ascii="Courier New" w:hAnsi="Courier New"/>
                <w:sz w:val="20"/>
              </w:rPr>
              <w:t>revised_comprehensive_analysis.md</w:t>
            </w:r>
          </w:p>
        </w:tc>
        <w:tc>
          <w:tcPr>
            <w:tcW w:type="dxa" w:w="1234"/>
          </w:tcPr>
          <w:p>
            <w:r/>
            <w:r>
              <w:t>Fund manager is generally restricted from unrelated business unless the Board approves otherwise</w:t>
            </w:r>
          </w:p>
        </w:tc>
        <w:tc>
          <w:tcPr>
            <w:tcW w:type="dxa" w:w="1234"/>
          </w:tcPr>
          <w:p>
            <w:r/>
            <w:r>
              <w:t>Mutual Fund Regulations, 2067 (2010 A.D.) (2010 A.D.)](https://www.sebon.gov.np/uploads/uploads/5k3Gq6Rin0wM9MD3BuhiYk2SqSP5sIDVLiCCxect.pdf)</w:t>
            </w:r>
          </w:p>
        </w:tc>
        <w:tc>
          <w:tcPr>
            <w:tcW w:type="dxa" w:w="1234"/>
          </w:tcPr>
          <w:p>
            <w:r/>
            <w:r>
              <w:t xml:space="preserve">Regulation </w:t>
            </w:r>
            <w:r>
              <w:rPr>
                <w:rFonts w:ascii="Courier New" w:hAnsi="Courier New"/>
                <w:sz w:val="20"/>
              </w:rPr>
              <w:t>8(5)</w:t>
            </w:r>
          </w:p>
        </w:tc>
        <w:tc>
          <w:tcPr>
            <w:tcW w:type="dxa" w:w="1234"/>
          </w:tcPr>
          <w:p>
            <w:r/>
            <w:r>
              <w:rPr>
                <w:rFonts w:ascii="Courier New" w:hAnsi="Courier New"/>
                <w:sz w:val="20"/>
              </w:rPr>
              <w:t>clause-verified</w:t>
            </w:r>
          </w:p>
        </w:tc>
        <w:tc>
          <w:tcPr>
            <w:tcW w:type="dxa" w:w="1234"/>
          </w:tcPr>
          <w:p>
            <w:r/>
            <w:r>
              <w:t>Supports conflict-separation and role-specific workflow controls.</w:t>
            </w:r>
          </w:p>
        </w:tc>
      </w:tr>
      <w:tr>
        <w:tc>
          <w:tcPr>
            <w:tcW w:type="dxa" w:w="1234"/>
          </w:tcPr>
          <w:p>
            <w:r/>
            <w:r>
              <w:rPr>
                <w:rFonts w:ascii="Courier New" w:hAnsi="Courier New"/>
                <w:sz w:val="20"/>
              </w:rPr>
              <w:t>LCA-009</w:t>
            </w:r>
          </w:p>
        </w:tc>
        <w:tc>
          <w:tcPr>
            <w:tcW w:type="dxa" w:w="1234"/>
          </w:tcPr>
          <w:p>
            <w:r/>
            <w:r>
              <w:rPr>
                <w:rFonts w:ascii="Courier New" w:hAnsi="Courier New"/>
                <w:sz w:val="20"/>
              </w:rPr>
              <w:t>siddhanta.md §5.3</w:t>
            </w:r>
            <w:r>
              <w:t>; product-operating assumptions</w:t>
            </w:r>
          </w:p>
        </w:tc>
        <w:tc>
          <w:tcPr>
            <w:tcW w:type="dxa" w:w="1234"/>
          </w:tcPr>
          <w:p>
            <w:r/>
            <w:r>
              <w:t>Mutual-fund operations require a depository appointment with Board-linked approval paths</w:t>
            </w:r>
          </w:p>
        </w:tc>
        <w:tc>
          <w:tcPr>
            <w:tcW w:type="dxa" w:w="1234"/>
          </w:tcPr>
          <w:p>
            <w:r/>
            <w:r>
              <w:t>Mutual Fund Regulations, 2067 (2010 A.D.) (2010 A.D.)](https://www.sebon.gov.np/uploads/uploads/5k3Gq6Rin0wM9MD3BuhiYk2SqSP5sIDVLiCCxect.pdf)</w:t>
            </w:r>
          </w:p>
        </w:tc>
        <w:tc>
          <w:tcPr>
            <w:tcW w:type="dxa" w:w="1234"/>
          </w:tcPr>
          <w:p>
            <w:r/>
            <w:r>
              <w:t xml:space="preserve">Regulation </w:t>
            </w:r>
            <w:r>
              <w:rPr>
                <w:rFonts w:ascii="Courier New" w:hAnsi="Courier New"/>
                <w:sz w:val="20"/>
              </w:rPr>
              <w:t>9(1)-(3)</w:t>
            </w:r>
          </w:p>
        </w:tc>
        <w:tc>
          <w:tcPr>
            <w:tcW w:type="dxa" w:w="1234"/>
          </w:tcPr>
          <w:p>
            <w:r/>
            <w:r>
              <w:rPr>
                <w:rFonts w:ascii="Courier New" w:hAnsi="Courier New"/>
                <w:sz w:val="20"/>
              </w:rPr>
              <w:t>clause-verified</w:t>
            </w:r>
          </w:p>
        </w:tc>
        <w:tc>
          <w:tcPr>
            <w:tcW w:type="dxa" w:w="1234"/>
          </w:tcPr>
          <w:p>
            <w:r/>
            <w:r>
              <w:t>Supports depository / registry integration assumptions for fund workflows.</w:t>
            </w:r>
          </w:p>
        </w:tc>
      </w:tr>
      <w:tr>
        <w:tc>
          <w:tcPr>
            <w:tcW w:type="dxa" w:w="1234"/>
          </w:tcPr>
          <w:p>
            <w:r/>
            <w:r>
              <w:rPr>
                <w:rFonts w:ascii="Courier New" w:hAnsi="Courier New"/>
                <w:sz w:val="20"/>
              </w:rPr>
              <w:t>LCA-010</w:t>
            </w:r>
          </w:p>
        </w:tc>
        <w:tc>
          <w:tcPr>
            <w:tcW w:type="dxa" w:w="1234"/>
          </w:tcPr>
          <w:p>
            <w:r/>
            <w:r>
              <w:rPr>
                <w:rFonts w:ascii="Courier New" w:hAnsi="Courier New"/>
                <w:sz w:val="20"/>
              </w:rPr>
              <w:t>Siddhanta_Platform_Specification.md §2.2</w:t>
            </w:r>
            <w:r>
              <w:t xml:space="preserve">; </w:t>
            </w:r>
            <w:r>
              <w:rPr>
                <w:rFonts w:ascii="Courier New" w:hAnsi="Courier New"/>
                <w:sz w:val="20"/>
              </w:rPr>
              <w:t>siddhanta.md §4.1</w:t>
            </w:r>
          </w:p>
        </w:tc>
        <w:tc>
          <w:tcPr>
            <w:tcW w:type="dxa" w:w="1234"/>
          </w:tcPr>
          <w:p>
            <w:r/>
            <w:r>
              <w:t>Broker onboarding should capture client risk disclosure acknowledgement and maintain client records</w:t>
            </w:r>
          </w:p>
        </w:tc>
        <w:tc>
          <w:tcPr>
            <w:tcW w:type="dxa" w:w="1234"/>
          </w:tcPr>
          <w:p>
            <w:r/>
            <w:r>
              <w:t>Securities Businesspersons (Stockbroker, Dealer &amp; Market Maker) Regulations, 2074 (with amendments) (Stockbroker, Dealer &amp; Market Maker) Regulations, 2074 (with amendments)](https://www.sebon.gov.np/uploads/shares/4F7r6bPWJVCt9nyk4E5cyzL6uk6tPS3p4sYs14E1.pdf)</w:t>
            </w:r>
          </w:p>
        </w:tc>
        <w:tc>
          <w:tcPr>
            <w:tcW w:type="dxa" w:w="1234"/>
          </w:tcPr>
          <w:p>
            <w:r/>
            <w:r>
              <w:t xml:space="preserve">Rule </w:t>
            </w:r>
            <w:r>
              <w:rPr>
                <w:rFonts w:ascii="Courier New" w:hAnsi="Courier New"/>
                <w:sz w:val="20"/>
              </w:rPr>
              <w:t>29(1)</w:t>
            </w:r>
            <w:r>
              <w:t xml:space="preserve"> requires maintenance of client details/records; Rule </w:t>
            </w:r>
            <w:r>
              <w:rPr>
                <w:rFonts w:ascii="Courier New" w:hAnsi="Courier New"/>
                <w:sz w:val="20"/>
              </w:rPr>
              <w:t>29(2)</w:t>
            </w:r>
            <w:r>
              <w:t xml:space="preserve"> requires informing the client about price volatility and various market risks before account opening</w:t>
            </w:r>
          </w:p>
        </w:tc>
        <w:tc>
          <w:tcPr>
            <w:tcW w:type="dxa" w:w="1234"/>
          </w:tcPr>
          <w:p>
            <w:r/>
            <w:r>
              <w:rPr>
                <w:rFonts w:ascii="Courier New" w:hAnsi="Courier New"/>
                <w:sz w:val="20"/>
              </w:rPr>
              <w:t>clause-verified</w:t>
            </w:r>
          </w:p>
        </w:tc>
        <w:tc>
          <w:tcPr>
            <w:tcW w:type="dxa" w:w="1234"/>
          </w:tcPr>
          <w:p>
            <w:r/>
            <w:r>
              <w:t>This supports risk-disclosure capture. It does not, by itself, prove a specific standardized “risk tolerance questionnaire” form.</w:t>
            </w:r>
          </w:p>
        </w:tc>
      </w:tr>
      <w:tr>
        <w:tc>
          <w:tcPr>
            <w:tcW w:type="dxa" w:w="1234"/>
          </w:tcPr>
          <w:p>
            <w:r/>
            <w:r>
              <w:rPr>
                <w:rFonts w:ascii="Courier New" w:hAnsi="Courier New"/>
                <w:sz w:val="20"/>
              </w:rPr>
              <w:t>LCA-011</w:t>
            </w:r>
          </w:p>
        </w:tc>
        <w:tc>
          <w:tcPr>
            <w:tcW w:type="dxa" w:w="1234"/>
          </w:tcPr>
          <w:p>
            <w:r/>
            <w:r>
              <w:rPr>
                <w:rFonts w:ascii="Courier New" w:hAnsi="Courier New"/>
                <w:sz w:val="20"/>
              </w:rPr>
              <w:t>Siddhanta_Platform_Specification.md §2.2</w:t>
            </w:r>
            <w:r>
              <w:t xml:space="preserve">, </w:t>
            </w:r>
            <w:r>
              <w:rPr>
                <w:rFonts w:ascii="Courier New" w:hAnsi="Courier New"/>
                <w:sz w:val="20"/>
              </w:rPr>
              <w:t>§3.4</w:t>
            </w:r>
            <w:r>
              <w:t xml:space="preserve">; </w:t>
            </w:r>
            <w:r>
              <w:rPr>
                <w:rFonts w:ascii="Courier New" w:hAnsi="Courier New"/>
                <w:sz w:val="20"/>
              </w:rPr>
              <w:t>siddhanta.md §2.3</w:t>
            </w:r>
            <w:r>
              <w:t xml:space="preserve">, </w:t>
            </w:r>
            <w:r>
              <w:rPr>
                <w:rFonts w:ascii="Courier New" w:hAnsi="Courier New"/>
                <w:sz w:val="20"/>
              </w:rPr>
              <w:t>§5.1</w:t>
            </w:r>
          </w:p>
        </w:tc>
        <w:tc>
          <w:tcPr>
            <w:tcW w:type="dxa" w:w="1234"/>
          </w:tcPr>
          <w:p>
            <w:r/>
            <w:r>
              <w:t>Margin-service eligibility, minimum margin percentages, and liquidation rights are defined in the SEBON Margin Trading Guideline 2082</w:t>
            </w:r>
          </w:p>
        </w:tc>
        <w:tc>
          <w:tcPr>
            <w:tcW w:type="dxa" w:w="1234"/>
          </w:tcPr>
          <w:p>
            <w:r/>
            <w:r>
              <w:t>Margin Transaction Related Guideline, 2082 (https://www.sebon.gov.np/uploads/shares/yb8vXWjXg3rmDIiW2nwQ5fpxrQx2dkueLT4M2zTL.pdf)</w:t>
            </w:r>
          </w:p>
        </w:tc>
        <w:tc>
          <w:tcPr>
            <w:tcW w:type="dxa" w:w="1234"/>
          </w:tcPr>
          <w:p>
            <w:r/>
            <w:r>
              <w:t xml:space="preserve">Rule </w:t>
            </w:r>
            <w:r>
              <w:rPr>
                <w:rFonts w:ascii="Courier New" w:hAnsi="Courier New"/>
                <w:sz w:val="20"/>
              </w:rPr>
              <w:t>4(a)</w:t>
            </w:r>
            <w:r>
              <w:t xml:space="preserve"> limits margin-service providers to brokers with at least </w:t>
            </w:r>
            <w:r>
              <w:rPr>
                <w:rFonts w:ascii="Courier New" w:hAnsi="Courier New"/>
                <w:sz w:val="20"/>
              </w:rPr>
              <w:t>Rs 20 crore</w:t>
            </w:r>
            <w:r>
              <w:t xml:space="preserve"> paid-up capital; Rule </w:t>
            </w:r>
            <w:r>
              <w:rPr>
                <w:rFonts w:ascii="Courier New" w:hAnsi="Courier New"/>
                <w:sz w:val="20"/>
              </w:rPr>
              <w:t>6(1)</w:t>
            </w:r>
            <w:r>
              <w:t xml:space="preserve"> sets minimum initial margin at </w:t>
            </w:r>
            <w:r>
              <w:rPr>
                <w:rFonts w:ascii="Courier New" w:hAnsi="Courier New"/>
                <w:sz w:val="20"/>
              </w:rPr>
              <w:t>30%</w:t>
            </w:r>
            <w:r>
              <w:t xml:space="preserve">; Rule </w:t>
            </w:r>
            <w:r>
              <w:rPr>
                <w:rFonts w:ascii="Courier New" w:hAnsi="Courier New"/>
                <w:sz w:val="20"/>
              </w:rPr>
              <w:t>6(5)</w:t>
            </w:r>
            <w:r>
              <w:t xml:space="preserve"> sets minimum maintenance margin at </w:t>
            </w:r>
            <w:r>
              <w:rPr>
                <w:rFonts w:ascii="Courier New" w:hAnsi="Courier New"/>
                <w:sz w:val="20"/>
              </w:rPr>
              <w:t>20%</w:t>
            </w:r>
            <w:r>
              <w:t xml:space="preserve">; Rule </w:t>
            </w:r>
            <w:r>
              <w:rPr>
                <w:rFonts w:ascii="Courier New" w:hAnsi="Courier New"/>
                <w:sz w:val="20"/>
              </w:rPr>
              <w:t>7(1)-(2)</w:t>
            </w:r>
            <w:r>
              <w:t xml:space="preserve"> allows margin calls and sale after default</w:t>
            </w:r>
          </w:p>
        </w:tc>
        <w:tc>
          <w:tcPr>
            <w:tcW w:type="dxa" w:w="1234"/>
          </w:tcPr>
          <w:p>
            <w:r/>
            <w:r>
              <w:rPr>
                <w:rFonts w:ascii="Courier New" w:hAnsi="Courier New"/>
                <w:sz w:val="20"/>
              </w:rPr>
              <w:t>clause-verified</w:t>
            </w:r>
          </w:p>
        </w:tc>
        <w:tc>
          <w:tcPr>
            <w:tcW w:type="dxa" w:w="1234"/>
          </w:tcPr>
          <w:p>
            <w:r/>
            <w:r>
              <w:t>Earlier 50% / 40% / fixed T+3 statements should not be used. The verified baseline is 30% / 20%, with sale rights after unmet margin-call procedures.</w:t>
            </w:r>
          </w:p>
        </w:tc>
      </w:tr>
      <w:tr>
        <w:tc>
          <w:tcPr>
            <w:tcW w:type="dxa" w:w="1234"/>
          </w:tcPr>
          <w:p>
            <w:r/>
            <w:r>
              <w:rPr>
                <w:rFonts w:ascii="Courier New" w:hAnsi="Courier New"/>
                <w:sz w:val="20"/>
              </w:rPr>
              <w:t>LCA-012</w:t>
            </w:r>
          </w:p>
        </w:tc>
        <w:tc>
          <w:tcPr>
            <w:tcW w:type="dxa" w:w="1234"/>
          </w:tcPr>
          <w:p>
            <w:r/>
            <w:r>
              <w:rPr>
                <w:rFonts w:ascii="Courier New" w:hAnsi="Courier New"/>
                <w:sz w:val="20"/>
              </w:rPr>
              <w:t>Siddhanta_Platform_Specification.md §4.1</w:t>
            </w:r>
            <w:r>
              <w:t xml:space="preserve">; </w:t>
            </w:r>
            <w:r>
              <w:rPr>
                <w:rFonts w:ascii="Courier New" w:hAnsi="Courier New"/>
                <w:sz w:val="20"/>
              </w:rPr>
              <w:t>siddhanta.md §5.1</w:t>
            </w:r>
          </w:p>
        </w:tc>
        <w:tc>
          <w:tcPr>
            <w:tcW w:type="dxa" w:w="1234"/>
          </w:tcPr>
          <w:p>
            <w:r/>
            <w:r>
              <w:t>Trading members must route securities-trading funds through a separate NEPSE-designated clearing bank account, cannot repurpose customer advances for other customers or non-securities use, must provide prompt trade-completion information, and must retain complete trading / clearing / settlement records for five years</w:t>
            </w:r>
          </w:p>
        </w:tc>
        <w:tc>
          <w:tcPr>
            <w:tcW w:type="dxa" w:w="1234"/>
          </w:tcPr>
          <w:p>
            <w:r/>
            <w:r>
              <w:t>Securities Trading Regulations, 2075 (Second Amendment) (Second Amendment)](https://www.sebon.gov.np/uploads/acts/WEeLw4Ld7uZPPFOPn4tb7WWQv7qkDxwXzNliGHQu.pdf)</w:t>
            </w:r>
          </w:p>
        </w:tc>
        <w:tc>
          <w:tcPr>
            <w:tcW w:type="dxa" w:w="1234"/>
          </w:tcPr>
          <w:p>
            <w:r/>
            <w:r>
              <w:t xml:space="preserve">Rule </w:t>
            </w:r>
            <w:r>
              <w:rPr>
                <w:rFonts w:ascii="Courier New" w:hAnsi="Courier New"/>
                <w:sz w:val="20"/>
              </w:rPr>
              <w:t>8(1)-(3)</w:t>
            </w:r>
            <w:r>
              <w:t xml:space="preserve"> (customer advance and no cross-use), Rule </w:t>
            </w:r>
            <w:r>
              <w:rPr>
                <w:rFonts w:ascii="Courier New" w:hAnsi="Courier New"/>
                <w:sz w:val="20"/>
              </w:rPr>
              <w:t>18(1)-(4)</w:t>
            </w:r>
            <w:r>
              <w:t xml:space="preserve"> (separate clearing bank account and restricted use), Rule </w:t>
            </w:r>
            <w:r>
              <w:rPr>
                <w:rFonts w:ascii="Courier New" w:hAnsi="Courier New"/>
                <w:sz w:val="20"/>
              </w:rPr>
              <w:t>19(1)-(2)</w:t>
            </w:r>
            <w:r>
              <w:t xml:space="preserve"> (immediate trade-completion information), Rule </w:t>
            </w:r>
            <w:r>
              <w:rPr>
                <w:rFonts w:ascii="Courier New" w:hAnsi="Courier New"/>
                <w:sz w:val="20"/>
              </w:rPr>
              <w:t>20(1)-(2)</w:t>
            </w:r>
            <w:r>
              <w:t xml:space="preserve"> (record retention for 5 years)</w:t>
            </w:r>
          </w:p>
        </w:tc>
        <w:tc>
          <w:tcPr>
            <w:tcW w:type="dxa" w:w="1234"/>
          </w:tcPr>
          <w:p>
            <w:r/>
            <w:r>
              <w:rPr>
                <w:rFonts w:ascii="Courier New" w:hAnsi="Courier New"/>
                <w:sz w:val="20"/>
              </w:rPr>
              <w:t>clause-verified</w:t>
            </w:r>
          </w:p>
        </w:tc>
        <w:tc>
          <w:tcPr>
            <w:tcW w:type="dxa" w:w="1234"/>
          </w:tcPr>
          <w:p>
            <w:r/>
            <w:r>
              <w:t>This supports segregated-client-funds handling and auditable broker operations. It does not, by itself, create an explicit “daily reconciliation” clock.</w:t>
            </w:r>
          </w:p>
        </w:tc>
      </w:tr>
      <w:tr>
        <w:tc>
          <w:tcPr>
            <w:tcW w:type="dxa" w:w="1234"/>
          </w:tcPr>
          <w:p>
            <w:r/>
            <w:r>
              <w:rPr>
                <w:rFonts w:ascii="Courier New" w:hAnsi="Courier New"/>
                <w:sz w:val="20"/>
              </w:rPr>
              <w:t>LCA-013</w:t>
            </w:r>
          </w:p>
        </w:tc>
        <w:tc>
          <w:tcPr>
            <w:tcW w:type="dxa" w:w="1234"/>
          </w:tcPr>
          <w:p>
            <w:r/>
            <w:r>
              <w:rPr>
                <w:rFonts w:ascii="Courier New" w:hAnsi="Courier New"/>
                <w:sz w:val="20"/>
              </w:rPr>
              <w:t>Siddhanta_Platform_Specification.md §11</w:t>
            </w:r>
            <w:r>
              <w:t xml:space="preserve">; </w:t>
            </w:r>
            <w:r>
              <w:rPr>
                <w:rFonts w:ascii="Courier New" w:hAnsi="Courier New"/>
                <w:sz w:val="20"/>
              </w:rPr>
              <w:t>siddhanta.md §4</w:t>
            </w:r>
          </w:p>
        </w:tc>
        <w:tc>
          <w:tcPr>
            <w:tcW w:type="dxa" w:w="1234"/>
          </w:tcPr>
          <w:p>
            <w:r/>
            <w:r>
              <w:t>Minimum 5-year transaction-data retention for regulated workflows</w:t>
            </w:r>
          </w:p>
        </w:tc>
        <w:tc>
          <w:tcPr>
            <w:tcW w:type="dxa" w:w="1234"/>
          </w:tcPr>
          <w:p>
            <w:r/>
            <w:r>
              <w:t>Mixed authority family (SEBON / NRB / internal control expectations)</w:t>
            </w:r>
          </w:p>
        </w:tc>
        <w:tc>
          <w:tcPr>
            <w:tcW w:type="dxa" w:w="1234"/>
          </w:tcPr>
          <w:p>
            <w:r/>
            <w:r>
              <w:t>No single verified clause pinned in this appendix for a universal 5-year rule across all entities</w:t>
            </w:r>
          </w:p>
        </w:tc>
        <w:tc>
          <w:tcPr>
            <w:tcW w:type="dxa" w:w="1234"/>
          </w:tcPr>
          <w:p>
            <w:r/>
            <w:r>
              <w:rPr>
                <w:rFonts w:ascii="Courier New" w:hAnsi="Courier New"/>
                <w:sz w:val="20"/>
              </w:rPr>
              <w:t>project-policy</w:t>
            </w:r>
          </w:p>
        </w:tc>
        <w:tc>
          <w:tcPr>
            <w:tcW w:type="dxa" w:w="1234"/>
          </w:tcPr>
          <w:p>
            <w:r/>
            <w:r>
              <w:t>Keep this as a conservative platform baseline unless and until each jurisdiction/entity-specific retention rule is clause-mapped.</w:t>
            </w:r>
          </w:p>
        </w:tc>
      </w:tr>
      <w:tr>
        <w:tc>
          <w:tcPr>
            <w:tcW w:type="dxa" w:w="1234"/>
          </w:tcPr>
          <w:p>
            <w:r/>
            <w:r>
              <w:rPr>
                <w:rFonts w:ascii="Courier New" w:hAnsi="Courier New"/>
                <w:sz w:val="20"/>
              </w:rPr>
              <w:t>LCA-014</w:t>
            </w:r>
          </w:p>
        </w:tc>
        <w:tc>
          <w:tcPr>
            <w:tcW w:type="dxa" w:w="1234"/>
          </w:tcPr>
          <w:p>
            <w:r/>
            <w:r>
              <w:rPr>
                <w:rFonts w:ascii="Courier New" w:hAnsi="Courier New"/>
                <w:sz w:val="20"/>
              </w:rPr>
              <w:t>Siddhanta_Platform_Specification.md §9</w:t>
            </w:r>
            <w:r>
              <w:t xml:space="preserve">; </w:t>
            </w:r>
            <w:r>
              <w:rPr>
                <w:rFonts w:ascii="Courier New" w:hAnsi="Courier New"/>
                <w:sz w:val="20"/>
              </w:rPr>
              <w:t>Documentation_Glossary_and_Policy_Appendix.md</w:t>
            </w:r>
          </w:p>
        </w:tc>
        <w:tc>
          <w:tcPr>
            <w:tcW w:type="dxa" w:w="1234"/>
          </w:tcPr>
          <w:p>
            <w:r/>
            <w:r>
              <w:t>In-country data residency is the default for regulated data</w:t>
            </w:r>
          </w:p>
        </w:tc>
        <w:tc>
          <w:tcPr>
            <w:tcW w:type="dxa" w:w="1234"/>
          </w:tcPr>
          <w:p>
            <w:r/>
            <w:r>
              <w:t>Project documentation policy, informed by compliance risk management</w:t>
            </w:r>
          </w:p>
        </w:tc>
        <w:tc>
          <w:tcPr>
            <w:tcW w:type="dxa" w:w="1234"/>
          </w:tcPr>
          <w:p>
            <w:r/>
            <w:r>
              <w:t>No clause pinned in this appendix as a universally binding cross-sector Nepal residency mandate</w:t>
            </w:r>
          </w:p>
        </w:tc>
        <w:tc>
          <w:tcPr>
            <w:tcW w:type="dxa" w:w="1234"/>
          </w:tcPr>
          <w:p>
            <w:r/>
            <w:r>
              <w:rPr>
                <w:rFonts w:ascii="Courier New" w:hAnsi="Courier New"/>
                <w:sz w:val="20"/>
              </w:rPr>
              <w:t>project-policy</w:t>
            </w:r>
          </w:p>
        </w:tc>
        <w:tc>
          <w:tcPr>
            <w:tcW w:type="dxa" w:w="1234"/>
          </w:tcPr>
          <w:p>
            <w:r/>
            <w:r>
              <w:t>Keep as a prudent default, but do not market it as a single explicit regulator-wide legal requirement without clause-level support.</w:t>
            </w:r>
          </w:p>
        </w:tc>
      </w:tr>
      <w:tr>
        <w:tc>
          <w:tcPr>
            <w:tcW w:type="dxa" w:w="1234"/>
          </w:tcPr>
          <w:p>
            <w:r/>
            <w:r>
              <w:rPr>
                <w:rFonts w:ascii="Courier New" w:hAnsi="Courier New"/>
                <w:sz w:val="20"/>
              </w:rPr>
              <w:t>LCA-015</w:t>
            </w:r>
          </w:p>
        </w:tc>
        <w:tc>
          <w:tcPr>
            <w:tcW w:type="dxa" w:w="1234"/>
          </w:tcPr>
          <w:p>
            <w:r/>
            <w:r>
              <w:rPr>
                <w:rFonts w:ascii="Courier New" w:hAnsi="Courier New"/>
                <w:sz w:val="20"/>
              </w:rPr>
              <w:t>Siddhanta_Platform_Specification.md §9</w:t>
            </w:r>
            <w:r>
              <w:t xml:space="preserve">, </w:t>
            </w:r>
            <w:r>
              <w:rPr>
                <w:rFonts w:ascii="Courier New" w:hAnsi="Courier New"/>
                <w:sz w:val="20"/>
              </w:rPr>
              <w:t>§10</w:t>
            </w:r>
            <w:r>
              <w:t xml:space="preserve">; </w:t>
            </w:r>
            <w:r>
              <w:rPr>
                <w:rFonts w:ascii="Courier New" w:hAnsi="Courier New"/>
                <w:sz w:val="20"/>
              </w:rPr>
              <w:t>siddhanta.md §4</w:t>
            </w:r>
          </w:p>
        </w:tc>
        <w:tc>
          <w:tcPr>
            <w:tcW w:type="dxa" w:w="1234"/>
          </w:tcPr>
          <w:p>
            <w:r/>
            <w:r>
              <w:t>High-impact regulated actions should not be described as fully autonomous</w:t>
            </w:r>
          </w:p>
        </w:tc>
        <w:tc>
          <w:tcPr>
            <w:tcW w:type="dxa" w:w="1234"/>
          </w:tcPr>
          <w:p>
            <w:r/>
            <w:r>
              <w:t>NRB AI Guidelines PDF (https://www.nrb.org.np/contents/uploads/2025/12/AI-Guidelines.pdf)</w:t>
            </w:r>
            <w:r>
              <w:t xml:space="preserve"> and internal documentation policy</w:t>
            </w:r>
          </w:p>
        </w:tc>
        <w:tc>
          <w:tcPr>
            <w:tcW w:type="dxa" w:w="1234"/>
          </w:tcPr>
          <w:p>
            <w:r/>
            <w:r>
              <w:t xml:space="preserve">High-risk criteria include </w:t>
            </w:r>
            <w:r>
              <w:rPr>
                <w:rFonts w:ascii="Courier New" w:hAnsi="Courier New"/>
                <w:sz w:val="20"/>
              </w:rPr>
              <w:t>minimal human oversight</w:t>
            </w:r>
            <w:r>
              <w:t xml:space="preserve"> in </w:t>
            </w:r>
            <w:r>
              <w:rPr>
                <w:rFonts w:ascii="Courier New" w:hAnsi="Courier New"/>
                <w:sz w:val="20"/>
              </w:rPr>
              <w:t>6.1.1(c)</w:t>
            </w:r>
            <w:r>
              <w:t xml:space="preserve">; glossary policy rule 1 prohibits </w:t>
            </w:r>
            <w:r>
              <w:rPr>
                <w:rFonts w:ascii="Courier New" w:hAnsi="Courier New"/>
                <w:sz w:val="20"/>
              </w:rPr>
              <w:t>full autonomy</w:t>
            </w:r>
            <w:r>
              <w:t xml:space="preserve"> phrasing</w:t>
            </w:r>
          </w:p>
        </w:tc>
        <w:tc>
          <w:tcPr>
            <w:tcW w:type="dxa" w:w="1234"/>
          </w:tcPr>
          <w:p>
            <w:r/>
            <w:r>
              <w:rPr>
                <w:rFonts w:ascii="Courier New" w:hAnsi="Courier New"/>
                <w:sz w:val="20"/>
              </w:rPr>
              <w:t>clause-verified</w:t>
            </w:r>
          </w:p>
        </w:tc>
        <w:tc>
          <w:tcPr>
            <w:tcW w:type="dxa" w:w="1234"/>
          </w:tcPr>
          <w:p>
            <w:r/>
            <w:r>
              <w:t>The legal source supports risk sensitivity; the glossary converts that into a stricter product-language policy.</w:t>
            </w:r>
          </w:p>
        </w:tc>
      </w:tr>
      <w:tr>
        <w:tc>
          <w:tcPr>
            <w:tcW w:type="dxa" w:w="1234"/>
          </w:tcPr>
          <w:p>
            <w:r/>
            <w:r>
              <w:rPr>
                <w:rFonts w:ascii="Courier New" w:hAnsi="Courier New"/>
                <w:sz w:val="20"/>
              </w:rPr>
              <w:t>LCA-016</w:t>
            </w:r>
          </w:p>
        </w:tc>
        <w:tc>
          <w:tcPr>
            <w:tcW w:type="dxa" w:w="1234"/>
          </w:tcPr>
          <w:p>
            <w:r/>
            <w:r>
              <w:rPr>
                <w:rFonts w:ascii="Courier New" w:hAnsi="Courier New"/>
                <w:sz w:val="20"/>
              </w:rPr>
              <w:t>Siddhanta_Platform_Specification.md §8.5</w:t>
            </w:r>
            <w:r>
              <w:t xml:space="preserve">; </w:t>
            </w:r>
            <w:r>
              <w:rPr>
                <w:rFonts w:ascii="Courier New" w:hAnsi="Courier New"/>
                <w:sz w:val="20"/>
              </w:rPr>
              <w:t>siddhanta.md §4.3</w:t>
            </w:r>
          </w:p>
        </w:tc>
        <w:tc>
          <w:tcPr>
            <w:tcW w:type="dxa" w:w="1234"/>
          </w:tcPr>
          <w:p>
            <w:r/>
            <w:r>
              <w:t>Per-tenant segregation and confidentiality controls are required for regulated client data</w:t>
            </w:r>
          </w:p>
        </w:tc>
        <w:tc>
          <w:tcPr>
            <w:tcW w:type="dxa" w:w="1234"/>
          </w:tcPr>
          <w:p>
            <w:r/>
            <w:r>
              <w:t>SEBON / NRB control expectations; internal architecture policy</w:t>
            </w:r>
          </w:p>
        </w:tc>
        <w:tc>
          <w:tcPr>
            <w:tcW w:type="dxa" w:w="1234"/>
          </w:tcPr>
          <w:p>
            <w:r/>
            <w:r>
              <w:t>Authority families identified, but no clause pin extracted here for schema-per-tenant specifically</w:t>
            </w:r>
          </w:p>
        </w:tc>
        <w:tc>
          <w:tcPr>
            <w:tcW w:type="dxa" w:w="1234"/>
          </w:tcPr>
          <w:p>
            <w:r/>
            <w:r>
              <w:rPr>
                <w:rFonts w:ascii="Courier New" w:hAnsi="Courier New"/>
                <w:sz w:val="20"/>
              </w:rPr>
              <w:t>project-policy</w:t>
            </w:r>
          </w:p>
        </w:tc>
        <w:tc>
          <w:tcPr>
            <w:tcW w:type="dxa" w:w="1234"/>
          </w:tcPr>
          <w:p>
            <w:r/>
            <w:r>
              <w:t>The exact implementation pattern (</w:t>
            </w:r>
            <w:r>
              <w:rPr>
                <w:rFonts w:ascii="Courier New" w:hAnsi="Courier New"/>
                <w:sz w:val="20"/>
              </w:rPr>
              <w:t>schema-per-tenant</w:t>
            </w:r>
            <w:r>
              <w:t>) is an architectural choice that satisfies the control objective, not a legal clause itself.</w:t>
            </w:r>
          </w:p>
        </w:tc>
      </w:tr>
      <w:tr>
        <w:tc>
          <w:tcPr>
            <w:tcW w:type="dxa" w:w="1234"/>
          </w:tcPr>
          <w:p>
            <w:r/>
            <w:r>
              <w:rPr>
                <w:rFonts w:ascii="Courier New" w:hAnsi="Courier New"/>
                <w:sz w:val="20"/>
              </w:rPr>
              <w:t>LCA-017</w:t>
            </w:r>
          </w:p>
        </w:tc>
        <w:tc>
          <w:tcPr>
            <w:tcW w:type="dxa" w:w="1234"/>
          </w:tcPr>
          <w:p>
            <w:r/>
            <w:r>
              <w:rPr>
                <w:rFonts w:ascii="Courier New" w:hAnsi="Courier New"/>
                <w:sz w:val="20"/>
              </w:rPr>
              <w:t>Siddhanta_Platform_Specification.md §13</w:t>
            </w:r>
            <w:r>
              <w:t xml:space="preserve">; </w:t>
            </w:r>
            <w:r>
              <w:rPr>
                <w:rFonts w:ascii="Courier New" w:hAnsi="Courier New"/>
                <w:sz w:val="20"/>
              </w:rPr>
              <w:t>siddhanta.md §1.2</w:t>
            </w:r>
          </w:p>
        </w:tc>
        <w:tc>
          <w:tcPr>
            <w:tcW w:type="dxa" w:w="1234"/>
          </w:tcPr>
          <w:p>
            <w:r/>
            <w:r>
              <w:t>Bikram Sambat fiscal-year handling is structurally required in Nepal-facing workflows</w:t>
            </w:r>
          </w:p>
        </w:tc>
        <w:tc>
          <w:tcPr>
            <w:tcW w:type="dxa" w:w="1234"/>
          </w:tcPr>
          <w:p>
            <w:r/>
            <w:r>
              <w:t>Nepal statutory calendar baseline</w:t>
            </w:r>
          </w:p>
        </w:tc>
        <w:tc>
          <w:tcPr>
            <w:tcW w:type="dxa" w:w="1234"/>
          </w:tcPr>
          <w:p>
            <w:r/>
            <w:r>
              <w:t xml:space="preserve">Structural legal-calendar convention; source register </w:t>
            </w:r>
            <w:r>
              <w:rPr>
                <w:rFonts w:ascii="Courier New" w:hAnsi="Courier New"/>
                <w:sz w:val="20"/>
              </w:rPr>
              <w:t>ASR-NEP-FY-STATUTORY</w:t>
            </w:r>
          </w:p>
        </w:tc>
        <w:tc>
          <w:tcPr>
            <w:tcW w:type="dxa" w:w="1234"/>
          </w:tcPr>
          <w:p>
            <w:r/>
            <w:r>
              <w:rPr>
                <w:rFonts w:ascii="Courier New" w:hAnsi="Courier New"/>
                <w:sz w:val="20"/>
              </w:rPr>
              <w:t>document-verified</w:t>
            </w:r>
          </w:p>
        </w:tc>
        <w:tc>
          <w:tcPr>
            <w:tcW w:type="dxa" w:w="1234"/>
          </w:tcPr>
          <w:p>
            <w:r/>
            <w:r>
              <w:t>This is a localization baseline, not a volatile market metric.</w:t>
            </w:r>
          </w:p>
        </w:tc>
      </w:tr>
      <w:tr>
        <w:tc>
          <w:tcPr>
            <w:tcW w:type="dxa" w:w="1234"/>
          </w:tcPr>
          <w:p>
            <w:r/>
            <w:r>
              <w:rPr>
                <w:rFonts w:ascii="Courier New" w:hAnsi="Courier New"/>
                <w:sz w:val="20"/>
              </w:rPr>
              <w:t>LCA-018</w:t>
            </w:r>
          </w:p>
        </w:tc>
        <w:tc>
          <w:tcPr>
            <w:tcW w:type="dxa" w:w="1234"/>
          </w:tcPr>
          <w:p>
            <w:r/>
            <w:r>
              <w:rPr>
                <w:rFonts w:ascii="Courier New" w:hAnsi="Courier New"/>
                <w:sz w:val="20"/>
              </w:rPr>
              <w:t>Siddhanta_Platform_Specification.md §13</w:t>
            </w:r>
            <w:r>
              <w:t xml:space="preserve">; </w:t>
            </w:r>
            <w:r>
              <w:rPr>
                <w:rFonts w:ascii="Courier New" w:hAnsi="Courier New"/>
                <w:sz w:val="20"/>
              </w:rPr>
              <w:t>siddhanta.md §4</w:t>
            </w:r>
          </w:p>
        </w:tc>
        <w:tc>
          <w:tcPr>
            <w:tcW w:type="dxa" w:w="1234"/>
          </w:tcPr>
          <w:p>
            <w:r/>
            <w:r>
              <w:t>Nepali-language-first regulatory outputs and investor-facing communications</w:t>
            </w:r>
          </w:p>
        </w:tc>
        <w:tc>
          <w:tcPr>
            <w:tcW w:type="dxa" w:w="1234"/>
          </w:tcPr>
          <w:p>
            <w:r/>
            <w:r>
              <w:t>Product localization policy</w:t>
            </w:r>
          </w:p>
        </w:tc>
        <w:tc>
          <w:tcPr>
            <w:tcW w:type="dxa" w:w="1234"/>
          </w:tcPr>
          <w:p>
            <w:r/>
            <w:r>
              <w:t>No clause pinned in this appendix requiring all outputs to be Nepali-first across every workflow</w:t>
            </w:r>
          </w:p>
        </w:tc>
        <w:tc>
          <w:tcPr>
            <w:tcW w:type="dxa" w:w="1234"/>
          </w:tcPr>
          <w:p>
            <w:r/>
            <w:r>
              <w:rPr>
                <w:rFonts w:ascii="Courier New" w:hAnsi="Courier New"/>
                <w:sz w:val="20"/>
              </w:rPr>
              <w:t>project-policy</w:t>
            </w:r>
          </w:p>
        </w:tc>
        <w:tc>
          <w:tcPr>
            <w:tcW w:type="dxa" w:w="1234"/>
          </w:tcPr>
          <w:p>
            <w:r/>
            <w:r>
              <w:t>Keep as a usability/compliance posture, but avoid presenting it as a universal hard legal mandate unless clause-mapped.</w:t>
            </w:r>
          </w:p>
        </w:tc>
      </w:tr>
      <w:tr>
        <w:tc>
          <w:tcPr>
            <w:tcW w:type="dxa" w:w="1234"/>
          </w:tcPr>
          <w:p>
            <w:r/>
            <w:r>
              <w:rPr>
                <w:rFonts w:ascii="Courier New" w:hAnsi="Courier New"/>
                <w:sz w:val="20"/>
              </w:rPr>
              <w:t>LCA-019</w:t>
            </w:r>
          </w:p>
        </w:tc>
        <w:tc>
          <w:tcPr>
            <w:tcW w:type="dxa" w:w="1234"/>
          </w:tcPr>
          <w:p>
            <w:r/>
            <w:r>
              <w:rPr>
                <w:rFonts w:ascii="Courier New" w:hAnsi="Courier New"/>
                <w:sz w:val="20"/>
              </w:rPr>
              <w:t>siddhanta.md §2.3</w:t>
            </w:r>
            <w:r>
              <w:t xml:space="preserve">; </w:t>
            </w:r>
            <w:r>
              <w:rPr>
                <w:rFonts w:ascii="Courier New" w:hAnsi="Courier New"/>
                <w:sz w:val="20"/>
              </w:rPr>
              <w:t>Siddhanta_Platform_Specification.md §3.4</w:t>
            </w:r>
          </w:p>
        </w:tc>
        <w:tc>
          <w:tcPr>
            <w:tcW w:type="dxa" w:w="1234"/>
          </w:tcPr>
          <w:p>
            <w:r/>
            <w:r>
              <w:t>General broker / dealer / market-maker license categories have separate minimum paid-up-capital thresholds</w:t>
            </w:r>
          </w:p>
        </w:tc>
        <w:tc>
          <w:tcPr>
            <w:tcW w:type="dxa" w:w="1234"/>
          </w:tcPr>
          <w:p>
            <w:r/>
            <w:r>
              <w:t>Securities Businesspersons (Stockbroker, Dealer &amp; Market Maker) Regulations, 2074 (with amendments) (Stockbroker, Dealer &amp; Market Maker) Regulations, 2074 (with amendments)](https://www.sebon.gov.np/uploads/shares/4F7r6bPWJVCt9nyk4E5cyzL6uk6tPS3p4sYs14E1.pdf)</w:t>
            </w:r>
          </w:p>
        </w:tc>
        <w:tc>
          <w:tcPr>
            <w:tcW w:type="dxa" w:w="1234"/>
          </w:tcPr>
          <w:p>
            <w:r/>
            <w:r>
              <w:t xml:space="preserve">Schedule </w:t>
            </w:r>
            <w:r>
              <w:rPr>
                <w:rFonts w:ascii="Courier New" w:hAnsi="Courier New"/>
                <w:sz w:val="20"/>
              </w:rPr>
              <w:t>9</w:t>
            </w:r>
            <w:r>
              <w:t xml:space="preserve">: limited-function broker </w:t>
            </w:r>
            <w:r>
              <w:rPr>
                <w:rFonts w:ascii="Courier New" w:hAnsi="Courier New"/>
                <w:sz w:val="20"/>
              </w:rPr>
              <w:t>Rs 20 crore</w:t>
            </w:r>
            <w:r>
              <w:t xml:space="preserve">, full-function broker </w:t>
            </w:r>
            <w:r>
              <w:rPr>
                <w:rFonts w:ascii="Courier New" w:hAnsi="Courier New"/>
                <w:sz w:val="20"/>
              </w:rPr>
              <w:t>Rs 60 crore</w:t>
            </w:r>
            <w:r>
              <w:t xml:space="preserve">, securities dealer </w:t>
            </w:r>
            <w:r>
              <w:rPr>
                <w:rFonts w:ascii="Courier New" w:hAnsi="Courier New"/>
                <w:sz w:val="20"/>
              </w:rPr>
              <w:t>Rs 150 crore</w:t>
            </w:r>
            <w:r>
              <w:t xml:space="preserve">, market maker </w:t>
            </w:r>
            <w:r>
              <w:rPr>
                <w:rFonts w:ascii="Courier New" w:hAnsi="Courier New"/>
                <w:sz w:val="20"/>
              </w:rPr>
              <w:t>Rs 150 crore</w:t>
            </w:r>
          </w:p>
        </w:tc>
        <w:tc>
          <w:tcPr>
            <w:tcW w:type="dxa" w:w="1234"/>
          </w:tcPr>
          <w:p>
            <w:r/>
            <w:r>
              <w:rPr>
                <w:rFonts w:ascii="Courier New" w:hAnsi="Courier New"/>
                <w:sz w:val="20"/>
              </w:rPr>
              <w:t>clause-verified</w:t>
            </w:r>
          </w:p>
        </w:tc>
        <w:tc>
          <w:tcPr>
            <w:tcW w:type="dxa" w:w="1234"/>
          </w:tcPr>
          <w:p>
            <w:r/>
            <w:r>
              <w:t xml:space="preserve">This is distinct from the separate margin-service eligibility threshold in </w:t>
            </w:r>
            <w:r>
              <w:rPr>
                <w:rFonts w:ascii="Courier New" w:hAnsi="Courier New"/>
                <w:sz w:val="20"/>
              </w:rPr>
              <w:t>LCA-011</w:t>
            </w:r>
            <w:r>
              <w:t>.</w:t>
            </w:r>
          </w:p>
        </w:tc>
      </w:tr>
      <w:tr>
        <w:tc>
          <w:tcPr>
            <w:tcW w:type="dxa" w:w="1234"/>
          </w:tcPr>
          <w:p>
            <w:r/>
            <w:r>
              <w:rPr>
                <w:rFonts w:ascii="Courier New" w:hAnsi="Courier New"/>
                <w:sz w:val="20"/>
              </w:rPr>
              <w:t>LCA-020</w:t>
            </w:r>
          </w:p>
        </w:tc>
        <w:tc>
          <w:tcPr>
            <w:tcW w:type="dxa" w:w="1234"/>
          </w:tcPr>
          <w:p>
            <w:r/>
            <w:r>
              <w:rPr>
                <w:rFonts w:ascii="Courier New" w:hAnsi="Courier New"/>
                <w:sz w:val="20"/>
              </w:rPr>
              <w:t>siddhanta.md §5.1</w:t>
            </w:r>
            <w:r>
              <w:t>; product-suite scope assumptions</w:t>
            </w:r>
          </w:p>
        </w:tc>
        <w:tc>
          <w:tcPr>
            <w:tcW w:type="dxa" w:w="1234"/>
          </w:tcPr>
          <w:p>
            <w:r/>
            <w:r>
              <w:t>Full-service brokers may perform additional regulated functions with Board approval, beyond core brokerage and depository-member activity</w:t>
            </w:r>
          </w:p>
        </w:tc>
        <w:tc>
          <w:tcPr>
            <w:tcW w:type="dxa" w:w="1234"/>
          </w:tcPr>
          <w:p>
            <w:r/>
            <w:r>
              <w:t>Securities Businesspersons (Stockbroker, Dealer &amp; Market Maker) Regulations, 2074 (with amendments) (Stockbroker, Dealer &amp; Market Maker) Regulations, 2074 (with amendments)](https://www.sebon.gov.np/uploads/shares/4F7r6bPWJVCt9nyk4E5cyzL6uk6tPS3p4sYs14E1.pdf)</w:t>
            </w:r>
          </w:p>
        </w:tc>
        <w:tc>
          <w:tcPr>
            <w:tcW w:type="dxa" w:w="1234"/>
          </w:tcPr>
          <w:p>
            <w:r/>
            <w:r>
              <w:t xml:space="preserve">Rule </w:t>
            </w:r>
            <w:r>
              <w:rPr>
                <w:rFonts w:ascii="Courier New" w:hAnsi="Courier New"/>
                <w:sz w:val="20"/>
              </w:rPr>
              <w:t>27(1)(g)</w:t>
            </w:r>
            <w:r>
              <w:t xml:space="preserve"> includes brokerage, depository-member, margin-trading, and clearing-member functions; Rule </w:t>
            </w:r>
            <w:r>
              <w:rPr>
                <w:rFonts w:ascii="Courier New" w:hAnsi="Courier New"/>
                <w:sz w:val="20"/>
              </w:rPr>
              <w:t>27(2)(a)-(c)</w:t>
            </w:r>
            <w:r>
              <w:t xml:space="preserve"> allows investment management, investment advisory, and qualified institutional investor activity for full-service brokers with Board approval</w:t>
            </w:r>
          </w:p>
        </w:tc>
        <w:tc>
          <w:tcPr>
            <w:tcW w:type="dxa" w:w="1234"/>
          </w:tcPr>
          <w:p>
            <w:r/>
            <w:r>
              <w:rPr>
                <w:rFonts w:ascii="Courier New" w:hAnsi="Courier New"/>
                <w:sz w:val="20"/>
              </w:rPr>
              <w:t>clause-verified</w:t>
            </w:r>
          </w:p>
        </w:tc>
        <w:tc>
          <w:tcPr>
            <w:tcW w:type="dxa" w:w="1234"/>
          </w:tcPr>
          <w:p>
            <w:r/>
            <w:r>
              <w:t>Supports broader operator-pack scope without treating those functions as automatically available to every broker class.</w:t>
            </w:r>
          </w:p>
        </w:tc>
      </w:tr>
      <w:tr>
        <w:tc>
          <w:tcPr>
            <w:tcW w:type="dxa" w:w="1234"/>
          </w:tcPr>
          <w:p>
            <w:r/>
            <w:r>
              <w:rPr>
                <w:rFonts w:ascii="Courier New" w:hAnsi="Courier New"/>
                <w:sz w:val="20"/>
              </w:rPr>
              <w:t>LCA-021</w:t>
            </w:r>
          </w:p>
        </w:tc>
        <w:tc>
          <w:tcPr>
            <w:tcW w:type="dxa" w:w="1234"/>
          </w:tcPr>
          <w:p>
            <w:r/>
            <w:r>
              <w:rPr>
                <w:rFonts w:ascii="Courier New" w:hAnsi="Courier New"/>
                <w:sz w:val="20"/>
              </w:rPr>
              <w:t>siddhanta.md §4.4</w:t>
            </w:r>
            <w:r>
              <w:t>; notification / post-trade workflow assumptions</w:t>
            </w:r>
          </w:p>
        </w:tc>
        <w:tc>
          <w:tcPr>
            <w:tcW w:type="dxa" w:w="1234"/>
          </w:tcPr>
          <w:p>
            <w:r/>
            <w:r>
              <w:t>A licensed securities broker must provide the contract note to the client on the day following the transaction</w:t>
            </w:r>
          </w:p>
        </w:tc>
        <w:tc>
          <w:tcPr>
            <w:tcW w:type="dxa" w:w="1234"/>
          </w:tcPr>
          <w:p>
            <w:r/>
            <w:r>
              <w:t>SEBON Acts Page (English Securities Act download) (English Securities Act download)](https://www.sebon.gov.np/acts)</w:t>
            </w:r>
          </w:p>
        </w:tc>
        <w:tc>
          <w:tcPr>
            <w:tcW w:type="dxa" w:w="1234"/>
          </w:tcPr>
          <w:p>
            <w:r/>
            <w:r>
              <w:t xml:space="preserve">Securities Act, Section </w:t>
            </w:r>
            <w:r>
              <w:rPr>
                <w:rFonts w:ascii="Courier New" w:hAnsi="Courier New"/>
                <w:sz w:val="20"/>
              </w:rPr>
              <w:t>77(2)</w:t>
            </w:r>
            <w:r>
              <w:t xml:space="preserve">; Section </w:t>
            </w:r>
            <w:r>
              <w:rPr>
                <w:rFonts w:ascii="Courier New" w:hAnsi="Courier New"/>
                <w:sz w:val="20"/>
              </w:rPr>
              <w:t>77(3)</w:t>
            </w:r>
            <w:r>
              <w:t xml:space="preserve"> governs furnishing order-book / transaction-book / contract-note copies on request</w:t>
            </w:r>
          </w:p>
        </w:tc>
        <w:tc>
          <w:tcPr>
            <w:tcW w:type="dxa" w:w="1234"/>
          </w:tcPr>
          <w:p>
            <w:r/>
            <w:r>
              <w:rPr>
                <w:rFonts w:ascii="Courier New" w:hAnsi="Courier New"/>
                <w:sz w:val="20"/>
              </w:rPr>
              <w:t>clause-verified</w:t>
            </w:r>
          </w:p>
        </w:tc>
        <w:tc>
          <w:tcPr>
            <w:tcW w:type="dxa" w:w="1234"/>
          </w:tcPr>
          <w:p>
            <w:r/>
            <w:r>
              <w:t>This is the clearest hard timing anchor currently pinned for contract-note delivery.</w:t>
            </w:r>
          </w:p>
        </w:tc>
      </w:tr>
      <w:tr>
        <w:tc>
          <w:tcPr>
            <w:tcW w:type="dxa" w:w="1234"/>
          </w:tcPr>
          <w:p>
            <w:r/>
            <w:r>
              <w:rPr>
                <w:rFonts w:ascii="Courier New" w:hAnsi="Courier New"/>
                <w:sz w:val="20"/>
              </w:rPr>
              <w:t>LCA-022</w:t>
            </w:r>
          </w:p>
        </w:tc>
        <w:tc>
          <w:tcPr>
            <w:tcW w:type="dxa" w:w="1234"/>
          </w:tcPr>
          <w:p>
            <w:r/>
            <w:r>
              <w:rPr>
                <w:rFonts w:ascii="Courier New" w:hAnsi="Courier New"/>
                <w:sz w:val="20"/>
              </w:rPr>
              <w:t>Siddhanta_Platform_Specification.md §4.1</w:t>
            </w:r>
            <w:r>
              <w:t xml:space="preserve">; </w:t>
            </w:r>
            <w:r>
              <w:rPr>
                <w:rFonts w:ascii="Courier New" w:hAnsi="Courier New"/>
                <w:sz w:val="20"/>
              </w:rPr>
              <w:t>siddhanta.md §5.1</w:t>
            </w:r>
          </w:p>
        </w:tc>
        <w:tc>
          <w:tcPr>
            <w:tcW w:type="dxa" w:w="1234"/>
          </w:tcPr>
          <w:p>
            <w:r/>
            <w:r>
              <w:t>Daily reconciliation cadence for client-money controls should be treated as a platform operating control, but an explicit broker-specific “daily reconciliation” legal clause is not yet pinned here</w:t>
            </w:r>
          </w:p>
        </w:tc>
        <w:tc>
          <w:tcPr>
            <w:tcW w:type="dxa" w:w="1234"/>
          </w:tcPr>
          <w:p>
            <w:r/>
            <w:r>
              <w:t>Trading / clearing rule family</w:t>
            </w:r>
          </w:p>
        </w:tc>
        <w:tc>
          <w:tcPr>
            <w:tcW w:type="dxa" w:w="1234"/>
          </w:tcPr>
          <w:p>
            <w:r/>
            <w:r>
              <w:t>Current clause search found segregation, prompt trade information, timely settlement pressure, and 5-year records, but not a clean explicit daily-reconciliation line</w:t>
            </w:r>
          </w:p>
        </w:tc>
        <w:tc>
          <w:tcPr>
            <w:tcW w:type="dxa" w:w="1234"/>
          </w:tcPr>
          <w:p>
            <w:r/>
            <w:r>
              <w:rPr>
                <w:rFonts w:ascii="Courier New" w:hAnsi="Courier New"/>
                <w:sz w:val="20"/>
              </w:rPr>
              <w:t>pending-clause-extraction</w:t>
            </w:r>
          </w:p>
        </w:tc>
        <w:tc>
          <w:tcPr>
            <w:tcW w:type="dxa" w:w="1234"/>
          </w:tcPr>
          <w:p>
            <w:r/>
            <w:r>
              <w:t>Keep daily reconciliation in the product, but do not market it as a clause-verified daily legal command until the exact provision is extracted.</w:t>
            </w:r>
          </w:p>
        </w:tc>
      </w:tr>
      <w:tr>
        <w:tc>
          <w:tcPr>
            <w:tcW w:type="dxa" w:w="1234"/>
          </w:tcPr>
          <w:p>
            <w:r/>
            <w:r>
              <w:rPr>
                <w:rFonts w:ascii="Courier New" w:hAnsi="Courier New"/>
                <w:sz w:val="20"/>
              </w:rPr>
              <w:t>LCA-023</w:t>
            </w:r>
          </w:p>
        </w:tc>
        <w:tc>
          <w:tcPr>
            <w:tcW w:type="dxa" w:w="1234"/>
          </w:tcPr>
          <w:p>
            <w:r/>
            <w:r>
              <w:rPr>
                <w:rFonts w:ascii="Courier New" w:hAnsi="Courier New"/>
                <w:sz w:val="20"/>
              </w:rPr>
              <w:t>Siddhanta_Platform_Specification.md §2.2</w:t>
            </w:r>
            <w:r>
              <w:t xml:space="preserve">; </w:t>
            </w:r>
            <w:r>
              <w:rPr>
                <w:rFonts w:ascii="Courier New" w:hAnsi="Courier New"/>
                <w:sz w:val="20"/>
              </w:rPr>
              <w:t>siddhanta.md §3.6</w:t>
            </w:r>
          </w:p>
        </w:tc>
        <w:tc>
          <w:tcPr>
            <w:tcW w:type="dxa" w:w="1234"/>
          </w:tcPr>
          <w:p>
            <w:r/>
            <w:r>
              <w:t>Current broker service-charge slabs, the Board levy on brokerage service charge, and the securities-market transaction fee for share trades are explicitly scheduled</w:t>
            </w:r>
          </w:p>
        </w:tc>
        <w:tc>
          <w:tcPr>
            <w:tcW w:type="dxa" w:w="1234"/>
          </w:tcPr>
          <w:p>
            <w:r/>
            <w:r>
              <w:t>Securities Businesspersons (Stockbroker, Dealer &amp; Market Maker) Regulations, 2074 (with amendments) (Stockbroker, Dealer &amp; Market Maker) Regulations, 2074 (with amendments)](https://www.sebon.gov.np/uploads/2022/09/13/UxvD7NtfU7rxZnXxU4po9z8cXUVdhg67gIkMwRO9.pdf)</w:t>
            </w:r>
          </w:p>
        </w:tc>
        <w:tc>
          <w:tcPr>
            <w:tcW w:type="dxa" w:w="1234"/>
          </w:tcPr>
          <w:p>
            <w:r/>
            <w:r>
              <w:t xml:space="preserve">Schedule </w:t>
            </w:r>
            <w:r>
              <w:rPr>
                <w:rFonts w:ascii="Courier New" w:hAnsi="Courier New"/>
                <w:sz w:val="20"/>
              </w:rPr>
              <w:t>14</w:t>
            </w:r>
            <w:r>
              <w:t xml:space="preserve">: share-trade brokerage service charge slabs </w:t>
            </w:r>
            <w:r>
              <w:rPr>
                <w:rFonts w:ascii="Courier New" w:hAnsi="Courier New"/>
                <w:sz w:val="20"/>
              </w:rPr>
              <w:t>0.40%</w:t>
            </w:r>
            <w:r>
              <w:t xml:space="preserve">, </w:t>
            </w:r>
            <w:r>
              <w:rPr>
                <w:rFonts w:ascii="Courier New" w:hAnsi="Courier New"/>
                <w:sz w:val="20"/>
              </w:rPr>
              <w:t>0.37%</w:t>
            </w:r>
            <w:r>
              <w:t xml:space="preserve">, </w:t>
            </w:r>
            <w:r>
              <w:rPr>
                <w:rFonts w:ascii="Courier New" w:hAnsi="Courier New"/>
                <w:sz w:val="20"/>
              </w:rPr>
              <w:t>0.34%</w:t>
            </w:r>
            <w:r>
              <w:t xml:space="preserve">, </w:t>
            </w:r>
            <w:r>
              <w:rPr>
                <w:rFonts w:ascii="Courier New" w:hAnsi="Courier New"/>
                <w:sz w:val="20"/>
              </w:rPr>
              <w:t>0.30%</w:t>
            </w:r>
            <w:r>
              <w:t xml:space="preserve">, </w:t>
            </w:r>
            <w:r>
              <w:rPr>
                <w:rFonts w:ascii="Courier New" w:hAnsi="Courier New"/>
                <w:sz w:val="20"/>
              </w:rPr>
              <w:t>0.27%</w:t>
            </w:r>
            <w:r>
              <w:t xml:space="preserve"> plus </w:t>
            </w:r>
            <w:r>
              <w:rPr>
                <w:rFonts w:ascii="Courier New" w:hAnsi="Courier New"/>
                <w:sz w:val="20"/>
              </w:rPr>
              <w:t>Rs 10</w:t>
            </w:r>
            <w:r>
              <w:t xml:space="preserve"> minimum; Schedule </w:t>
            </w:r>
            <w:r>
              <w:rPr>
                <w:rFonts w:ascii="Courier New" w:hAnsi="Courier New"/>
                <w:sz w:val="20"/>
              </w:rPr>
              <w:t>14</w:t>
            </w:r>
            <w:r>
              <w:t xml:space="preserve">, item </w:t>
            </w:r>
            <w:r>
              <w:rPr>
                <w:rFonts w:ascii="Courier New" w:hAnsi="Courier New"/>
                <w:sz w:val="20"/>
              </w:rPr>
              <w:t>5</w:t>
            </w:r>
            <w:r>
              <w:t xml:space="preserve">: Board levy </w:t>
            </w:r>
            <w:r>
              <w:rPr>
                <w:rFonts w:ascii="Courier New" w:hAnsi="Courier New"/>
                <w:sz w:val="20"/>
              </w:rPr>
              <w:t>0.6%</w:t>
            </w:r>
            <w:r>
              <w:t xml:space="preserve"> of total brokerage service charge collected, payable within one month of fiscal-year close; Schedule </w:t>
            </w:r>
            <w:r>
              <w:rPr>
                <w:rFonts w:ascii="Courier New" w:hAnsi="Courier New"/>
                <w:sz w:val="20"/>
              </w:rPr>
              <w:t>15</w:t>
            </w:r>
            <w:r>
              <w:t xml:space="preserve">, item </w:t>
            </w:r>
            <w:r>
              <w:rPr>
                <w:rFonts w:ascii="Courier New" w:hAnsi="Courier New"/>
                <w:sz w:val="20"/>
              </w:rPr>
              <w:t>1(a)</w:t>
            </w:r>
            <w:r>
              <w:t xml:space="preserve">: securities-market transaction fee </w:t>
            </w:r>
            <w:r>
              <w:rPr>
                <w:rFonts w:ascii="Courier New" w:hAnsi="Courier New"/>
                <w:sz w:val="20"/>
              </w:rPr>
              <w:t>0.015%</w:t>
            </w:r>
            <w:r>
              <w:t xml:space="preserve"> of each share transaction amount</w:t>
            </w:r>
          </w:p>
        </w:tc>
        <w:tc>
          <w:tcPr>
            <w:tcW w:type="dxa" w:w="1234"/>
          </w:tcPr>
          <w:p>
            <w:r/>
            <w:r>
              <w:rPr>
                <w:rFonts w:ascii="Courier New" w:hAnsi="Courier New"/>
                <w:sz w:val="20"/>
              </w:rPr>
              <w:t>clause-verified</w:t>
            </w:r>
          </w:p>
        </w:tc>
        <w:tc>
          <w:tcPr>
            <w:tcW w:type="dxa" w:w="1234"/>
          </w:tcPr>
          <w:p>
            <w:r/>
            <w:r>
              <w:t xml:space="preserve">This replaces the earlier mislabeling of </w:t>
            </w:r>
            <w:r>
              <w:rPr>
                <w:rFonts w:ascii="Courier New" w:hAnsi="Courier New"/>
                <w:sz w:val="20"/>
              </w:rPr>
              <w:t>0.015%</w:t>
            </w:r>
            <w:r>
              <w:t xml:space="preserve"> as a SEBON per-trade fee. Keep the schedule configurable in case of future amendment.</w:t>
            </w:r>
          </w:p>
        </w:tc>
      </w:tr>
      <w:tr>
        <w:tc>
          <w:tcPr>
            <w:tcW w:type="dxa" w:w="1234"/>
          </w:tcPr>
          <w:p>
            <w:r/>
            <w:r>
              <w:rPr>
                <w:rFonts w:ascii="Courier New" w:hAnsi="Courier New"/>
                <w:sz w:val="20"/>
              </w:rPr>
              <w:t>LCA-024</w:t>
            </w:r>
          </w:p>
        </w:tc>
        <w:tc>
          <w:tcPr>
            <w:tcW w:type="dxa" w:w="1234"/>
          </w:tcPr>
          <w:p>
            <w:r/>
            <w:r>
              <w:rPr>
                <w:rFonts w:ascii="Courier New" w:hAnsi="Courier New"/>
                <w:sz w:val="20"/>
              </w:rPr>
              <w:t>Siddhanta_Platform_Specification.md §5.1</w:t>
            </w:r>
          </w:p>
        </w:tc>
        <w:tc>
          <w:tcPr>
            <w:tcW w:type="dxa" w:w="1234"/>
          </w:tcPr>
          <w:p>
            <w:r/>
            <w:r>
              <w:t>Brokers, dealers, and market makers must submit quarterly reports in the format specified by the Board within thirty days after the quarter closes</w:t>
            </w:r>
          </w:p>
        </w:tc>
        <w:tc>
          <w:tcPr>
            <w:tcW w:type="dxa" w:w="1234"/>
          </w:tcPr>
          <w:p>
            <w:r/>
            <w:r>
              <w:t>Securities and Commodities Exchange Market Related Laws: Special Publication 2019 (https://www.sebon.gov.np/uploads/uploads/VxEhnG33sobzXraP4EsxgV06juNWEupcTacEHCpU.pdf)</w:t>
            </w:r>
          </w:p>
        </w:tc>
        <w:tc>
          <w:tcPr>
            <w:tcW w:type="dxa" w:w="1234"/>
          </w:tcPr>
          <w:p>
            <w:r/>
            <w:r>
              <w:t xml:space="preserve">Securities Businesspersons regulation, Rule </w:t>
            </w:r>
            <w:r>
              <w:rPr>
                <w:rFonts w:ascii="Courier New" w:hAnsi="Courier New"/>
                <w:sz w:val="20"/>
              </w:rPr>
              <w:t>35(2)</w:t>
            </w:r>
            <w:r>
              <w:t xml:space="preserve"> in the official English compiled-laws publication: quarterly report in Board-specified format within </w:t>
            </w:r>
            <w:r>
              <w:rPr>
                <w:rFonts w:ascii="Courier New" w:hAnsi="Courier New"/>
                <w:sz w:val="20"/>
              </w:rPr>
              <w:t>30 days</w:t>
            </w:r>
            <w:r>
              <w:t xml:space="preserve"> of quarter completion</w:t>
            </w:r>
          </w:p>
        </w:tc>
        <w:tc>
          <w:tcPr>
            <w:tcW w:type="dxa" w:w="1234"/>
          </w:tcPr>
          <w:p>
            <w:r/>
            <w:r>
              <w:rPr>
                <w:rFonts w:ascii="Courier New" w:hAnsi="Courier New"/>
                <w:sz w:val="20"/>
              </w:rPr>
              <w:t>clause-verified</w:t>
            </w:r>
          </w:p>
        </w:tc>
        <w:tc>
          <w:tcPr>
            <w:tcW w:type="dxa" w:w="1234"/>
          </w:tcPr>
          <w:p>
            <w:r/>
            <w:r>
              <w:t>This supports “Board-specified quarterly return template” language. The live filing template should still be revalidated against the latest operational circulars.</w:t>
            </w:r>
          </w:p>
        </w:tc>
      </w:tr>
      <w:tr>
        <w:tc>
          <w:tcPr>
            <w:tcW w:type="dxa" w:w="1234"/>
          </w:tcPr>
          <w:p>
            <w:r/>
            <w:r>
              <w:rPr>
                <w:rFonts w:ascii="Courier New" w:hAnsi="Courier New"/>
                <w:sz w:val="20"/>
              </w:rPr>
              <w:t>LCA-025</w:t>
            </w:r>
          </w:p>
        </w:tc>
        <w:tc>
          <w:tcPr>
            <w:tcW w:type="dxa" w:w="1234"/>
          </w:tcPr>
          <w:p>
            <w:r/>
            <w:r>
              <w:rPr>
                <w:rFonts w:ascii="Courier New" w:hAnsi="Courier New"/>
                <w:sz w:val="20"/>
              </w:rPr>
              <w:t>Siddhanta_Platform_Specification.md §5.2</w:t>
            </w:r>
          </w:p>
        </w:tc>
        <w:tc>
          <w:tcPr>
            <w:tcW w:type="dxa" w:w="1234"/>
          </w:tcPr>
          <w:p>
            <w:r/>
            <w:r>
              <w:t>Draft prospectus approval requires a defined submission set, including an issuance/sales-manager due diligence certificate, and the Board approves prospectus format based on prescribed schedules</w:t>
            </w:r>
          </w:p>
        </w:tc>
        <w:tc>
          <w:tcPr>
            <w:tcW w:type="dxa" w:w="1234"/>
          </w:tcPr>
          <w:p>
            <w:r/>
            <w:r>
              <w:t>Securities and Commodities Exchange Market Related Laws: Special Publication 2019 (https://www.sebon.gov.np/uploads/uploads/VxEhnG33sobzXraP4EsxgV06juNWEupcTacEHCpU.pdf)</w:t>
            </w:r>
          </w:p>
        </w:tc>
        <w:tc>
          <w:tcPr>
            <w:tcW w:type="dxa" w:w="1234"/>
          </w:tcPr>
          <w:p>
            <w:r/>
            <w:r>
              <w:t xml:space="preserve">Securities Registration and Issuance regulation, Rule </w:t>
            </w:r>
            <w:r>
              <w:rPr>
                <w:rFonts w:ascii="Courier New" w:hAnsi="Courier New"/>
                <w:sz w:val="20"/>
              </w:rPr>
              <w:t>11(3)(e)</w:t>
            </w:r>
            <w:r>
              <w:t xml:space="preserve"> (public issue) and Rule </w:t>
            </w:r>
            <w:r>
              <w:rPr>
                <w:rFonts w:ascii="Courier New" w:hAnsi="Courier New"/>
                <w:sz w:val="20"/>
              </w:rPr>
              <w:t>23(3)(f)</w:t>
            </w:r>
            <w:r>
              <w:t xml:space="preserve"> (private placement): due diligence certificate from the Issuance and Sales Manager; Rule </w:t>
            </w:r>
            <w:r>
              <w:rPr>
                <w:rFonts w:ascii="Courier New" w:hAnsi="Courier New"/>
                <w:sz w:val="20"/>
              </w:rPr>
              <w:t>11(1)</w:t>
            </w:r>
            <w:r>
              <w:t xml:space="preserve"> / Rule </w:t>
            </w:r>
            <w:r>
              <w:rPr>
                <w:rFonts w:ascii="Courier New" w:hAnsi="Courier New"/>
                <w:sz w:val="20"/>
              </w:rPr>
              <w:t>23(1)</w:t>
            </w:r>
            <w:r>
              <w:t xml:space="preserve">: prospectus drafted in the prescribed schedule format; Rule </w:t>
            </w:r>
            <w:r>
              <w:rPr>
                <w:rFonts w:ascii="Courier New" w:hAnsi="Courier New"/>
                <w:sz w:val="20"/>
              </w:rPr>
              <w:t>13(1)</w:t>
            </w:r>
            <w:r>
              <w:t>: Board approval of prospectus in prescribed format</w:t>
            </w:r>
          </w:p>
        </w:tc>
        <w:tc>
          <w:tcPr>
            <w:tcW w:type="dxa" w:w="1234"/>
          </w:tcPr>
          <w:p>
            <w:r/>
            <w:r>
              <w:rPr>
                <w:rFonts w:ascii="Courier New" w:hAnsi="Courier New"/>
                <w:sz w:val="20"/>
              </w:rPr>
              <w:t>clause-verified</w:t>
            </w:r>
          </w:p>
        </w:tc>
        <w:tc>
          <w:tcPr>
            <w:tcW w:type="dxa" w:w="1234"/>
          </w:tcPr>
          <w:p>
            <w:r/>
            <w:r>
              <w:t>This supports evidence-backed due-diligence and prospectus-validation workflows. Post-issue allotment reporting templates should still be revalidated from current issue-specific directives or approval conditions.</w:t>
            </w:r>
          </w:p>
        </w:tc>
      </w:tr>
      <w:tr>
        <w:tc>
          <w:tcPr>
            <w:tcW w:type="dxa" w:w="1234"/>
          </w:tcPr>
          <w:p>
            <w:r/>
            <w:r>
              <w:rPr>
                <w:rFonts w:ascii="Courier New" w:hAnsi="Courier New"/>
                <w:sz w:val="20"/>
              </w:rPr>
              <w:t>LCA-026</w:t>
            </w:r>
          </w:p>
        </w:tc>
        <w:tc>
          <w:tcPr>
            <w:tcW w:type="dxa" w:w="1234"/>
          </w:tcPr>
          <w:p>
            <w:r/>
            <w:r>
              <w:rPr>
                <w:rFonts w:ascii="Courier New" w:hAnsi="Courier New"/>
                <w:sz w:val="20"/>
              </w:rPr>
              <w:t>Siddhanta_Platform_Specification.md §5.2</w:t>
            </w:r>
            <w:r>
              <w:t xml:space="preserve">; </w:t>
            </w:r>
            <w:r>
              <w:rPr>
                <w:rFonts w:ascii="Courier New" w:hAnsi="Courier New"/>
                <w:sz w:val="20"/>
              </w:rPr>
              <w:t>siddhanta.md §3.2</w:t>
            </w:r>
            <w:r>
              <w:t xml:space="preserve">, </w:t>
            </w:r>
            <w:r>
              <w:rPr>
                <w:rFonts w:ascii="Courier New" w:hAnsi="Courier New"/>
                <w:sz w:val="20"/>
              </w:rPr>
              <w:t>§5.2</w:t>
            </w:r>
          </w:p>
        </w:tc>
        <w:tc>
          <w:tcPr>
            <w:tcW w:type="dxa" w:w="1234"/>
          </w:tcPr>
          <w:p>
            <w:r/>
            <w:r>
              <w:t>After completing a public issue, sale, distribution, or allotment, the issuer must inform the Board within seven days with the prescribed issue-close particulars, and a copy of the prospectus / offer document must also be furnished to the stock exchange when filed</w:t>
            </w:r>
          </w:p>
        </w:tc>
        <w:tc>
          <w:tcPr>
            <w:tcW w:type="dxa" w:w="1234"/>
          </w:tcPr>
          <w:p>
            <w:r/>
            <w:r>
              <w:t>Securities and Commodities Exchange Market Related Laws: Special Publication 2019 (https://www.sebon.gov.np/uploads/uploads/VxEhnG33sobzXraP4EsxgV06juNWEupcTacEHCpU.pdf)</w:t>
            </w:r>
          </w:p>
        </w:tc>
        <w:tc>
          <w:tcPr>
            <w:tcW w:type="dxa" w:w="1234"/>
          </w:tcPr>
          <w:p>
            <w:r/>
            <w:r>
              <w:t xml:space="preserve">Securities Registration and Issuance regulation, Rule </w:t>
            </w:r>
            <w:r>
              <w:rPr>
                <w:rFonts w:ascii="Courier New" w:hAnsi="Courier New"/>
                <w:sz w:val="20"/>
              </w:rPr>
              <w:t>8(1)-(2)</w:t>
            </w:r>
            <w:r>
              <w:t xml:space="preserve">: inform the Board within </w:t>
            </w:r>
            <w:r>
              <w:rPr>
                <w:rFonts w:ascii="Courier New" w:hAnsi="Courier New"/>
                <w:sz w:val="20"/>
              </w:rPr>
              <w:t>7 days</w:t>
            </w:r>
            <w:r>
              <w:t xml:space="preserve"> of completion of sale / distribution / allotment with the prescribed details; Rule </w:t>
            </w:r>
            <w:r>
              <w:rPr>
                <w:rFonts w:ascii="Courier New" w:hAnsi="Courier New"/>
                <w:sz w:val="20"/>
              </w:rPr>
              <w:t>47</w:t>
            </w:r>
            <w:r>
              <w:t>: provide a copy of the prospectus / offer document to the stock exchange at the time it is submitted to the Board</w:t>
            </w:r>
          </w:p>
        </w:tc>
        <w:tc>
          <w:tcPr>
            <w:tcW w:type="dxa" w:w="1234"/>
          </w:tcPr>
          <w:p>
            <w:r/>
            <w:r>
              <w:rPr>
                <w:rFonts w:ascii="Courier New" w:hAnsi="Courier New"/>
                <w:sz w:val="20"/>
              </w:rPr>
              <w:t>clause-verified</w:t>
            </w:r>
          </w:p>
        </w:tc>
        <w:tc>
          <w:tcPr>
            <w:tcW w:type="dxa" w:w="1234"/>
          </w:tcPr>
          <w:p>
            <w:r/>
            <w:r>
              <w:t>This supports the hard timing anchor for post-issue close reporting. It does not prove that the current filing channel is a single fixed modern portal template.</w:t>
            </w:r>
          </w:p>
        </w:tc>
      </w:tr>
      <w:tr>
        <w:tc>
          <w:tcPr>
            <w:tcW w:type="dxa" w:w="1234"/>
          </w:tcPr>
          <w:p>
            <w:r/>
            <w:r>
              <w:rPr>
                <w:rFonts w:ascii="Courier New" w:hAnsi="Courier New"/>
                <w:sz w:val="20"/>
              </w:rPr>
              <w:t>LCA-027</w:t>
            </w:r>
          </w:p>
        </w:tc>
        <w:tc>
          <w:tcPr>
            <w:tcW w:type="dxa" w:w="1234"/>
          </w:tcPr>
          <w:p>
            <w:r/>
            <w:r>
              <w:rPr>
                <w:rFonts w:ascii="Courier New" w:hAnsi="Courier New"/>
                <w:sz w:val="20"/>
              </w:rPr>
              <w:t>Siddhanta_Platform_Specification.md §7.5</w:t>
            </w:r>
            <w:r>
              <w:t xml:space="preserve">; </w:t>
            </w:r>
            <w:r>
              <w:rPr>
                <w:rFonts w:ascii="Courier New" w:hAnsi="Courier New"/>
                <w:sz w:val="20"/>
              </w:rPr>
              <w:t>siddhanta.md §5.5</w:t>
            </w:r>
          </w:p>
        </w:tc>
        <w:tc>
          <w:tcPr>
            <w:tcW w:type="dxa" w:w="1234"/>
          </w:tcPr>
          <w:p>
            <w:r/>
            <w:r>
              <w:t>Listed issuers must provide prompt exchange notices for book closure / record dates, board decisions and price-affecting information, and must furnish meeting, progress, and shareholder-record disclosures on defined cycles under the listing agreement</w:t>
            </w:r>
          </w:p>
        </w:tc>
        <w:tc>
          <w:tcPr>
            <w:tcW w:type="dxa" w:w="1234"/>
          </w:tcPr>
          <w:p>
            <w:r/>
            <w:r>
              <w:t>Securities and Commodities Exchange Market Related Laws: Special Publication 2019 (https://www.sebon.gov.np/uploads/uploads/VxEhnG33sobzXraP4EsxgV06juNWEupcTacEHCpU.pdf)</w:t>
            </w:r>
          </w:p>
        </w:tc>
        <w:tc>
          <w:tcPr>
            <w:tcW w:type="dxa" w:w="1234"/>
          </w:tcPr>
          <w:p>
            <w:r/>
            <w:r>
              <w:t xml:space="preserve">Securities Enlistment Byelaws 2018, Schedule </w:t>
            </w:r>
            <w:r>
              <w:rPr>
                <w:rFonts w:ascii="Courier New" w:hAnsi="Courier New"/>
                <w:sz w:val="20"/>
              </w:rPr>
              <w:t>4</w:t>
            </w:r>
            <w:r>
              <w:t xml:space="preserve"> (pertaining to By-Rule </w:t>
            </w:r>
            <w:r>
              <w:rPr>
                <w:rFonts w:ascii="Courier New" w:hAnsi="Courier New"/>
                <w:sz w:val="20"/>
              </w:rPr>
              <w:t>6(1)</w:t>
            </w:r>
            <w:r>
              <w:t xml:space="preserve">), Terms </w:t>
            </w:r>
            <w:r>
              <w:rPr>
                <w:rFonts w:ascii="Courier New" w:hAnsi="Courier New"/>
                <w:sz w:val="20"/>
              </w:rPr>
              <w:t>5</w:t>
            </w:r>
            <w:r>
              <w:t xml:space="preserve">, </w:t>
            </w:r>
            <w:r>
              <w:rPr>
                <w:rFonts w:ascii="Courier New" w:hAnsi="Courier New"/>
                <w:sz w:val="20"/>
              </w:rPr>
              <w:t>8</w:t>
            </w:r>
            <w:r>
              <w:t xml:space="preserve">, </w:t>
            </w:r>
            <w:r>
              <w:rPr>
                <w:rFonts w:ascii="Courier New" w:hAnsi="Courier New"/>
                <w:sz w:val="20"/>
              </w:rPr>
              <w:t>9</w:t>
            </w:r>
            <w:r>
              <w:t xml:space="preserve">, </w:t>
            </w:r>
            <w:r>
              <w:rPr>
                <w:rFonts w:ascii="Courier New" w:hAnsi="Courier New"/>
                <w:sz w:val="20"/>
              </w:rPr>
              <w:t>10</w:t>
            </w:r>
            <w:r>
              <w:t xml:space="preserve">, </w:t>
            </w:r>
            <w:r>
              <w:rPr>
                <w:rFonts w:ascii="Courier New" w:hAnsi="Courier New"/>
                <w:sz w:val="20"/>
              </w:rPr>
              <w:t>14</w:t>
            </w:r>
            <w:r>
              <w:t xml:space="preserve">, </w:t>
            </w:r>
            <w:r>
              <w:rPr>
                <w:rFonts w:ascii="Courier New" w:hAnsi="Courier New"/>
                <w:sz w:val="20"/>
              </w:rPr>
              <w:t>16</w:t>
            </w:r>
            <w:r>
              <w:t xml:space="preserve">, </w:t>
            </w:r>
            <w:r>
              <w:rPr>
                <w:rFonts w:ascii="Courier New" w:hAnsi="Courier New"/>
                <w:sz w:val="20"/>
              </w:rPr>
              <w:t>17</w:t>
            </w:r>
            <w:r>
              <w:t xml:space="preserve">, </w:t>
            </w:r>
            <w:r>
              <w:rPr>
                <w:rFonts w:ascii="Courier New" w:hAnsi="Courier New"/>
                <w:sz w:val="20"/>
              </w:rPr>
              <w:t>18</w:t>
            </w:r>
            <w:r>
              <w:t xml:space="preserve">, and </w:t>
            </w:r>
            <w:r>
              <w:rPr>
                <w:rFonts w:ascii="Courier New" w:hAnsi="Courier New"/>
                <w:sz w:val="20"/>
              </w:rPr>
              <w:t>21</w:t>
            </w:r>
            <w:r>
              <w:t xml:space="preserve">: notify the exchange of decisions / information affecting price, provide book-closure notice at least </w:t>
            </w:r>
            <w:r>
              <w:rPr>
                <w:rFonts w:ascii="Courier New" w:hAnsi="Courier New"/>
                <w:sz w:val="20"/>
              </w:rPr>
              <w:t>7 days</w:t>
            </w:r>
            <w:r>
              <w:t xml:space="preserve"> in advance, send AGM agenda and annual report before the meeting, send decisions / minutes within </w:t>
            </w:r>
            <w:r>
              <w:rPr>
                <w:rFonts w:ascii="Courier New" w:hAnsi="Courier New"/>
                <w:sz w:val="20"/>
              </w:rPr>
              <w:t>1 month</w:t>
            </w:r>
            <w:r>
              <w:t xml:space="preserve">, furnish trimester progress within </w:t>
            </w:r>
            <w:r>
              <w:rPr>
                <w:rFonts w:ascii="Courier New" w:hAnsi="Courier New"/>
                <w:sz w:val="20"/>
              </w:rPr>
              <w:t>1 month</w:t>
            </w:r>
            <w:r>
              <w:t xml:space="preserve"> of trimester close, and provide shareholder list / transfer / balance details within </w:t>
            </w:r>
            <w:r>
              <w:rPr>
                <w:rFonts w:ascii="Courier New" w:hAnsi="Courier New"/>
                <w:sz w:val="20"/>
              </w:rPr>
              <w:t>1 month</w:t>
            </w:r>
            <w:r>
              <w:t xml:space="preserve"> after AGM</w:t>
            </w:r>
          </w:p>
        </w:tc>
        <w:tc>
          <w:tcPr>
            <w:tcW w:type="dxa" w:w="1234"/>
          </w:tcPr>
          <w:p>
            <w:r/>
            <w:r>
              <w:rPr>
                <w:rFonts w:ascii="Courier New" w:hAnsi="Courier New"/>
                <w:sz w:val="20"/>
              </w:rPr>
              <w:t>clause-verified</w:t>
            </w:r>
          </w:p>
        </w:tc>
        <w:tc>
          <w:tcPr>
            <w:tcW w:type="dxa" w:w="1234"/>
          </w:tcPr>
          <w:p>
            <w:r/>
            <w:r>
              <w:t>This is the strongest currently pinned basis for issuer-side periodic and event-driven disclosure workflows. Exact electronic submission mechanics still depend on the current exchange/Board process.</w:t>
            </w:r>
          </w:p>
        </w:tc>
      </w:tr>
      <w:tr>
        <w:tc>
          <w:tcPr>
            <w:tcW w:type="dxa" w:w="1234"/>
          </w:tcPr>
          <w:p>
            <w:r/>
            <w:r>
              <w:rPr>
                <w:rFonts w:ascii="Courier New" w:hAnsi="Courier New"/>
                <w:sz w:val="20"/>
              </w:rPr>
              <w:t>LCA-028</w:t>
            </w:r>
          </w:p>
        </w:tc>
        <w:tc>
          <w:tcPr>
            <w:tcW w:type="dxa" w:w="1234"/>
          </w:tcPr>
          <w:p>
            <w:r/>
            <w:r>
              <w:rPr>
                <w:rFonts w:ascii="Courier New" w:hAnsi="Courier New"/>
                <w:sz w:val="20"/>
              </w:rPr>
              <w:t>Siddhanta_Platform_Specification.md §7.5</w:t>
            </w:r>
            <w:r>
              <w:t>; issuer disclosure-control assumptions</w:t>
            </w:r>
          </w:p>
        </w:tc>
        <w:tc>
          <w:tcPr>
            <w:tcW w:type="dxa" w:w="1234"/>
          </w:tcPr>
          <w:p>
            <w:r/>
            <w:r>
              <w:t>Listing agreements must cover price-sensitive and financial-information dissemination, and late or missing sensitive disclosures or annual / semiannual reports can trigger suspension of listed securities</w:t>
            </w:r>
          </w:p>
        </w:tc>
        <w:tc>
          <w:tcPr>
            <w:tcW w:type="dxa" w:w="1234"/>
          </w:tcPr>
          <w:p>
            <w:r/>
            <w:r>
              <w:t>Securities and Commodities Exchange Market Related Laws: Special Publication 2019 (https://www.sebon.gov.np/uploads/uploads/VxEhnG33sobzXraP4EsxgV06juNWEupcTacEHCpU.pdf)</w:t>
            </w:r>
          </w:p>
        </w:tc>
        <w:tc>
          <w:tcPr>
            <w:tcW w:type="dxa" w:w="1234"/>
          </w:tcPr>
          <w:p>
            <w:r/>
            <w:r>
              <w:t xml:space="preserve">Securities Listing and Trading Regulation 2018, Rule </w:t>
            </w:r>
            <w:r>
              <w:rPr>
                <w:rFonts w:ascii="Courier New" w:hAnsi="Courier New"/>
                <w:sz w:val="20"/>
              </w:rPr>
              <w:t>5(2)(b)-(d)</w:t>
            </w:r>
            <w:r>
              <w:t xml:space="preserve">: listing agreement must include submission of price-sensitive information / notices, dissemination of financial and other information, and corporate governance compliance; Rule </w:t>
            </w:r>
            <w:r>
              <w:rPr>
                <w:rFonts w:ascii="Courier New" w:hAnsi="Courier New"/>
                <w:sz w:val="20"/>
              </w:rPr>
              <w:t>7(1)(b)</w:t>
            </w:r>
            <w:r>
              <w:t xml:space="preserve"> and </w:t>
            </w:r>
            <w:r>
              <w:rPr>
                <w:rFonts w:ascii="Courier New" w:hAnsi="Courier New"/>
                <w:sz w:val="20"/>
              </w:rPr>
              <w:t>7(1)(d)</w:t>
            </w:r>
            <w:r>
              <w:t>: listing may be suspended if the issuer fails to furnish price/trading-sensitive information within the agreement period or fails to furnish annual and semiannual reports in time</w:t>
            </w:r>
          </w:p>
        </w:tc>
        <w:tc>
          <w:tcPr>
            <w:tcW w:type="dxa" w:w="1234"/>
          </w:tcPr>
          <w:p>
            <w:r/>
            <w:r>
              <w:rPr>
                <w:rFonts w:ascii="Courier New" w:hAnsi="Courier New"/>
                <w:sz w:val="20"/>
              </w:rPr>
              <w:t>clause-verified</w:t>
            </w:r>
          </w:p>
        </w:tc>
        <w:tc>
          <w:tcPr>
            <w:tcW w:type="dxa" w:w="1234"/>
          </w:tcPr>
          <w:p>
            <w:r/>
            <w:r>
              <w:t>This makes issuer disclosure timeliness a hard control issue, not only a reporting convenience.</w:t>
            </w:r>
          </w:p>
        </w:tc>
      </w:tr>
    </w:tbl>
    <w:p>
      <w:r>
        <w:t>---</w:t>
      </w:r>
    </w:p>
    <w:p>
      <w:pPr>
        <w:pStyle w:val="Heading3"/>
      </w:pPr>
      <w:r>
        <w:t>Immediate Cleanup Rules Derived From This Appendix</w:t>
      </w:r>
    </w:p>
    <w:p>
      <w:pPr>
        <w:pStyle w:val="ListNumber"/>
      </w:pPr>
      <w:r>
        <w:t xml:space="preserve">If a claim is only </w:t>
      </w:r>
      <w:r>
        <w:rPr>
          <w:rFonts w:ascii="Courier New" w:hAnsi="Courier New"/>
          <w:sz w:val="20"/>
        </w:rPr>
        <w:t>project-policy</w:t>
      </w:r>
      <w:r>
        <w:t>, documents should avoid phrasing it as “required by regulator” unless that clause is later verified.</w:t>
      </w:r>
    </w:p>
    <w:p>
      <w:pPr>
        <w:pStyle w:val="ListNumber"/>
      </w:pPr>
      <w:r>
        <w:t xml:space="preserve">If a claim is </w:t>
      </w:r>
      <w:r>
        <w:rPr>
          <w:rFonts w:ascii="Courier New" w:hAnsi="Courier New"/>
          <w:sz w:val="20"/>
        </w:rPr>
        <w:t>pending-clause-extraction</w:t>
      </w:r>
      <w:r>
        <w:t>, documents may keep the operational requirement, but should avoid exact legal-certification language.</w:t>
      </w:r>
    </w:p>
    <w:p>
      <w:pPr>
        <w:pStyle w:val="ListNumber"/>
      </w:pPr>
      <w:r>
        <w:t xml:space="preserve">If a claim is </w:t>
      </w:r>
      <w:r>
        <w:rPr>
          <w:rFonts w:ascii="Courier New" w:hAnsi="Courier New"/>
          <w:sz w:val="20"/>
        </w:rPr>
        <w:t>document-verified</w:t>
      </w:r>
      <w:r>
        <w:t>, documents should cite the source document and keep the wording at the level the source actually supports.</w:t>
      </w:r>
    </w:p>
    <w:p>
      <w:pPr>
        <w:pStyle w:val="ListNumber"/>
      </w:pPr>
      <w:r>
        <w:rPr>
          <w:rFonts w:ascii="Courier New" w:hAnsi="Courier New"/>
          <w:sz w:val="20"/>
        </w:rPr>
        <w:t>clause-verified</w:t>
      </w:r>
      <w:r>
        <w:t xml:space="preserve"> claims are the only ones that should be treated as hard legal anchors in customer-facing requirement traceability.</w:t>
      </w:r>
    </w:p>
    <w:p>
      <w:r>
        <w:t>---</w:t>
      </w:r>
    </w:p>
    <w:p>
      <w:pPr>
        <w:pStyle w:val="Heading3"/>
      </w:pPr>
      <w:r>
        <w:t>Next Clause-Extraction Priorities</w:t>
      </w:r>
    </w:p>
    <w:p>
      <w:pPr>
        <w:pStyle w:val="ListNumber"/>
      </w:pPr>
      <w:r>
        <w:t>Exact broker / clearing provision for an explicit daily-reconciliation cadence (</w:t>
      </w:r>
      <w:r>
        <w:rPr>
          <w:rFonts w:ascii="Courier New" w:hAnsi="Courier New"/>
          <w:sz w:val="20"/>
        </w:rPr>
        <w:t>LCA-022</w:t>
      </w:r>
      <w:r>
        <w:t>).</w:t>
      </w:r>
    </w:p>
    <w:p>
      <w:pPr>
        <w:pStyle w:val="ListNumber"/>
      </w:pPr>
      <w:r>
        <w:t>CDSC / SEBON operational rules: exact clauses for EDIS authorization flow and demat-linked investor workflow requirements.</w:t>
      </w:r>
    </w:p>
    <w:p>
      <w:pPr>
        <w:pStyle w:val="ListNumber"/>
      </w:pPr>
      <w:r>
        <w:t>Exact active electronic filing templates for issuer disclosures and allotment reports: keep revalidating the live submission format even where the timing and disclosure duties are now clause-pinned (</w:t>
      </w:r>
      <w:r>
        <w:rPr>
          <w:rFonts w:ascii="Courier New" w:hAnsi="Courier New"/>
          <w:sz w:val="20"/>
        </w:rPr>
        <w:t>LCA-026</w:t>
      </w:r>
      <w:r>
        <w:t xml:space="preserve">, </w:t>
      </w:r>
      <w:r>
        <w:rPr>
          <w:rFonts w:ascii="Courier New" w:hAnsi="Courier New"/>
          <w:sz w:val="20"/>
        </w:rPr>
        <w:t>LCA-027</w:t>
      </w:r>
      <w:r>
        <w:t xml:space="preserve">, </w:t>
      </w:r>
      <w:r>
        <w:rPr>
          <w:rFonts w:ascii="Courier New" w:hAnsi="Courier New"/>
          <w:sz w:val="20"/>
        </w:rPr>
        <w:t>LCA-028</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Siddhanta Bundle</dc:title>
  <dc:subject>Compiled from siddhanta.md and direct references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