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96E6C"/>
          <w:sz w:val="22"/>
        </w:rPr>
        <w:t>TECNOGAN AGROTECH • ACADEMIA Y SIMULACIÓN GANADERA</w:t>
        <w:br/>
      </w:r>
      <w:r>
        <w:rPr>
          <w:rFonts w:ascii="Calibri" w:hAnsi="Calibri"/>
          <w:b/>
          <w:color w:val="161C2D"/>
          <w:sz w:val="44"/>
        </w:rPr>
        <w:t>TecnoGan Academy (DataGan Course)</w:t>
        <w:br/>
        <w:t>Documento Maestro de Arquitectura y Valor Estratégico</w:t>
      </w:r>
    </w:p>
    <w:p>
      <w:pPr>
        <w:spacing w:after="400"/>
      </w:pPr>
      <w:r>
        <w:rPr>
          <w:rFonts w:ascii="Calibri" w:hAnsi="Calibri"/>
          <w:color w:val="595C73"/>
          <w:sz w:val="20"/>
        </w:rPr>
        <w:t>Versión de Producción 2.0 • Octubre 2026 • Plataforma Oficial de Acreditación Zootécnica</w:t>
      </w:r>
    </w:p>
    <w:tbl>
      <w:tblPr>
        <w:tblW w:type="auto" w:w="0"/>
        <w:jc w:val="center"/>
        <w:tblLook w:firstColumn="1" w:firstRow="1" w:lastColumn="0" w:lastRow="0" w:noHBand="0" w:noVBand="1" w:val="04A0"/>
      </w:tblPr>
      <w:tblGrid>
        <w:gridCol w:w="9360"/>
      </w:tblGrid>
      <w:tr>
        <w:tc>
          <w:tcPr>
            <w:tcW w:type="dxa" w:w="9360"/>
            <w:shd w:fill="F4F8F8"/>
            <w:tcBorders>
              <w:left w:val="single" w:sz="24" w:space="0" w:color="196E6C"/>
              <w:top w:val="none"/>
              <w:right w:val="none"/>
              <w:bottom w:val="none"/>
            </w:tcBorders>
          </w:tcPr>
          <w:p>
            <w:pPr>
              <w:spacing w:after="80" w:before="80"/>
            </w:pPr>
            <w:r>
              <w:rPr>
                <w:rFonts w:ascii="Calibri" w:hAnsi="Calibri"/>
                <w:b/>
                <w:color w:val="196E6C"/>
                <w:sz w:val="21"/>
              </w:rPr>
              <w:t>★  Síntesis del Documento</w:t>
              <w:br/>
            </w:r>
            <w:r>
              <w:rPr>
                <w:rFonts w:ascii="Calibri" w:hAnsi="Calibri"/>
                <w:color w:val="161C2D"/>
                <w:sz w:val="20"/>
              </w:rPr>
              <w:t>Este documento recopila la especificación integral de TecnoGan Academy, articulando tanto la infraestructura técnica de software sobre la que opera el ecosistema como el fundamento comercial y social que respalda su adopción en empresas ganaderas, gremios y profesionales del campo.</w:t>
            </w:r>
          </w:p>
        </w:tc>
      </w:tr>
    </w:tbl>
    <w:p>
      <w:pPr>
        <w:spacing w:after="120"/>
      </w:pPr>
    </w:p>
    <w:p>
      <w:pPr>
        <w:pStyle w:val="Heading1"/>
        <w:keepNext/>
        <w:spacing w:before="400" w:after="120"/>
      </w:pPr>
      <w:r>
        <w:rPr>
          <w:rFonts w:ascii="Calibri" w:hAnsi="Calibri"/>
          <w:color w:val="196E6C"/>
        </w:rPr>
        <w:t>1. Memoria Técnica del Sistema</w:t>
      </w:r>
    </w:p>
    <w:p>
      <w:pPr>
        <w:spacing w:after="120" w:line="276" w:lineRule="auto"/>
      </w:pPr>
      <w:r>
        <w:rPr>
          <w:rFonts w:ascii="Calibri" w:hAnsi="Calibri"/>
          <w:color w:val="161C2D"/>
          <w:sz w:val="22"/>
        </w:rPr>
        <w:t>TecnoGan Academy es una plataforma web progresiva de alto rendimiento concebida para brindar una experiencia de aprendizaje interactiva, fluida y resiliente. Su ingeniería combina el renderizado híbrido de última generación, almacenamiento distribuido de contenidos multimedia y sincronización reactiva en tiempo real para telemetría, evaluaciones y diplomas.</w:t>
      </w:r>
    </w:p>
    <w:p>
      <w:pPr>
        <w:pStyle w:val="Heading2"/>
        <w:keepNext/>
        <w:spacing w:before="280" w:after="120"/>
      </w:pPr>
      <w:r>
        <w:rPr>
          <w:rFonts w:ascii="Calibri" w:hAnsi="Calibri"/>
          <w:color w:val="161C2D"/>
        </w:rPr>
        <w:t>Arquitectura de Software y Capas del Sistema</w:t>
      </w:r>
    </w:p>
    <w:p>
      <w:pPr>
        <w:spacing w:after="120" w:line="276" w:lineRule="auto"/>
      </w:pPr>
      <w:r>
        <w:rPr>
          <w:rFonts w:ascii="Calibri" w:hAnsi="Calibri"/>
          <w:color w:val="161C2D"/>
          <w:sz w:val="22"/>
        </w:rPr>
        <w:t>El sistema se encuentra desacoplado en tres capas especializadas:</w:t>
      </w:r>
    </w:p>
    <w:p>
      <w:pPr>
        <w:pStyle w:val="ListBullet"/>
        <w:spacing w:after="80" w:line="276" w:lineRule="auto"/>
      </w:pPr>
      <w:r>
        <w:rPr>
          <w:rFonts w:ascii="Calibri" w:hAnsi="Calibri"/>
          <w:b/>
          <w:color w:val="161C2D"/>
          <w:sz w:val="21"/>
        </w:rPr>
        <w:t xml:space="preserve">Capa de Presentación e Interacción: </w:t>
      </w:r>
      <w:r>
        <w:rPr>
          <w:rFonts w:ascii="Calibri" w:hAnsi="Calibri"/>
          <w:color w:val="161C2D"/>
          <w:sz w:val="21"/>
        </w:rPr>
        <w:t>Next.js 16 con App Router y Turbopack como núcleo de renderizado, empaquetado y enrutamiento en el cliente. Interfaz construida con React 19 y Tailwind CSS para diseño adaptativo a dispositivos móviles, tablets y estaciones de trabajo.</w:t>
      </w:r>
    </w:p>
    <w:p>
      <w:pPr>
        <w:pStyle w:val="ListBullet"/>
        <w:spacing w:after="80" w:line="276" w:lineRule="auto"/>
      </w:pPr>
      <w:r>
        <w:rPr>
          <w:rFonts w:ascii="Calibri" w:hAnsi="Calibri"/>
          <w:b/>
          <w:color w:val="161C2D"/>
          <w:sz w:val="21"/>
        </w:rPr>
        <w:t xml:space="preserve">Capa de Datos en Tiempo Real: </w:t>
      </w:r>
      <w:r>
        <w:rPr>
          <w:rFonts w:ascii="Calibri" w:hAnsi="Calibri"/>
          <w:color w:val="161C2D"/>
          <w:sz w:val="21"/>
        </w:rPr>
        <w:t>Firebase Realtime Database (RTDB) gestiona la persistencia de cursos, módulos, lecciones, evaluaciones, recursos descargables, notas al segundo, preguntas del foro y certificados oficiales. Las reglas de base de datos aseguran integridad y aislamiento.</w:t>
      </w:r>
    </w:p>
    <w:p>
      <w:pPr>
        <w:pStyle w:val="ListBullet"/>
        <w:spacing w:after="80" w:line="276" w:lineRule="auto"/>
      </w:pPr>
      <w:r>
        <w:rPr>
          <w:rFonts w:ascii="Calibri" w:hAnsi="Calibri"/>
          <w:b/>
          <w:color w:val="161C2D"/>
          <w:sz w:val="21"/>
        </w:rPr>
        <w:t xml:space="preserve">Capa de Almacenamiento Multimedia: </w:t>
      </w:r>
      <w:r>
        <w:rPr>
          <w:rFonts w:ascii="Calibri" w:hAnsi="Calibri"/>
          <w:color w:val="161C2D"/>
          <w:sz w:val="21"/>
        </w:rPr>
        <w:t>Worker especializado sobre Cloudflare R2 con enlace directo de alta velocidad para streaming de lecciones en video (MP4/WebM), portadas de cursos en alta definición y documentos adjuntos (Word, Excel, PDF).</w:t>
      </w:r>
    </w:p>
    <w:p>
      <w:pPr>
        <w:pStyle w:val="Heading2"/>
        <w:keepNext/>
        <w:spacing w:before="280" w:after="120"/>
      </w:pPr>
      <w:r>
        <w:rPr>
          <w:rFonts w:ascii="Calibri" w:hAnsi="Calibri"/>
          <w:color w:val="161C2D"/>
        </w:rPr>
        <w:t>Módulos Funcionales y Rutas de la Aplicación</w:t>
      </w:r>
    </w:p>
    <w:p>
      <w:pPr>
        <w:pStyle w:val="ListBullet"/>
        <w:spacing w:after="80" w:line="276" w:lineRule="auto"/>
      </w:pPr>
      <w:r>
        <w:rPr>
          <w:rFonts w:ascii="Calibri" w:hAnsi="Calibri"/>
          <w:b/>
          <w:color w:val="161C2D"/>
          <w:sz w:val="21"/>
        </w:rPr>
        <w:t xml:space="preserve">Portal Principal (/): </w:t>
      </w:r>
      <w:r>
        <w:rPr>
          <w:rFonts w:ascii="Calibri" w:hAnsi="Calibri"/>
          <w:color w:val="161C2D"/>
          <w:sz w:val="21"/>
        </w:rPr>
        <w:t>Página de inicio con vitrina académica de Cursos Disponibles, barras individuales de progreso, accesos modulares a cada fase y enlace a certificado.</w:t>
      </w:r>
    </w:p>
    <w:p>
      <w:pPr>
        <w:pStyle w:val="ListBullet"/>
        <w:spacing w:after="80" w:line="276" w:lineRule="auto"/>
      </w:pPr>
      <w:r>
        <w:rPr>
          <w:rFonts w:ascii="Calibri" w:hAnsi="Calibri"/>
          <w:b/>
          <w:color w:val="161C2D"/>
          <w:sz w:val="21"/>
        </w:rPr>
        <w:t xml:space="preserve">Aula Virtual (/course): </w:t>
      </w:r>
      <w:r>
        <w:rPr>
          <w:rFonts w:ascii="Calibri" w:hAnsi="Calibri"/>
          <w:color w:val="161C2D"/>
          <w:sz w:val="21"/>
        </w:rPr>
        <w:t>Reproductor de lección con control de calidad, puntos de verificación en video (Checkpoints), evaluaciones obligatorias de módulo, bloqueo secuencial configurable, botón desplegable de recursos y Pop Quizes, toma de notas con timecode y foro interactivo de dudas.</w:t>
      </w:r>
    </w:p>
    <w:p>
      <w:pPr>
        <w:pStyle w:val="ListBullet"/>
        <w:spacing w:after="80" w:line="276" w:lineRule="auto"/>
      </w:pPr>
      <w:r>
        <w:rPr>
          <w:rFonts w:ascii="Calibri" w:hAnsi="Calibri"/>
          <w:b/>
          <w:color w:val="161C2D"/>
          <w:sz w:val="21"/>
        </w:rPr>
        <w:t xml:space="preserve">Reflejo Operativo - Fase 2 (/scenarios): </w:t>
      </w:r>
      <w:r>
        <w:rPr>
          <w:rFonts w:ascii="Calibri" w:hAnsi="Calibri"/>
          <w:color w:val="161C2D"/>
          <w:sz w:val="21"/>
        </w:rPr>
        <w:t>Simulador de reconocimiento visual y juicio zootécnico frente a situaciones clínicas, reproductivas y alimentarias, filtrado dinámicamente por curso.</w:t>
      </w:r>
    </w:p>
    <w:p>
      <w:pPr>
        <w:pStyle w:val="ListBullet"/>
        <w:spacing w:after="80" w:line="276" w:lineRule="auto"/>
      </w:pPr>
      <w:r>
        <w:rPr>
          <w:rFonts w:ascii="Calibri" w:hAnsi="Calibri"/>
          <w:b/>
          <w:color w:val="161C2D"/>
          <w:sz w:val="21"/>
        </w:rPr>
        <w:t xml:space="preserve">Sandbox Finca Ficticia - Fase 3 (/sandbox): </w:t>
      </w:r>
      <w:r>
        <w:rPr>
          <w:rFonts w:ascii="Calibri" w:hAnsi="Calibri"/>
          <w:color w:val="161C2D"/>
          <w:sz w:val="21"/>
        </w:rPr>
        <w:t>Réplica interactiva del software de gestión DataGan 360, permitiendo ejecutar misiones de auditoría, balance de dietas y pesajes en una finca simulada.</w:t>
      </w:r>
    </w:p>
    <w:p>
      <w:pPr>
        <w:pStyle w:val="ListBullet"/>
        <w:spacing w:after="80" w:line="276" w:lineRule="auto"/>
      </w:pPr>
      <w:r>
        <w:rPr>
          <w:rFonts w:ascii="Calibri" w:hAnsi="Calibri"/>
          <w:b/>
          <w:color w:val="161C2D"/>
          <w:sz w:val="21"/>
        </w:rPr>
        <w:t xml:space="preserve">Acreditación Oficial (/certificate): </w:t>
      </w:r>
      <w:r>
        <w:rPr>
          <w:rFonts w:ascii="Calibri" w:hAnsi="Calibri"/>
          <w:color w:val="161C2D"/>
          <w:sz w:val="21"/>
        </w:rPr>
        <w:t>Generador de diplomas zootécnicos verificados, cálculo de calificación media, horas estimadas de estudio, competencias certificadas y funciones de descarga e impresión.</w:t>
      </w:r>
    </w:p>
    <w:p>
      <w:pPr>
        <w:pStyle w:val="ListBullet"/>
        <w:spacing w:after="80" w:line="276" w:lineRule="auto"/>
      </w:pPr>
      <w:r>
        <w:rPr>
          <w:rFonts w:ascii="Calibri" w:hAnsi="Calibri"/>
          <w:b/>
          <w:color w:val="161C2D"/>
          <w:sz w:val="21"/>
        </w:rPr>
        <w:t xml:space="preserve">Admin Studio (/admin): </w:t>
      </w:r>
      <w:r>
        <w:rPr>
          <w:rFonts w:ascii="Calibri" w:hAnsi="Calibri"/>
          <w:color w:val="161C2D"/>
          <w:sz w:val="21"/>
        </w:rPr>
        <w:t>Consola integral para administradores que permite crear cursos desde cero, cargar portadas a R2, reordenar secciones y lecciones por arrastre (Drag &amp; Drop), gestionar recursos descargables y pop quizes, y regular la visibilidad de fases.</w:t>
      </w:r>
    </w:p>
    <w:p>
      <w:pPr>
        <w:pStyle w:val="ListBullet"/>
        <w:spacing w:after="80" w:line="276" w:lineRule="auto"/>
      </w:pPr>
      <w:r>
        <w:rPr>
          <w:rFonts w:ascii="Calibri" w:hAnsi="Calibri"/>
          <w:b/>
          <w:color w:val="161C2D"/>
          <w:sz w:val="21"/>
        </w:rPr>
        <w:t xml:space="preserve">Herramientas Avanzadas (/admin/metrics, /missions, /scenarios, /analytics): </w:t>
      </w:r>
      <w:r>
        <w:rPr>
          <w:rFonts w:ascii="Calibri" w:hAnsi="Calibri"/>
          <w:color w:val="161C2D"/>
          <w:sz w:val="21"/>
        </w:rPr>
        <w:t>Módulos para registrar métricas agronómicas (Glosario de 73 métricas), diseñar misiones de sandbox y supervisar telemetría de estudiantes.</w:t>
      </w:r>
    </w:p>
    <w:p>
      <w:pPr>
        <w:pStyle w:val="Heading2"/>
        <w:keepNext/>
        <w:spacing w:before="280" w:after="120"/>
      </w:pPr>
      <w:r>
        <w:rPr>
          <w:rFonts w:ascii="Calibri" w:hAnsi="Calibri"/>
          <w:color w:val="161C2D"/>
        </w:rPr>
        <w:t>Políticas de Datos y Progresión Académica</w:t>
      </w:r>
    </w:p>
    <w:p>
      <w:pPr>
        <w:spacing w:after="120" w:line="276" w:lineRule="auto"/>
      </w:pPr>
      <w:r>
        <w:rPr>
          <w:rFonts w:ascii="Calibri" w:hAnsi="Calibri"/>
          <w:color w:val="161C2D"/>
          <w:sz w:val="22"/>
        </w:rPr>
        <w:t>Para garantizar la asimilación del conocimiento y evitar saltos indebidos de contenido, el motor del aula virtual evalúa dinámicamente el estado de avance según tres políticas configurables por el administrador:</w:t>
      </w:r>
    </w:p>
    <w:p>
      <w:pPr>
        <w:pStyle w:val="ListBullet"/>
        <w:spacing w:after="80" w:line="276" w:lineRule="auto"/>
      </w:pPr>
      <w:r>
        <w:rPr>
          <w:rFonts w:ascii="Calibri" w:hAnsi="Calibri"/>
          <w:b/>
          <w:color w:val="161C2D"/>
          <w:sz w:val="21"/>
        </w:rPr>
        <w:t xml:space="preserve">1. Modo Secuencial por Lección (lesson_strict): </w:t>
      </w:r>
      <w:r>
        <w:rPr>
          <w:rFonts w:ascii="Calibri" w:hAnsi="Calibri"/>
          <w:color w:val="161C2D"/>
          <w:sz w:val="21"/>
        </w:rPr>
        <w:t>Cada lección exige haber aprobado la evaluación o visualización de la lección previa antes de desbloquear la siguiente.</w:t>
      </w:r>
    </w:p>
    <w:p>
      <w:pPr>
        <w:pStyle w:val="ListBullet"/>
        <w:spacing w:after="80" w:line="276" w:lineRule="auto"/>
      </w:pPr>
      <w:r>
        <w:rPr>
          <w:rFonts w:ascii="Calibri" w:hAnsi="Calibri"/>
          <w:b/>
          <w:color w:val="161C2D"/>
          <w:sz w:val="21"/>
        </w:rPr>
        <w:t xml:space="preserve">2. Modo Secuencial por Módulo (module_strict): </w:t>
      </w:r>
      <w:r>
        <w:rPr>
          <w:rFonts w:ascii="Calibri" w:hAnsi="Calibri"/>
          <w:color w:val="161C2D"/>
          <w:sz w:val="21"/>
        </w:rPr>
        <w:t>Permite libertad dentro de un mismo módulo, pero exige completar la totalidad de lecciones de dicho módulo para habilitar el siguiente bloque temático.</w:t>
      </w:r>
    </w:p>
    <w:p>
      <w:pPr>
        <w:pStyle w:val="ListBullet"/>
        <w:spacing w:after="80" w:line="276" w:lineRule="auto"/>
      </w:pPr>
      <w:r>
        <w:rPr>
          <w:rFonts w:ascii="Calibri" w:hAnsi="Calibri"/>
          <w:b/>
          <w:color w:val="161C2D"/>
          <w:sz w:val="21"/>
        </w:rPr>
        <w:t xml:space="preserve">3. Modo Libre (free): </w:t>
      </w:r>
      <w:r>
        <w:rPr>
          <w:rFonts w:ascii="Calibri" w:hAnsi="Calibri"/>
          <w:color w:val="161C2D"/>
          <w:sz w:val="21"/>
        </w:rPr>
        <w:t>Navegación abierta, recomendada para cursos de consulta rápida o material de referencia zootécnica.</w:t>
      </w:r>
    </w:p>
    <w:p>
      <w:pPr>
        <w:pStyle w:val="Heading2"/>
        <w:keepNext/>
        <w:spacing w:before="280" w:after="120"/>
      </w:pPr>
      <w:r>
        <w:rPr>
          <w:rFonts w:ascii="Calibri" w:hAnsi="Calibri"/>
          <w:color w:val="161C2D"/>
        </w:rPr>
        <w:t>Procedimiento de Compilación y Despliegue</w:t>
      </w:r>
    </w:p>
    <w:p>
      <w:pPr>
        <w:spacing w:after="120" w:line="276" w:lineRule="auto"/>
      </w:pPr>
      <w:r>
        <w:rPr>
          <w:rFonts w:ascii="Calibri" w:hAnsi="Calibri"/>
          <w:color w:val="161C2D"/>
          <w:sz w:val="22"/>
        </w:rPr>
        <w:t>La plataforma se exporta como una compilación estática de alto rendimiento (Static HTML/JS Bundle) alojada en Firebase Hosting, garantizando tiempos de carga inferiores a 800 milisegundos y disponibilidad ininterrumpida global.</w:t>
      </w:r>
    </w:p>
    <w:p>
      <w:pPr>
        <w:pStyle w:val="ListBullet"/>
        <w:spacing w:after="80" w:line="276" w:lineRule="auto"/>
      </w:pPr>
      <w:r>
        <w:rPr>
          <w:rFonts w:ascii="Calibri" w:hAnsi="Calibri"/>
          <w:b/>
          <w:color w:val="161C2D"/>
          <w:sz w:val="21"/>
        </w:rPr>
        <w:t xml:space="preserve">Paso 1: </w:t>
      </w:r>
      <w:r>
        <w:rPr>
          <w:rFonts w:ascii="Calibri" w:hAnsi="Calibri"/>
          <w:color w:val="161C2D"/>
          <w:sz w:val="21"/>
        </w:rPr>
        <w:t>Verificación de contratos y consistencia de tipos: 'npx tsc --noEmit'</w:t>
      </w:r>
    </w:p>
    <w:p>
      <w:pPr>
        <w:pStyle w:val="ListBullet"/>
        <w:spacing w:after="80" w:line="276" w:lineRule="auto"/>
      </w:pPr>
      <w:r>
        <w:rPr>
          <w:rFonts w:ascii="Calibri" w:hAnsi="Calibri"/>
          <w:b/>
          <w:color w:val="161C2D"/>
          <w:sz w:val="21"/>
        </w:rPr>
        <w:t xml:space="preserve">Paso 2: </w:t>
      </w:r>
      <w:r>
        <w:rPr>
          <w:rFonts w:ascii="Calibri" w:hAnsi="Calibri"/>
          <w:color w:val="161C2D"/>
          <w:sz w:val="21"/>
        </w:rPr>
        <w:t>Generación del paquete optimizado de producción: 'npm run build'</w:t>
      </w:r>
    </w:p>
    <w:p>
      <w:pPr>
        <w:pStyle w:val="ListBullet"/>
        <w:spacing w:after="80" w:line="276" w:lineRule="auto"/>
      </w:pPr>
      <w:r>
        <w:rPr>
          <w:rFonts w:ascii="Calibri" w:hAnsi="Calibri"/>
          <w:b/>
          <w:color w:val="161C2D"/>
          <w:sz w:val="21"/>
        </w:rPr>
        <w:t xml:space="preserve">Paso 3: </w:t>
      </w:r>
      <w:r>
        <w:rPr>
          <w:rFonts w:ascii="Calibri" w:hAnsi="Calibri"/>
          <w:color w:val="161C2D"/>
          <w:sz w:val="21"/>
        </w:rPr>
        <w:t>Publicación con control de caché: 'firebase deploy --only hosting --project datagan-course'</w:t>
      </w:r>
    </w:p>
    <w:p>
      <w:pPr>
        <w:pStyle w:val="Heading1"/>
        <w:keepNext/>
        <w:spacing w:before="400" w:after="120"/>
      </w:pPr>
      <w:r>
        <w:rPr>
          <w:rFonts w:ascii="Calibri" w:hAnsi="Calibri"/>
          <w:color w:val="196E6C"/>
        </w:rPr>
        <w:t>2. Propuesta y Valor Estratégico</w:t>
      </w:r>
    </w:p>
    <w:p>
      <w:pPr>
        <w:pStyle w:val="Heading2"/>
        <w:keepNext/>
        <w:spacing w:before="280" w:after="120"/>
      </w:pPr>
      <w:r>
        <w:rPr>
          <w:rFonts w:ascii="Calibri" w:hAnsi="Calibri"/>
          <w:color w:val="161C2D"/>
        </w:rPr>
        <w:t>El Reto en la Ganadería Moderna</w:t>
      </w:r>
    </w:p>
    <w:p>
      <w:pPr>
        <w:spacing w:after="120" w:line="276" w:lineRule="auto"/>
      </w:pPr>
      <w:r>
        <w:rPr>
          <w:rFonts w:ascii="Calibri" w:hAnsi="Calibri"/>
          <w:color w:val="161C2D"/>
          <w:sz w:val="22"/>
        </w:rPr>
        <w:t>Tradicionalmente, la administración pecuaria se ha sustentado en la intuición y registros fragmentados en libretas de campo. Este enfoque ocasiona pérdidas silenciosas en ganancia diaria de peso, retrasos en intervalos entre partos y sobrecostos por desperdicio de insumos nutricionales. La falta de capacitación práctica en herramientas de precisión impide que el productor y sus operarios transformen los datos brutos en decisiones rentables.</w:t>
      </w:r>
    </w:p>
    <w:p>
      <w:pPr>
        <w:pStyle w:val="Heading2"/>
        <w:keepNext/>
        <w:spacing w:before="280" w:after="120"/>
      </w:pPr>
      <w:r>
        <w:rPr>
          <w:rFonts w:ascii="Calibri" w:hAnsi="Calibri"/>
          <w:color w:val="161C2D"/>
        </w:rPr>
        <w:t>Nuestra Respuesta al Sector</w:t>
      </w:r>
    </w:p>
    <w:p>
      <w:pPr>
        <w:spacing w:after="120" w:line="276" w:lineRule="auto"/>
      </w:pPr>
      <w:r>
        <w:rPr>
          <w:rFonts w:ascii="Calibri" w:hAnsi="Calibri"/>
          <w:color w:val="161C2D"/>
          <w:sz w:val="22"/>
        </w:rPr>
        <w:t>TecnoGan Academy democratiza la ganadería de precisión eliminando la barrera entre la teoría académica y la ejecución en el corral. A través de un método de inmersión progresiva, los participantes no solo observan clases en video dictadas por expertos, sino que se enfrentan a decisiones críticas en simuladores y operan software de hato en tiempo real sin temor a equivocarse o comprometer animales reales.</w:t>
      </w:r>
    </w:p>
    <w:p>
      <w:pPr>
        <w:pStyle w:val="Heading2"/>
        <w:keepNext/>
        <w:spacing w:before="280" w:after="120"/>
      </w:pPr>
      <w:r>
        <w:rPr>
          <w:rFonts w:ascii="Calibri" w:hAnsi="Calibri"/>
          <w:color w:val="161C2D"/>
        </w:rPr>
        <w:t>A Quién Está Dirigido</w:t>
      </w:r>
    </w:p>
    <w:p>
      <w:pPr>
        <w:spacing w:after="120" w:line="276" w:lineRule="auto"/>
      </w:pPr>
      <w:r>
        <w:rPr>
          <w:rFonts w:ascii="Calibri" w:hAnsi="Calibri"/>
          <w:color w:val="161C2D"/>
          <w:sz w:val="22"/>
        </w:rPr>
        <w:t>El ecosistema formativo está diseñado para generar impacto en toda la cadena de valor pecuaria:</w:t>
      </w:r>
    </w:p>
    <w:p>
      <w:pPr>
        <w:pStyle w:val="ListBullet"/>
        <w:spacing w:after="80" w:line="276" w:lineRule="auto"/>
      </w:pPr>
      <w:r>
        <w:rPr>
          <w:rFonts w:ascii="Calibri" w:hAnsi="Calibri"/>
          <w:b/>
          <w:color w:val="161C2D"/>
          <w:sz w:val="21"/>
        </w:rPr>
        <w:t xml:space="preserve">Productores y Propietarios de Hato: </w:t>
      </w:r>
      <w:r>
        <w:rPr>
          <w:rFonts w:ascii="Calibri" w:hAnsi="Calibri"/>
          <w:color w:val="161C2D"/>
          <w:sz w:val="21"/>
        </w:rPr>
        <w:t>Que buscan elevar el margen de rentabilidad de sus predios mediante decisiones basadas en números y no en conjeturas.</w:t>
      </w:r>
    </w:p>
    <w:p>
      <w:pPr>
        <w:pStyle w:val="ListBullet"/>
        <w:spacing w:after="80" w:line="276" w:lineRule="auto"/>
      </w:pPr>
      <w:r>
        <w:rPr>
          <w:rFonts w:ascii="Calibri" w:hAnsi="Calibri"/>
          <w:b/>
          <w:color w:val="161C2D"/>
          <w:sz w:val="21"/>
        </w:rPr>
        <w:t xml:space="preserve">Médicos Veterinarios y Zootecnistas: </w:t>
      </w:r>
      <w:r>
        <w:rPr>
          <w:rFonts w:ascii="Calibri" w:hAnsi="Calibri"/>
          <w:color w:val="161C2D"/>
          <w:sz w:val="21"/>
        </w:rPr>
        <w:t>Interesados en dominar las 73 métricas zootécnicas clave y presentar reportes de impacto a gerencia.</w:t>
      </w:r>
    </w:p>
    <w:p>
      <w:pPr>
        <w:pStyle w:val="ListBullet"/>
        <w:spacing w:after="80" w:line="276" w:lineRule="auto"/>
      </w:pPr>
      <w:r>
        <w:rPr>
          <w:rFonts w:ascii="Calibri" w:hAnsi="Calibri"/>
          <w:b/>
          <w:color w:val="161C2D"/>
          <w:sz w:val="21"/>
        </w:rPr>
        <w:t xml:space="preserve">Administradores de Finca y Mayordomos: </w:t>
      </w:r>
      <w:r>
        <w:rPr>
          <w:rFonts w:ascii="Calibri" w:hAnsi="Calibri"/>
          <w:color w:val="161C2D"/>
          <w:sz w:val="21"/>
        </w:rPr>
        <w:t>Responsables de digitalizar inventarios, programar palpaciones y controlar la suplementación en campo.</w:t>
      </w:r>
    </w:p>
    <w:p>
      <w:pPr>
        <w:pStyle w:val="ListBullet"/>
        <w:spacing w:after="80" w:line="276" w:lineRule="auto"/>
      </w:pPr>
      <w:r>
        <w:rPr>
          <w:rFonts w:ascii="Calibri" w:hAnsi="Calibri"/>
          <w:b/>
          <w:color w:val="161C2D"/>
          <w:sz w:val="21"/>
        </w:rPr>
        <w:t xml:space="preserve">Estudiantes de Carreras Agropecuarias: </w:t>
      </w:r>
      <w:r>
        <w:rPr>
          <w:rFonts w:ascii="Calibri" w:hAnsi="Calibri"/>
          <w:color w:val="161C2D"/>
          <w:sz w:val="21"/>
        </w:rPr>
        <w:t>Que requieren experiencia práctica demostrable antes de ingresar al mercado laboral agroempresarial.</w:t>
      </w:r>
    </w:p>
    <w:p>
      <w:pPr>
        <w:pStyle w:val="Heading2"/>
        <w:keepNext/>
        <w:spacing w:before="280" w:after="120"/>
      </w:pPr>
      <w:r>
        <w:rPr>
          <w:rFonts w:ascii="Calibri" w:hAnsi="Calibri"/>
          <w:color w:val="161C2D"/>
        </w:rPr>
        <w:t>Factores Distintivos Frente a la Capacitación Tradicional</w:t>
      </w:r>
    </w:p>
    <w:p>
      <w:pPr>
        <w:pStyle w:val="ListBullet"/>
        <w:spacing w:after="80" w:line="276" w:lineRule="auto"/>
      </w:pPr>
      <w:r>
        <w:rPr>
          <w:rFonts w:ascii="Calibri" w:hAnsi="Calibri"/>
          <w:b/>
          <w:color w:val="161C2D"/>
          <w:sz w:val="21"/>
        </w:rPr>
        <w:t xml:space="preserve">Metodología por Fases Prácticas: </w:t>
      </w:r>
      <w:r>
        <w:rPr>
          <w:rFonts w:ascii="Calibri" w:hAnsi="Calibri"/>
          <w:color w:val="161C2D"/>
          <w:sz w:val="21"/>
        </w:rPr>
        <w:t>A diferencia de cursos pasivos donde el alumno solo mira conferencias, aquí cada módulo incluye simuladores de juicio clínico y misiones operativas.</w:t>
      </w:r>
    </w:p>
    <w:p>
      <w:pPr>
        <w:pStyle w:val="ListBullet"/>
        <w:spacing w:after="80" w:line="276" w:lineRule="auto"/>
      </w:pPr>
      <w:r>
        <w:rPr>
          <w:rFonts w:ascii="Calibri" w:hAnsi="Calibri"/>
          <w:b/>
          <w:color w:val="161C2D"/>
          <w:sz w:val="21"/>
        </w:rPr>
        <w:t xml:space="preserve">Recursos Aplicables desde el Primer Día: </w:t>
      </w:r>
      <w:r>
        <w:rPr>
          <w:rFonts w:ascii="Calibri" w:hAnsi="Calibri"/>
          <w:color w:val="161C2D"/>
          <w:sz w:val="21"/>
        </w:rPr>
        <w:t>Cada clase cuenta con guías de campo en Word y Excel, cuestionarios de verificación al instante y métricas calculadas en vivo.</w:t>
      </w:r>
    </w:p>
    <w:p>
      <w:pPr>
        <w:pStyle w:val="ListBullet"/>
        <w:spacing w:after="80" w:line="276" w:lineRule="auto"/>
      </w:pPr>
      <w:r>
        <w:rPr>
          <w:rFonts w:ascii="Calibri" w:hAnsi="Calibri"/>
          <w:b/>
          <w:color w:val="161C2D"/>
          <w:sz w:val="21"/>
        </w:rPr>
        <w:t xml:space="preserve">Acreditación con Rigor Técnico: </w:t>
      </w:r>
      <w:r>
        <w:rPr>
          <w:rFonts w:ascii="Calibri" w:hAnsi="Calibri"/>
          <w:color w:val="161C2D"/>
          <w:sz w:val="21"/>
        </w:rPr>
        <w:t>Los certificados no se entregan por simple asistencia; exigen demostrar al menos el 80% de rendimiento verificable en las evaluaciones integradas.</w:t>
      </w:r>
    </w:p>
    <w:p>
      <w:pPr>
        <w:pStyle w:val="ListBullet"/>
        <w:spacing w:after="80" w:line="276" w:lineRule="auto"/>
      </w:pPr>
      <w:r>
        <w:rPr>
          <w:rFonts w:ascii="Calibri" w:hAnsi="Calibri"/>
          <w:b/>
          <w:color w:val="161C2D"/>
          <w:sz w:val="21"/>
        </w:rPr>
        <w:t xml:space="preserve">Cero Jerga Inútil y Experiencia Directa: </w:t>
      </w:r>
      <w:r>
        <w:rPr>
          <w:rFonts w:ascii="Calibri" w:hAnsi="Calibri"/>
          <w:color w:val="161C2D"/>
          <w:sz w:val="21"/>
        </w:rPr>
        <w:t>La interfaz es intuitiva y limpia, diseñada para profesionales de campo que necesitan acceder con fluidez desde cualquier lugar.</w:t>
      </w:r>
    </w:p>
    <w:p>
      <w:pPr>
        <w:pStyle w:val="Heading2"/>
        <w:keepNext/>
        <w:spacing w:before="280" w:after="120"/>
      </w:pPr>
      <w:r>
        <w:rPr>
          <w:rFonts w:ascii="Calibri" w:hAnsi="Calibri"/>
          <w:color w:val="161C2D"/>
        </w:rPr>
        <w:t>La Experiencia de Aprendizaje en Cuatro Etapas</w:t>
      </w:r>
    </w:p>
    <w:p>
      <w:pPr>
        <w:pStyle w:val="ListBullet"/>
        <w:spacing w:after="80" w:line="276" w:lineRule="auto"/>
      </w:pPr>
      <w:r>
        <w:rPr>
          <w:rFonts w:ascii="Calibri" w:hAnsi="Calibri"/>
          <w:b/>
          <w:color w:val="161C2D"/>
          <w:sz w:val="21"/>
        </w:rPr>
        <w:t xml:space="preserve">Etapa 1 — Adquisición Conceptual (Aula Virtual): </w:t>
      </w:r>
      <w:r>
        <w:rPr>
          <w:rFonts w:ascii="Calibri" w:hAnsi="Calibri"/>
          <w:color w:val="161C2D"/>
          <w:sz w:val="21"/>
        </w:rPr>
        <w:t>El estudiante asimila los conceptos zootécnicos fundamentales mediante videoclases de alta resolución, respondiendo puntos de comprobación para fijar conceptos.</w:t>
      </w:r>
    </w:p>
    <w:p>
      <w:pPr>
        <w:pStyle w:val="ListBullet"/>
        <w:spacing w:after="80" w:line="276" w:lineRule="auto"/>
      </w:pPr>
      <w:r>
        <w:rPr>
          <w:rFonts w:ascii="Calibri" w:hAnsi="Calibri"/>
          <w:b/>
          <w:color w:val="161C2D"/>
          <w:sz w:val="21"/>
        </w:rPr>
        <w:t xml:space="preserve">Etapa 2 — Agudeza Diagnóstica (Reflejo Operativo): </w:t>
      </w:r>
      <w:r>
        <w:rPr>
          <w:rFonts w:ascii="Calibri" w:hAnsi="Calibri"/>
          <w:color w:val="161C2D"/>
          <w:sz w:val="21"/>
        </w:rPr>
        <w:t>El usuario analiza imágenes y situaciones de campo simuladas para ejercitar su velocidad de diagnóstico frente a anomalías en condición corporal o manejo.</w:t>
      </w:r>
    </w:p>
    <w:p>
      <w:pPr>
        <w:pStyle w:val="ListBullet"/>
        <w:spacing w:after="80" w:line="276" w:lineRule="auto"/>
      </w:pPr>
      <w:r>
        <w:rPr>
          <w:rFonts w:ascii="Calibri" w:hAnsi="Calibri"/>
          <w:b/>
          <w:color w:val="161C2D"/>
          <w:sz w:val="21"/>
        </w:rPr>
        <w:t xml:space="preserve">Etapa 3 — Simulación Práctica (Sandbox Finca): </w:t>
      </w:r>
      <w:r>
        <w:rPr>
          <w:rFonts w:ascii="Calibri" w:hAnsi="Calibri"/>
          <w:color w:val="161C2D"/>
          <w:sz w:val="21"/>
        </w:rPr>
        <w:t>En un entorno virtual que clona el programa DataGan 360, el alumno ingresa registros, analiza curvas de lactancia y resuelve desafíos reales de una finca ficticia.</w:t>
      </w:r>
    </w:p>
    <w:p>
      <w:pPr>
        <w:pStyle w:val="ListBullet"/>
        <w:spacing w:after="80" w:line="276" w:lineRule="auto"/>
      </w:pPr>
      <w:r>
        <w:rPr>
          <w:rFonts w:ascii="Calibri" w:hAnsi="Calibri"/>
          <w:b/>
          <w:color w:val="161C2D"/>
          <w:sz w:val="21"/>
        </w:rPr>
        <w:t xml:space="preserve">Etapa 4 — Acreditación y Respaldo Oficial: </w:t>
      </w:r>
      <w:r>
        <w:rPr>
          <w:rFonts w:ascii="Calibri" w:hAnsi="Calibri"/>
          <w:color w:val="161C2D"/>
          <w:sz w:val="21"/>
        </w:rPr>
        <w:t>Al culminar con más del 80% de aciertos, el sistema emite el diploma oficial con firma del Equipo Directivo de TecnoGan, detallando las competencias alcanzadas y las horas acreditadas.</w:t>
      </w:r>
    </w:p>
    <w:p>
      <w:pPr>
        <w:pStyle w:val="Heading2"/>
        <w:keepNext/>
        <w:spacing w:before="280" w:after="120"/>
      </w:pPr>
      <w:r>
        <w:rPr>
          <w:rFonts w:ascii="Calibri" w:hAnsi="Calibri"/>
          <w:color w:val="161C2D"/>
        </w:rPr>
        <w:t>Beneficios Tangibles para la Empresa Ganadera</w:t>
      </w:r>
    </w:p>
    <w:p>
      <w:pPr>
        <w:pStyle w:val="ListBullet"/>
        <w:spacing w:after="80" w:line="276" w:lineRule="auto"/>
      </w:pPr>
      <w:r>
        <w:rPr>
          <w:rFonts w:ascii="Calibri" w:hAnsi="Calibri"/>
          <w:b/>
          <w:color w:val="161C2D"/>
          <w:sz w:val="21"/>
        </w:rPr>
        <w:t xml:space="preserve">Aumento de Productividad: </w:t>
      </w:r>
      <w:r>
        <w:rPr>
          <w:rFonts w:ascii="Calibri" w:hAnsi="Calibri"/>
          <w:color w:val="161C2D"/>
          <w:sz w:val="21"/>
        </w:rPr>
        <w:t>Mayor ganancia diaria de peso (GDP) y reducción de días abiertos mediante monitoreo exacto de indicadores zootécnicos.</w:t>
      </w:r>
    </w:p>
    <w:p>
      <w:pPr>
        <w:pStyle w:val="ListBullet"/>
        <w:spacing w:after="80" w:line="276" w:lineRule="auto"/>
      </w:pPr>
      <w:r>
        <w:rPr>
          <w:rFonts w:ascii="Calibri" w:hAnsi="Calibri"/>
          <w:b/>
          <w:color w:val="161C2D"/>
          <w:sz w:val="21"/>
        </w:rPr>
        <w:t xml:space="preserve">Ahorro en Alimentos y Medicamentos: </w:t>
      </w:r>
      <w:r>
        <w:rPr>
          <w:rFonts w:ascii="Calibri" w:hAnsi="Calibri"/>
          <w:color w:val="161C2D"/>
          <w:sz w:val="21"/>
        </w:rPr>
        <w:t>Al entrenar en el Sandbox, el personal aprende a interpretar costos de ración antes de aplicar cambios en los comederos.</w:t>
      </w:r>
    </w:p>
    <w:p>
      <w:pPr>
        <w:pStyle w:val="ListBullet"/>
        <w:spacing w:after="80" w:line="276" w:lineRule="auto"/>
      </w:pPr>
      <w:r>
        <w:rPr>
          <w:rFonts w:ascii="Calibri" w:hAnsi="Calibri"/>
          <w:b/>
          <w:color w:val="161C2D"/>
          <w:sz w:val="21"/>
        </w:rPr>
        <w:t xml:space="preserve">Estandarización del Equipo de Trabajo: </w:t>
      </w:r>
      <w:r>
        <w:rPr>
          <w:rFonts w:ascii="Calibri" w:hAnsi="Calibri"/>
          <w:color w:val="161C2D"/>
          <w:sz w:val="21"/>
        </w:rPr>
        <w:t>Equipos alineados con un mismo vocabulario técnico y criterios homogéneos para evaluar la condición del ganado.</w:t>
      </w:r>
    </w:p>
    <w:p>
      <w:pPr>
        <w:pStyle w:val="ListBullet"/>
        <w:spacing w:after="80" w:line="276" w:lineRule="auto"/>
      </w:pPr>
      <w:r>
        <w:rPr>
          <w:rFonts w:ascii="Calibri" w:hAnsi="Calibri"/>
          <w:b/>
          <w:color w:val="161C2D"/>
          <w:sz w:val="21"/>
        </w:rPr>
        <w:t xml:space="preserve">Prestigio y Credibilidad Comercial: </w:t>
      </w:r>
      <w:r>
        <w:rPr>
          <w:rFonts w:ascii="Calibri" w:hAnsi="Calibri"/>
          <w:color w:val="161C2D"/>
          <w:sz w:val="21"/>
        </w:rPr>
        <w:t>Diplomas respaldados por TecnoGan que certifican la aptitud del personal en buenas prácticas de ganadería inteligente.</w:t>
      </w:r>
    </w:p>
    <w:p>
      <w:pPr>
        <w:pStyle w:val="Heading2"/>
        <w:keepNext/>
        <w:spacing w:before="280" w:after="120"/>
      </w:pPr>
      <w:r>
        <w:rPr>
          <w:rFonts w:ascii="Calibri" w:hAnsi="Calibri"/>
          <w:color w:val="161C2D"/>
        </w:rPr>
        <w:t>Seguridad, Autenticidad y Confianza Institucional</w:t>
      </w:r>
    </w:p>
    <w:p>
      <w:pPr>
        <w:spacing w:after="120" w:line="276" w:lineRule="auto"/>
      </w:pPr>
      <w:r>
        <w:rPr>
          <w:rFonts w:ascii="Calibri" w:hAnsi="Calibri"/>
          <w:color w:val="161C2D"/>
          <w:sz w:val="22"/>
        </w:rPr>
        <w:t>La integridad de los registros académicos es una prioridad absoluta. Los diplomas emitidos cuentan con un identificador único verificable en tiempo real, respaldado por la base de datos institucional de TecnoGan. Esto previene la falsificación de certificados y asegura a asociaciones, cooperativas y empleadores que cada acreditación corresponde a un proceso de aprendizaje rigurosamente completado y validado.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