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color w:val="6D28D2"/>
          <w:sz w:val="40"/>
        </w:rPr>
        <w:t>DATAGAN 360</w:t>
        <w:br/>
        <w:t>PROTOCOLO TÉCNICO DE IATF Y SANIDAD DE UBRE</w:t>
      </w:r>
    </w:p>
    <w:p>
      <w:pPr>
        <w:pStyle w:val="Heading1"/>
      </w:pPr>
      <w:r>
        <w:t>1. Cronograma Operativo de Sincronización IATF (3 Maniobras)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t>Día y Hora</w:t>
            </w:r>
          </w:p>
        </w:tc>
        <w:tc>
          <w:tcPr>
            <w:tcW w:type="dxa" w:w="2340"/>
          </w:tcPr>
          <w:p>
            <w:r>
              <w:t>Fármaco / Dosis</w:t>
            </w:r>
          </w:p>
        </w:tc>
        <w:tc>
          <w:tcPr>
            <w:tcW w:type="dxa" w:w="2340"/>
          </w:tcPr>
          <w:p>
            <w:r>
              <w:t>Objetivo Fisiológico</w:t>
            </w:r>
          </w:p>
        </w:tc>
        <w:tc>
          <w:tcPr>
            <w:tcW w:type="dxa" w:w="2340"/>
          </w:tcPr>
          <w:p>
            <w:r>
              <w:t>Alerta Crítica en DataGan</w:t>
            </w:r>
          </w:p>
        </w:tc>
      </w:tr>
      <w:tr>
        <w:tc>
          <w:tcPr>
            <w:tcW w:type="dxa" w:w="2340"/>
          </w:tcPr>
          <w:p>
            <w:r>
              <w:t>Día 0 (08:00 AM)</w:t>
            </w:r>
          </w:p>
        </w:tc>
        <w:tc>
          <w:tcPr>
            <w:tcW w:type="dxa" w:w="2340"/>
          </w:tcPr>
          <w:p>
            <w:r>
              <w:t>Dispositivo intravaginal P4 (1.0 - 1.2 g) + 2.0 mg Benzoato de Estradiol</w:t>
            </w:r>
          </w:p>
        </w:tc>
        <w:tc>
          <w:tcPr>
            <w:tcW w:type="dxa" w:w="2340"/>
          </w:tcPr>
          <w:p>
            <w:r>
              <w:t>Simular cuerpo lúteo artificial y provocar atresia del folículo dominante anterior.</w:t>
            </w:r>
          </w:p>
        </w:tc>
        <w:tc>
          <w:tcPr>
            <w:tcW w:type="dxa" w:w="2340"/>
          </w:tcPr>
          <w:p>
            <w:r>
              <w:t>Registrar lote y fecha de inserción en /salud/servicio.</w:t>
            </w:r>
          </w:p>
        </w:tc>
      </w:tr>
      <w:tr>
        <w:tc>
          <w:tcPr>
            <w:tcW w:type="dxa" w:w="2340"/>
          </w:tcPr>
          <w:p>
            <w:r>
              <w:t>Día 8 (08:00 AM)</w:t>
            </w:r>
          </w:p>
        </w:tc>
        <w:tc>
          <w:tcPr>
            <w:tcW w:type="dxa" w:w="2340"/>
          </w:tcPr>
          <w:p>
            <w:r>
              <w:t>Retiro de dispositivo P4 + 500 mcg Cloprostenol (PGF2a) + 300 UI eCG + 1.0 mg Cipionato Estradiol</w:t>
            </w:r>
          </w:p>
        </w:tc>
        <w:tc>
          <w:tcPr>
            <w:tcW w:type="dxa" w:w="2340"/>
          </w:tcPr>
          <w:p>
            <w:r>
              <w:t>Lisis del cuerpo lúteo natural, estímulo del crecimiento folicular y programación del pico preovulatorio de LH.</w:t>
            </w:r>
          </w:p>
        </w:tc>
        <w:tc>
          <w:tcPr>
            <w:tcW w:type="dxa" w:w="2340"/>
          </w:tcPr>
          <w:p>
            <w:r>
              <w:t>Verificar que el 100% de hembras conservaron el dispositivo.</w:t>
            </w:r>
          </w:p>
        </w:tc>
      </w:tr>
      <w:tr>
        <w:tc>
          <w:tcPr>
            <w:tcW w:type="dxa" w:w="2340"/>
          </w:tcPr>
          <w:p>
            <w:r>
              <w:t>Día 10 (48 - 54h posretiro)</w:t>
            </w:r>
          </w:p>
        </w:tc>
        <w:tc>
          <w:tcPr>
            <w:tcW w:type="dxa" w:w="2340"/>
          </w:tcPr>
          <w:p>
            <w:r>
              <w:t>Inseminación con semen descongelado a 37°C por 40 seg. No se requiere celo visual.</w:t>
            </w:r>
          </w:p>
        </w:tc>
        <w:tc>
          <w:tcPr>
            <w:tcW w:type="dxa" w:w="2340"/>
          </w:tcPr>
          <w:p>
            <w:r>
              <w:t>Depositar semen en el cuerpo del útero coincidiendo con la ovulación sincronizada.</w:t>
            </w:r>
          </w:p>
        </w:tc>
        <w:tc>
          <w:tcPr>
            <w:tcW w:type="dxa" w:w="2340"/>
          </w:tcPr>
          <w:p>
            <w:r>
              <w:t>Ingresar toro/pajilla, técnico inseminador y código de pajilla en la plataforma.</w:t>
            </w:r>
          </w:p>
        </w:tc>
      </w:tr>
    </w:tbl>
    <w:p>
      <w:pPr>
        <w:pStyle w:val="Heading1"/>
      </w:pPr>
      <w:r>
        <w:t>2. Protocolo de Diagnóstico y Triaje de Mastitis (Prueba CMT)</w:t>
      </w:r>
    </w:p>
    <w:p>
      <w:r>
        <w:t>La prueba de California Mastitis Test (CMT) se debe efectuar semanalmente en todas las vacas del lote de ordeño. El reactivo rompe las membranas de las células somáticas (leucocitos) liberando su ADN, lo que produce una gelificación proporcional a la severidad de la inflamación mamaria.</w:t>
      </w:r>
    </w:p>
    <w:p>
      <w:r>
        <w:rPr>
          <w:b/>
          <w:color w:val="C00000"/>
        </w:rPr>
        <w:t>REGLA ESTRICTA DE TIEMPOS DE RETIRO:</w:t>
        <w:br/>
      </w:r>
      <w:r>
        <w:t>Cualquier animal tratado con antimicrobianos (Ceftiofur, Penicilinas, Oxitetraciclinas) debe ser registrado en DataGan 360 con sus días de retiro estipulados por el fabricante. La leche de estos cuartos no puede ingresar al tanque frío ni comercializarse hasta completar el periodo de eliminación metabólica.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